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20E6A0E" w:rsidR="004F1918" w:rsidRPr="002C3A42" w:rsidRDefault="002C3A42" w:rsidP="004F1918">
            <w:pPr>
              <w:pStyle w:val="M7"/>
              <w:framePr w:wrap="auto" w:vAnchor="margin" w:hAnchor="text" w:xAlign="left" w:yAlign="inline"/>
              <w:suppressOverlap w:val="0"/>
              <w:rPr>
                <w:b w:val="0"/>
                <w:sz w:val="18"/>
                <w:szCs w:val="18"/>
                <w:lang w:val="en-US"/>
              </w:rPr>
            </w:pPr>
            <w:r w:rsidRPr="002C3A42">
              <w:rPr>
                <w:b w:val="0"/>
                <w:sz w:val="18"/>
                <w:szCs w:val="18"/>
                <w:lang w:val="en-US"/>
              </w:rPr>
              <w:t>27. September</w:t>
            </w:r>
            <w:r w:rsidR="00EC3D90" w:rsidRPr="002C3A42">
              <w:rPr>
                <w:b w:val="0"/>
                <w:sz w:val="18"/>
                <w:szCs w:val="18"/>
                <w:lang w:val="en-US"/>
              </w:rPr>
              <w:t xml:space="preserve"> </w:t>
            </w:r>
            <w:r w:rsidR="002E6789" w:rsidRPr="002C3A42">
              <w:rPr>
                <w:b w:val="0"/>
                <w:sz w:val="18"/>
                <w:szCs w:val="18"/>
                <w:lang w:val="en-US"/>
              </w:rPr>
              <w:t>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rPr>
      </w:pPr>
      <w:r w:rsidRPr="009C0CD3">
        <w:rPr>
          <w:noProof/>
          <w:sz w:val="13"/>
          <w:szCs w:val="13"/>
        </w:rPr>
        <w:t>Supervisory Board</w:t>
      </w:r>
      <w:r w:rsidRPr="009C0CD3">
        <w:rPr>
          <w:noProof/>
          <w:sz w:val="13"/>
          <w:szCs w:val="13"/>
        </w:rPr>
        <w:br/>
        <w:t>Bernd Tönjes, Chairman</w:t>
      </w:r>
      <w:r w:rsidRPr="009C0CD3">
        <w:rPr>
          <w:noProof/>
          <w:sz w:val="13"/>
          <w:szCs w:val="13"/>
        </w:rPr>
        <w:br/>
        <w:t>Executive Board</w:t>
      </w:r>
      <w:r w:rsidRPr="009C0CD3">
        <w:rPr>
          <w:noProof/>
          <w:sz w:val="13"/>
          <w:szCs w:val="13"/>
        </w:rPr>
        <w:br/>
        <w:t>Christian Kullmann, Chairman</w:t>
      </w:r>
      <w:r w:rsidRPr="009C0CD3">
        <w:rPr>
          <w:noProof/>
          <w:sz w:val="13"/>
          <w:szCs w:val="13"/>
        </w:rPr>
        <w:br/>
        <w:t>Dr. Harald Schwager, Deputy Chairman</w:t>
      </w:r>
      <w:r w:rsidRPr="009C0CD3">
        <w:rPr>
          <w:noProof/>
          <w:sz w:val="13"/>
          <w:szCs w:val="13"/>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556045F5" w14:textId="422DE579" w:rsidR="001301A9" w:rsidRPr="00527C00" w:rsidRDefault="003F4E30" w:rsidP="001301A9">
      <w:pPr>
        <w:pStyle w:val="Ttulo"/>
        <w:rPr>
          <w:sz w:val="28"/>
          <w:szCs w:val="28"/>
        </w:rPr>
      </w:pPr>
      <w:r w:rsidRPr="003F4E30">
        <w:rPr>
          <w:sz w:val="28"/>
          <w:szCs w:val="28"/>
        </w:rPr>
        <w:t>Evonik increases additive capacities for architectural paints</w:t>
      </w:r>
    </w:p>
    <w:p w14:paraId="54EAF7B8" w14:textId="77777777" w:rsidR="00BD4231" w:rsidRPr="001301A9" w:rsidRDefault="00BD4231" w:rsidP="00BD4231">
      <w:pPr>
        <w:pStyle w:val="Ttulo"/>
        <w:rPr>
          <w:sz w:val="28"/>
          <w:szCs w:val="28"/>
        </w:rPr>
      </w:pPr>
    </w:p>
    <w:p w14:paraId="082EA6CA" w14:textId="59438523" w:rsidR="003F4E30" w:rsidRPr="003F4E30" w:rsidRDefault="003F4E30" w:rsidP="003F4E30">
      <w:pPr>
        <w:numPr>
          <w:ilvl w:val="0"/>
          <w:numId w:val="34"/>
        </w:numPr>
        <w:ind w:right="85"/>
        <w:rPr>
          <w:rFonts w:cs="Lucida Sans Unicode"/>
          <w:sz w:val="24"/>
        </w:rPr>
      </w:pPr>
      <w:r w:rsidRPr="003F4E30">
        <w:rPr>
          <w:rFonts w:cs="Lucida Sans Unicode"/>
          <w:sz w:val="24"/>
        </w:rPr>
        <w:t xml:space="preserve">Capacity expansion in Europe for TEGO® </w:t>
      </w:r>
      <w:proofErr w:type="spellStart"/>
      <w:r w:rsidRPr="003F4E30">
        <w:rPr>
          <w:rFonts w:cs="Lucida Sans Unicode"/>
          <w:sz w:val="24"/>
        </w:rPr>
        <w:t>Phobe</w:t>
      </w:r>
      <w:proofErr w:type="spellEnd"/>
      <w:r w:rsidRPr="003F4E30">
        <w:rPr>
          <w:rFonts w:cs="Lucida Sans Unicode"/>
          <w:sz w:val="24"/>
        </w:rPr>
        <w:t xml:space="preserve"> and TEGO® </w:t>
      </w:r>
      <w:proofErr w:type="spellStart"/>
      <w:r w:rsidRPr="003F4E30">
        <w:rPr>
          <w:rFonts w:cs="Lucida Sans Unicode"/>
          <w:sz w:val="24"/>
        </w:rPr>
        <w:t>Viscoplus</w:t>
      </w:r>
      <w:proofErr w:type="spellEnd"/>
    </w:p>
    <w:p w14:paraId="25775249" w14:textId="4E8F07FD" w:rsidR="003F4E30" w:rsidRDefault="003F4E30" w:rsidP="003F4E30">
      <w:pPr>
        <w:numPr>
          <w:ilvl w:val="0"/>
          <w:numId w:val="34"/>
        </w:numPr>
        <w:ind w:right="85"/>
        <w:rPr>
          <w:rFonts w:cs="Lucida Sans Unicode"/>
          <w:sz w:val="24"/>
        </w:rPr>
      </w:pPr>
      <w:r w:rsidRPr="003F4E30">
        <w:rPr>
          <w:rFonts w:cs="Lucida Sans Unicode"/>
          <w:sz w:val="24"/>
        </w:rPr>
        <w:t>Increase</w:t>
      </w:r>
      <w:r w:rsidR="00C777D2">
        <w:rPr>
          <w:rFonts w:cs="Lucida Sans Unicode"/>
          <w:sz w:val="24"/>
        </w:rPr>
        <w:t>d</w:t>
      </w:r>
      <w:r w:rsidRPr="003F4E30">
        <w:rPr>
          <w:rFonts w:cs="Lucida Sans Unicode"/>
          <w:sz w:val="24"/>
        </w:rPr>
        <w:t xml:space="preserve"> global supply security</w:t>
      </w:r>
      <w:r w:rsidR="00C777D2">
        <w:rPr>
          <w:rFonts w:cs="Lucida Sans Unicode"/>
          <w:sz w:val="24"/>
        </w:rPr>
        <w:t xml:space="preserve"> </w:t>
      </w:r>
      <w:r w:rsidR="00FC65C3">
        <w:rPr>
          <w:rFonts w:cs="Lucida Sans Unicode"/>
          <w:sz w:val="24"/>
        </w:rPr>
        <w:t xml:space="preserve">supports </w:t>
      </w:r>
      <w:r w:rsidR="00AB7E72">
        <w:rPr>
          <w:rFonts w:cs="Lucida Sans Unicode"/>
          <w:sz w:val="24"/>
        </w:rPr>
        <w:t xml:space="preserve">customer </w:t>
      </w:r>
      <w:r w:rsidR="0007037C">
        <w:rPr>
          <w:rFonts w:cs="Lucida Sans Unicode"/>
          <w:sz w:val="24"/>
        </w:rPr>
        <w:t xml:space="preserve">requirements </w:t>
      </w:r>
    </w:p>
    <w:p w14:paraId="17252816" w14:textId="77777777" w:rsidR="005B1B4A" w:rsidRPr="001301A9" w:rsidRDefault="005B1B4A" w:rsidP="00BD4231">
      <w:pPr>
        <w:rPr>
          <w:b/>
          <w:bCs/>
          <w:noProof/>
        </w:rPr>
      </w:pPr>
    </w:p>
    <w:p w14:paraId="72DD8A08" w14:textId="55FB133E" w:rsidR="003F4E30" w:rsidRDefault="00BD4231" w:rsidP="003F4E30">
      <w:pPr>
        <w:rPr>
          <w:noProof/>
        </w:rPr>
      </w:pPr>
      <w:r w:rsidRPr="00BD4231">
        <w:rPr>
          <w:b/>
          <w:bCs/>
          <w:noProof/>
        </w:rPr>
        <w:t>Essen, Germany.</w:t>
      </w:r>
      <w:r w:rsidRPr="00BD4231">
        <w:rPr>
          <w:noProof/>
        </w:rPr>
        <w:t xml:space="preserve"> </w:t>
      </w:r>
      <w:r w:rsidR="003F4E30">
        <w:rPr>
          <w:noProof/>
        </w:rPr>
        <w:t xml:space="preserve">Evonik's Coating Additives </w:t>
      </w:r>
      <w:r w:rsidR="003D6A8B">
        <w:rPr>
          <w:noProof/>
        </w:rPr>
        <w:t>b</w:t>
      </w:r>
      <w:r w:rsidR="003F4E30">
        <w:rPr>
          <w:noProof/>
        </w:rPr>
        <w:t xml:space="preserve">usiness </w:t>
      </w:r>
      <w:r w:rsidR="003D6A8B">
        <w:rPr>
          <w:noProof/>
        </w:rPr>
        <w:t>l</w:t>
      </w:r>
      <w:r w:rsidR="003F4E30">
        <w:rPr>
          <w:noProof/>
        </w:rPr>
        <w:t xml:space="preserve">ine is increasing capacities of two additive product groups for architectural paints: TEGO® Phobe </w:t>
      </w:r>
      <w:r w:rsidR="00453BD9">
        <w:rPr>
          <w:noProof/>
        </w:rPr>
        <w:t xml:space="preserve">hydrophobing agents </w:t>
      </w:r>
      <w:r w:rsidR="003F4E30">
        <w:rPr>
          <w:noProof/>
        </w:rPr>
        <w:t>and  TEGO® Viscoplus</w:t>
      </w:r>
      <w:r w:rsidR="0098765E">
        <w:rPr>
          <w:noProof/>
        </w:rPr>
        <w:t xml:space="preserve"> polyurethane thickeners</w:t>
      </w:r>
      <w:r w:rsidR="003F4E30">
        <w:rPr>
          <w:noProof/>
        </w:rPr>
        <w:t xml:space="preserve">. The new capacities will be available </w:t>
      </w:r>
      <w:r w:rsidR="000468ED">
        <w:rPr>
          <w:noProof/>
        </w:rPr>
        <w:t>from</w:t>
      </w:r>
      <w:r w:rsidR="00B05CE9">
        <w:rPr>
          <w:noProof/>
        </w:rPr>
        <w:t xml:space="preserve"> </w:t>
      </w:r>
      <w:r w:rsidR="003F4E30">
        <w:rPr>
          <w:noProof/>
        </w:rPr>
        <w:t xml:space="preserve">October. </w:t>
      </w:r>
    </w:p>
    <w:p w14:paraId="38055230" w14:textId="77777777" w:rsidR="003F4E30" w:rsidRDefault="003F4E30" w:rsidP="003F4E30">
      <w:pPr>
        <w:rPr>
          <w:noProof/>
        </w:rPr>
      </w:pPr>
    </w:p>
    <w:p w14:paraId="3F2EC9E3" w14:textId="5322628C" w:rsidR="003F4E30" w:rsidRDefault="003F4E30" w:rsidP="003F4E30">
      <w:pPr>
        <w:rPr>
          <w:noProof/>
        </w:rPr>
      </w:pPr>
      <w:r>
        <w:rPr>
          <w:noProof/>
        </w:rPr>
        <w:t>"The capacity increase is our response to the increased demand for additives for architectural paints," says Nadia Lenhardt, head of the Decorative Coatings market segment in EMEA. "The additional capacity in Europe will not only increase European</w:t>
      </w:r>
      <w:r w:rsidR="000468ED">
        <w:rPr>
          <w:noProof/>
        </w:rPr>
        <w:t>,</w:t>
      </w:r>
      <w:r>
        <w:rPr>
          <w:noProof/>
        </w:rPr>
        <w:t xml:space="preserve"> but also global supply security."</w:t>
      </w:r>
    </w:p>
    <w:p w14:paraId="0103EA20" w14:textId="77777777" w:rsidR="003F4E30" w:rsidRDefault="003F4E30" w:rsidP="003F4E30">
      <w:pPr>
        <w:rPr>
          <w:noProof/>
        </w:rPr>
      </w:pPr>
    </w:p>
    <w:p w14:paraId="0E398D3E" w14:textId="5EE79E15" w:rsidR="003F4E30" w:rsidRDefault="003F4E30" w:rsidP="003F4E30">
      <w:pPr>
        <w:rPr>
          <w:noProof/>
        </w:rPr>
      </w:pPr>
      <w:r>
        <w:rPr>
          <w:noProof/>
        </w:rPr>
        <w:t xml:space="preserve">Hydrophobing agents are primarily used to give facade paints a water-repellent finish. Emulsions </w:t>
      </w:r>
      <w:r w:rsidR="004D7753">
        <w:rPr>
          <w:noProof/>
        </w:rPr>
        <w:t>based on</w:t>
      </w:r>
      <w:r>
        <w:rPr>
          <w:noProof/>
        </w:rPr>
        <w:t xml:space="preserve"> silicone resin</w:t>
      </w:r>
      <w:r w:rsidR="004D7753">
        <w:rPr>
          <w:noProof/>
        </w:rPr>
        <w:t>s</w:t>
      </w:r>
      <w:r>
        <w:rPr>
          <w:noProof/>
        </w:rPr>
        <w:t xml:space="preserve"> such as TEGO® Phobe 1659 are characterized by a particularly efficient reduction in water absorption. Polysiloxanes such as TEGO® Phobe 1409 produce a very good water-beading effect.</w:t>
      </w:r>
    </w:p>
    <w:p w14:paraId="50EC3F2B" w14:textId="77777777" w:rsidR="003F4E30" w:rsidRDefault="003F4E30" w:rsidP="003F4E30">
      <w:pPr>
        <w:rPr>
          <w:noProof/>
        </w:rPr>
      </w:pPr>
    </w:p>
    <w:p w14:paraId="354D3246" w14:textId="429B0E24" w:rsidR="005916CD" w:rsidRDefault="003F4E30" w:rsidP="003F4E30">
      <w:pPr>
        <w:rPr>
          <w:noProof/>
        </w:rPr>
      </w:pPr>
      <w:r>
        <w:rPr>
          <w:noProof/>
        </w:rPr>
        <w:t>The TEGO® Viscoplus product range includes polyurethane thickeners that cover all relevant customer requirements. The TEGO® Viscoplus products are liquid and contain no organic solvents. The different products can be easily combined with each other due to their high compatibility.</w:t>
      </w:r>
    </w:p>
    <w:p w14:paraId="517A62DA" w14:textId="77777777" w:rsidR="003F4E30" w:rsidRDefault="003F4E30" w:rsidP="003F4E30">
      <w:pPr>
        <w:rPr>
          <w:noProof/>
        </w:rPr>
      </w:pPr>
    </w:p>
    <w:p w14:paraId="6E9B1C6D" w14:textId="2A5CF90D" w:rsidR="00B205BD" w:rsidRPr="00BD4231" w:rsidRDefault="00B205BD" w:rsidP="00BD4231">
      <w:pPr>
        <w:rPr>
          <w:noProof/>
        </w:rPr>
      </w:pPr>
      <w:r>
        <w:rPr>
          <w:noProof/>
        </w:rPr>
        <w:t>For more information please visit</w:t>
      </w:r>
      <w:r w:rsidR="008A2101">
        <w:rPr>
          <w:noProof/>
        </w:rPr>
        <w:t xml:space="preserve"> </w:t>
      </w:r>
      <w:hyperlink r:id="rId10" w:history="1">
        <w:r w:rsidR="00732736" w:rsidRPr="00A95270">
          <w:rPr>
            <w:rStyle w:val="Hyperlink"/>
            <w:noProof/>
          </w:rPr>
          <w:t>www.coating-additives.com</w:t>
        </w:r>
      </w:hyperlink>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lastRenderedPageBreak/>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F468" w14:textId="77777777" w:rsidR="00490B20" w:rsidRDefault="00490B20" w:rsidP="00FD1184">
      <w:r>
        <w:separator/>
      </w:r>
    </w:p>
  </w:endnote>
  <w:endnote w:type="continuationSeparator" w:id="0">
    <w:p w14:paraId="53787BF4" w14:textId="77777777" w:rsidR="00490B20" w:rsidRDefault="00490B2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F652" w14:textId="77777777" w:rsidR="00490B20" w:rsidRDefault="00490B20" w:rsidP="00FD1184">
      <w:r>
        <w:separator/>
      </w:r>
    </w:p>
  </w:footnote>
  <w:footnote w:type="continuationSeparator" w:id="0">
    <w:p w14:paraId="0FDDB0FE" w14:textId="77777777" w:rsidR="00490B20" w:rsidRDefault="00490B2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97110638">
    <w:abstractNumId w:val="9"/>
  </w:num>
  <w:num w:numId="2" w16cid:durableId="1132334558">
    <w:abstractNumId w:val="7"/>
  </w:num>
  <w:num w:numId="3" w16cid:durableId="395933359">
    <w:abstractNumId w:val="6"/>
  </w:num>
  <w:num w:numId="4" w16cid:durableId="1095517020">
    <w:abstractNumId w:val="5"/>
  </w:num>
  <w:num w:numId="5" w16cid:durableId="745111343">
    <w:abstractNumId w:val="4"/>
  </w:num>
  <w:num w:numId="6" w16cid:durableId="950822972">
    <w:abstractNumId w:val="8"/>
  </w:num>
  <w:num w:numId="7" w16cid:durableId="177695657">
    <w:abstractNumId w:val="3"/>
  </w:num>
  <w:num w:numId="8" w16cid:durableId="1876431091">
    <w:abstractNumId w:val="2"/>
  </w:num>
  <w:num w:numId="9" w16cid:durableId="1102651195">
    <w:abstractNumId w:val="1"/>
  </w:num>
  <w:num w:numId="10" w16cid:durableId="1741057542">
    <w:abstractNumId w:val="0"/>
  </w:num>
  <w:num w:numId="11" w16cid:durableId="2092893021">
    <w:abstractNumId w:val="12"/>
  </w:num>
  <w:num w:numId="12" w16cid:durableId="438526954">
    <w:abstractNumId w:val="15"/>
  </w:num>
  <w:num w:numId="13" w16cid:durableId="1801339379">
    <w:abstractNumId w:val="14"/>
  </w:num>
  <w:num w:numId="14" w16cid:durableId="439224667">
    <w:abstractNumId w:val="10"/>
  </w:num>
  <w:num w:numId="15" w16cid:durableId="1055354148">
    <w:abstractNumId w:val="19"/>
  </w:num>
  <w:num w:numId="16" w16cid:durableId="576087789">
    <w:abstractNumId w:val="17"/>
  </w:num>
  <w:num w:numId="17" w16cid:durableId="984352139">
    <w:abstractNumId w:val="11"/>
  </w:num>
  <w:num w:numId="18" w16cid:durableId="1873303339">
    <w:abstractNumId w:val="12"/>
  </w:num>
  <w:num w:numId="19" w16cid:durableId="1809319732">
    <w:abstractNumId w:val="15"/>
  </w:num>
  <w:num w:numId="20" w16cid:durableId="1647588958">
    <w:abstractNumId w:val="14"/>
  </w:num>
  <w:num w:numId="21" w16cid:durableId="1408920142">
    <w:abstractNumId w:val="9"/>
  </w:num>
  <w:num w:numId="22" w16cid:durableId="1002900183">
    <w:abstractNumId w:val="7"/>
  </w:num>
  <w:num w:numId="23" w16cid:durableId="1084764918">
    <w:abstractNumId w:val="6"/>
  </w:num>
  <w:num w:numId="24" w16cid:durableId="270404733">
    <w:abstractNumId w:val="5"/>
  </w:num>
  <w:num w:numId="25" w16cid:durableId="952400850">
    <w:abstractNumId w:val="4"/>
  </w:num>
  <w:num w:numId="26" w16cid:durableId="2060086115">
    <w:abstractNumId w:val="8"/>
  </w:num>
  <w:num w:numId="27" w16cid:durableId="801071835">
    <w:abstractNumId w:val="3"/>
  </w:num>
  <w:num w:numId="28" w16cid:durableId="2057508981">
    <w:abstractNumId w:val="2"/>
  </w:num>
  <w:num w:numId="29" w16cid:durableId="446699990">
    <w:abstractNumId w:val="1"/>
  </w:num>
  <w:num w:numId="30" w16cid:durableId="282201103">
    <w:abstractNumId w:val="0"/>
  </w:num>
  <w:num w:numId="31" w16cid:durableId="2075736469">
    <w:abstractNumId w:val="10"/>
  </w:num>
  <w:num w:numId="32" w16cid:durableId="212738685">
    <w:abstractNumId w:val="16"/>
  </w:num>
  <w:num w:numId="33" w16cid:durableId="1117532106">
    <w:abstractNumId w:val="13"/>
  </w:num>
  <w:num w:numId="34" w16cid:durableId="12758713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E2D"/>
    <w:rsid w:val="00020EC3"/>
    <w:rsid w:val="00024968"/>
    <w:rsid w:val="000266C8"/>
    <w:rsid w:val="00035360"/>
    <w:rsid w:val="000400C5"/>
    <w:rsid w:val="000468ED"/>
    <w:rsid w:val="00046C72"/>
    <w:rsid w:val="00047E57"/>
    <w:rsid w:val="00065F30"/>
    <w:rsid w:val="0007037C"/>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D1F88"/>
    <w:rsid w:val="001F7C26"/>
    <w:rsid w:val="0021610F"/>
    <w:rsid w:val="00221C32"/>
    <w:rsid w:val="00241B78"/>
    <w:rsid w:val="002427AA"/>
    <w:rsid w:val="0024351A"/>
    <w:rsid w:val="0024351E"/>
    <w:rsid w:val="00262FDD"/>
    <w:rsid w:val="00275336"/>
    <w:rsid w:val="0027659F"/>
    <w:rsid w:val="00287090"/>
    <w:rsid w:val="00290F07"/>
    <w:rsid w:val="002921CD"/>
    <w:rsid w:val="00297309"/>
    <w:rsid w:val="002A3233"/>
    <w:rsid w:val="002B1589"/>
    <w:rsid w:val="002B27EE"/>
    <w:rsid w:val="002B3989"/>
    <w:rsid w:val="002B6293"/>
    <w:rsid w:val="002B645E"/>
    <w:rsid w:val="002C0758"/>
    <w:rsid w:val="002C10C6"/>
    <w:rsid w:val="002C12A0"/>
    <w:rsid w:val="002C2C32"/>
    <w:rsid w:val="002C3A42"/>
    <w:rsid w:val="002D206A"/>
    <w:rsid w:val="002D2996"/>
    <w:rsid w:val="002D4E6A"/>
    <w:rsid w:val="002D5F0C"/>
    <w:rsid w:val="002E6789"/>
    <w:rsid w:val="002F364E"/>
    <w:rsid w:val="002F49B3"/>
    <w:rsid w:val="00301998"/>
    <w:rsid w:val="00304BC7"/>
    <w:rsid w:val="003067D4"/>
    <w:rsid w:val="0031020E"/>
    <w:rsid w:val="00310BD6"/>
    <w:rsid w:val="00316EC0"/>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A8B"/>
    <w:rsid w:val="003D6E84"/>
    <w:rsid w:val="003E36CC"/>
    <w:rsid w:val="003E4D56"/>
    <w:rsid w:val="003F4CD0"/>
    <w:rsid w:val="003F4E30"/>
    <w:rsid w:val="004016F5"/>
    <w:rsid w:val="00402F1D"/>
    <w:rsid w:val="00413A9D"/>
    <w:rsid w:val="004146D3"/>
    <w:rsid w:val="00415B22"/>
    <w:rsid w:val="0042051F"/>
    <w:rsid w:val="00422338"/>
    <w:rsid w:val="00424F52"/>
    <w:rsid w:val="00453BD9"/>
    <w:rsid w:val="00464856"/>
    <w:rsid w:val="00476F6F"/>
    <w:rsid w:val="0048125C"/>
    <w:rsid w:val="004820F9"/>
    <w:rsid w:val="0048367F"/>
    <w:rsid w:val="0048475A"/>
    <w:rsid w:val="00486462"/>
    <w:rsid w:val="00490B20"/>
    <w:rsid w:val="0049367A"/>
    <w:rsid w:val="004A17C4"/>
    <w:rsid w:val="004A5E45"/>
    <w:rsid w:val="004C09D4"/>
    <w:rsid w:val="004C520C"/>
    <w:rsid w:val="004C5E53"/>
    <w:rsid w:val="004C672E"/>
    <w:rsid w:val="004C6772"/>
    <w:rsid w:val="004C7B9F"/>
    <w:rsid w:val="004D021B"/>
    <w:rsid w:val="004D7753"/>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52ADA"/>
    <w:rsid w:val="0057548A"/>
    <w:rsid w:val="00576CDA"/>
    <w:rsid w:val="00582643"/>
    <w:rsid w:val="00582C0E"/>
    <w:rsid w:val="00583E3E"/>
    <w:rsid w:val="00584BAB"/>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60031A"/>
    <w:rsid w:val="00600E86"/>
    <w:rsid w:val="00605C02"/>
    <w:rsid w:val="00605CF5"/>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33D3"/>
    <w:rsid w:val="00775D2E"/>
    <w:rsid w:val="007767AB"/>
    <w:rsid w:val="00784360"/>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40CD4"/>
    <w:rsid w:val="0084389E"/>
    <w:rsid w:val="00854DB8"/>
    <w:rsid w:val="00860A6B"/>
    <w:rsid w:val="00867FF1"/>
    <w:rsid w:val="0087464F"/>
    <w:rsid w:val="00880AB0"/>
    <w:rsid w:val="008822FB"/>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8765E"/>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33FB"/>
    <w:rsid w:val="00A34137"/>
    <w:rsid w:val="00A35B43"/>
    <w:rsid w:val="00A3644E"/>
    <w:rsid w:val="00A375B5"/>
    <w:rsid w:val="00A41C88"/>
    <w:rsid w:val="00A525CB"/>
    <w:rsid w:val="00A54F2A"/>
    <w:rsid w:val="00A60CE5"/>
    <w:rsid w:val="00A70C5E"/>
    <w:rsid w:val="00A712B8"/>
    <w:rsid w:val="00A804CC"/>
    <w:rsid w:val="00A81F2D"/>
    <w:rsid w:val="00A903CA"/>
    <w:rsid w:val="00A93C15"/>
    <w:rsid w:val="00A94EC5"/>
    <w:rsid w:val="00A97189"/>
    <w:rsid w:val="00A97CD7"/>
    <w:rsid w:val="00A97EAD"/>
    <w:rsid w:val="00AA15C6"/>
    <w:rsid w:val="00AB1F39"/>
    <w:rsid w:val="00AB7E72"/>
    <w:rsid w:val="00AE3848"/>
    <w:rsid w:val="00AF0606"/>
    <w:rsid w:val="00AF3037"/>
    <w:rsid w:val="00AF3235"/>
    <w:rsid w:val="00AF6529"/>
    <w:rsid w:val="00AF7D27"/>
    <w:rsid w:val="00B05CE9"/>
    <w:rsid w:val="00B175C1"/>
    <w:rsid w:val="00B2025B"/>
    <w:rsid w:val="00B205BD"/>
    <w:rsid w:val="00B22A85"/>
    <w:rsid w:val="00B31D5A"/>
    <w:rsid w:val="00B41F99"/>
    <w:rsid w:val="00B500E0"/>
    <w:rsid w:val="00B5137F"/>
    <w:rsid w:val="00B53E0B"/>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75B8"/>
    <w:rsid w:val="00BC1B97"/>
    <w:rsid w:val="00BC1D7E"/>
    <w:rsid w:val="00BD35EB"/>
    <w:rsid w:val="00BD4231"/>
    <w:rsid w:val="00BD5FD5"/>
    <w:rsid w:val="00BE1628"/>
    <w:rsid w:val="00BE3A15"/>
    <w:rsid w:val="00BF2CEC"/>
    <w:rsid w:val="00BF30BC"/>
    <w:rsid w:val="00BF70B0"/>
    <w:rsid w:val="00BF7733"/>
    <w:rsid w:val="00BF7C77"/>
    <w:rsid w:val="00C003E6"/>
    <w:rsid w:val="00C00795"/>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777D2"/>
    <w:rsid w:val="00C930F0"/>
    <w:rsid w:val="00C94042"/>
    <w:rsid w:val="00CA6F45"/>
    <w:rsid w:val="00CB3A53"/>
    <w:rsid w:val="00CB7AC4"/>
    <w:rsid w:val="00CC3E7B"/>
    <w:rsid w:val="00CC61F9"/>
    <w:rsid w:val="00CD1EE7"/>
    <w:rsid w:val="00CD2F14"/>
    <w:rsid w:val="00CE2E92"/>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7EB3"/>
    <w:rsid w:val="00F018DC"/>
    <w:rsid w:val="00F5602B"/>
    <w:rsid w:val="00F6598A"/>
    <w:rsid w:val="00F66FEE"/>
    <w:rsid w:val="00F7258C"/>
    <w:rsid w:val="00F72AB1"/>
    <w:rsid w:val="00F94E80"/>
    <w:rsid w:val="00F96B9B"/>
    <w:rsid w:val="00FA151A"/>
    <w:rsid w:val="00FA5F5C"/>
    <w:rsid w:val="00FA7115"/>
    <w:rsid w:val="00FB2148"/>
    <w:rsid w:val="00FB316C"/>
    <w:rsid w:val="00FB7939"/>
    <w:rsid w:val="00FC57FE"/>
    <w:rsid w:val="00FC641F"/>
    <w:rsid w:val="00FC65C3"/>
    <w:rsid w:val="00FC7A2A"/>
    <w:rsid w:val="00FD0461"/>
    <w:rsid w:val="00FD1184"/>
    <w:rsid w:val="00FD5B51"/>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semiHidden/>
    <w:unhideWhenUsed/>
    <w:rsid w:val="00B41F99"/>
    <w:pPr>
      <w:spacing w:line="240" w:lineRule="auto"/>
    </w:pPr>
    <w:rPr>
      <w:sz w:val="20"/>
      <w:szCs w:val="20"/>
    </w:rPr>
  </w:style>
  <w:style w:type="character" w:customStyle="1" w:styleId="TextodecomentrioChar">
    <w:name w:val="Texto de comentário Char"/>
    <w:basedOn w:val="Fontepargpadro"/>
    <w:link w:val="Textodecomentrio"/>
    <w:semiHidden/>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2965</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2022-09-26T12:16:00Z</cp:lastPrinted>
  <dcterms:created xsi:type="dcterms:W3CDTF">2022-09-27T20:23:00Z</dcterms:created>
  <dcterms:modified xsi:type="dcterms:W3CDTF">2022-09-27T20:23:00Z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