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05492A" w14:paraId="3C5899D8" w14:textId="77777777" w:rsidTr="002159BA">
        <w:trPr>
          <w:trHeight w:val="851"/>
        </w:trPr>
        <w:tc>
          <w:tcPr>
            <w:tcW w:w="2552" w:type="dxa"/>
            <w:shd w:val="clear" w:color="auto" w:fill="auto"/>
          </w:tcPr>
          <w:p w14:paraId="7E312452" w14:textId="321695AC" w:rsidR="000B1B97" w:rsidRPr="00AF071B" w:rsidRDefault="00C4015D" w:rsidP="000B1B97">
            <w:pPr>
              <w:pStyle w:val="M8"/>
              <w:framePr w:wrap="auto" w:vAnchor="margin" w:hAnchor="text" w:xAlign="left" w:yAlign="inline"/>
              <w:suppressOverlap w:val="0"/>
              <w:rPr>
                <w:sz w:val="18"/>
                <w:szCs w:val="18"/>
                <w:lang w:val="en-US"/>
              </w:rPr>
            </w:pPr>
            <w:r>
              <w:rPr>
                <w:sz w:val="18"/>
                <w:szCs w:val="18"/>
                <w:lang w:val="en-US"/>
              </w:rPr>
              <w:t>May 9</w:t>
            </w:r>
            <w:r w:rsidR="00AF071B" w:rsidRPr="00AF071B">
              <w:rPr>
                <w:sz w:val="18"/>
                <w:szCs w:val="18"/>
                <w:lang w:val="en-US"/>
              </w:rPr>
              <w:t xml:space="preserve">, </w:t>
            </w:r>
            <w:r w:rsidR="00CE17BF" w:rsidRPr="00AF071B">
              <w:rPr>
                <w:sz w:val="18"/>
                <w:szCs w:val="18"/>
                <w:lang w:val="en-US"/>
              </w:rPr>
              <w:t>2023</w:t>
            </w:r>
          </w:p>
          <w:p w14:paraId="3E4B4710" w14:textId="77777777" w:rsidR="000B1B97" w:rsidRPr="00AF071B" w:rsidRDefault="000B1B97" w:rsidP="000B1B97">
            <w:pPr>
              <w:pStyle w:val="M8"/>
              <w:framePr w:wrap="auto" w:vAnchor="margin" w:hAnchor="text" w:xAlign="left" w:yAlign="inline"/>
              <w:suppressOverlap w:val="0"/>
              <w:rPr>
                <w:b/>
                <w:lang w:val="en-US"/>
              </w:rPr>
            </w:pPr>
          </w:p>
          <w:p w14:paraId="68F21297" w14:textId="77777777" w:rsidR="000B1B97" w:rsidRPr="00AF071B" w:rsidRDefault="000B1B97" w:rsidP="000B1B97">
            <w:pPr>
              <w:pStyle w:val="M8"/>
              <w:framePr w:wrap="auto" w:vAnchor="margin" w:hAnchor="text" w:xAlign="left" w:yAlign="inline"/>
              <w:suppressOverlap w:val="0"/>
              <w:rPr>
                <w:b/>
                <w:lang w:val="en-US"/>
              </w:rPr>
            </w:pPr>
          </w:p>
          <w:p w14:paraId="29C02CA2" w14:textId="31D7D5D8" w:rsidR="000B1B97" w:rsidRPr="00AF071B" w:rsidRDefault="000B1B97" w:rsidP="000B1B97">
            <w:pPr>
              <w:pStyle w:val="M8"/>
              <w:framePr w:wrap="auto" w:vAnchor="margin" w:hAnchor="text" w:xAlign="left" w:yAlign="inline"/>
              <w:suppressOverlap w:val="0"/>
              <w:rPr>
                <w:b/>
                <w:lang w:val="en-US"/>
              </w:rPr>
            </w:pPr>
            <w:r w:rsidRPr="00AF071B">
              <w:rPr>
                <w:b/>
                <w:lang w:val="en-US"/>
              </w:rPr>
              <w:br/>
            </w:r>
            <w:r w:rsidR="00F431F9" w:rsidRPr="00AF071B">
              <w:rPr>
                <w:b/>
                <w:lang w:val="en-US"/>
              </w:rPr>
              <w:t>J</w:t>
            </w:r>
            <w:r w:rsidR="00AF071B" w:rsidRPr="00AF071B">
              <w:rPr>
                <w:b/>
                <w:lang w:val="en-US"/>
              </w:rPr>
              <w:t>oe</w:t>
            </w:r>
            <w:r w:rsidR="00F431F9" w:rsidRPr="00AF071B">
              <w:rPr>
                <w:b/>
                <w:lang w:val="en-US"/>
              </w:rPr>
              <w:t>rg Wagner</w:t>
            </w:r>
          </w:p>
          <w:p w14:paraId="4C7D0D68" w14:textId="55CE9FF6" w:rsidR="00242A50" w:rsidRPr="00AF071B" w:rsidRDefault="00AF071B" w:rsidP="000B1B97">
            <w:pPr>
              <w:pStyle w:val="M8"/>
              <w:framePr w:wrap="auto" w:vAnchor="margin" w:hAnchor="text" w:xAlign="left" w:yAlign="inline"/>
              <w:suppressOverlap w:val="0"/>
              <w:rPr>
                <w:b/>
                <w:lang w:val="en-US"/>
              </w:rPr>
            </w:pPr>
            <w:r w:rsidRPr="00AF071B">
              <w:rPr>
                <w:b/>
                <w:lang w:val="en-US"/>
              </w:rPr>
              <w:t>Head</w:t>
            </w:r>
            <w:r w:rsidR="00110640" w:rsidRPr="00AF071B">
              <w:rPr>
                <w:b/>
                <w:lang w:val="en-US"/>
              </w:rPr>
              <w:t xml:space="preserve"> </w:t>
            </w:r>
            <w:r w:rsidR="00A96F0A">
              <w:rPr>
                <w:b/>
                <w:lang w:val="en-US"/>
              </w:rPr>
              <w:t xml:space="preserve">of </w:t>
            </w:r>
            <w:r w:rsidR="00242A50" w:rsidRPr="00AF071B">
              <w:rPr>
                <w:b/>
                <w:lang w:val="en-US"/>
              </w:rPr>
              <w:t>Extern</w:t>
            </w:r>
            <w:r w:rsidRPr="00AF071B">
              <w:rPr>
                <w:b/>
                <w:lang w:val="en-US"/>
              </w:rPr>
              <w:t>al</w:t>
            </w:r>
            <w:r w:rsidR="00242A50" w:rsidRPr="00AF071B">
              <w:rPr>
                <w:b/>
                <w:lang w:val="en-US"/>
              </w:rPr>
              <w:t xml:space="preserve"> </w:t>
            </w:r>
            <w:r w:rsidRPr="00AF071B">
              <w:rPr>
                <w:b/>
                <w:lang w:val="en-US"/>
              </w:rPr>
              <w:t>C</w:t>
            </w:r>
            <w:r>
              <w:rPr>
                <w:b/>
                <w:lang w:val="en-US"/>
              </w:rPr>
              <w:t>ommunications</w:t>
            </w:r>
          </w:p>
          <w:p w14:paraId="74781E5A" w14:textId="4033CA1D" w:rsidR="00110640" w:rsidRPr="00010615" w:rsidRDefault="00940BB9" w:rsidP="000B1B97">
            <w:pPr>
              <w:pStyle w:val="M9"/>
              <w:framePr w:wrap="auto" w:vAnchor="margin" w:hAnchor="text" w:xAlign="left" w:yAlign="inline"/>
              <w:suppressOverlap w:val="0"/>
              <w:rPr>
                <w:lang w:val="fr-FR"/>
              </w:rPr>
            </w:pPr>
            <w:r w:rsidRPr="00010615">
              <w:rPr>
                <w:lang w:val="fr-FR"/>
              </w:rPr>
              <w:t>P</w:t>
            </w:r>
            <w:r w:rsidR="00A96F0A" w:rsidRPr="00010615">
              <w:rPr>
                <w:lang w:val="fr-FR"/>
              </w:rPr>
              <w:t>h</w:t>
            </w:r>
            <w:r w:rsidR="000B1B97" w:rsidRPr="00010615">
              <w:rPr>
                <w:lang w:val="fr-FR"/>
              </w:rPr>
              <w:t>on</w:t>
            </w:r>
            <w:r w:rsidR="00AF071B" w:rsidRPr="00010615">
              <w:rPr>
                <w:lang w:val="fr-FR"/>
              </w:rPr>
              <w:t>e</w:t>
            </w:r>
            <w:r w:rsidR="000B1B97" w:rsidRPr="00010615">
              <w:rPr>
                <w:lang w:val="fr-FR"/>
              </w:rPr>
              <w:t xml:space="preserve"> +49 </w:t>
            </w:r>
            <w:r w:rsidR="00110640" w:rsidRPr="00010615">
              <w:rPr>
                <w:lang w:val="fr-FR"/>
              </w:rPr>
              <w:t>201 177</w:t>
            </w:r>
            <w:r w:rsidRPr="00010615">
              <w:rPr>
                <w:lang w:val="fr-FR"/>
              </w:rPr>
              <w:t xml:space="preserve"> </w:t>
            </w:r>
            <w:r w:rsidR="00110640" w:rsidRPr="00010615">
              <w:rPr>
                <w:lang w:val="fr-FR"/>
              </w:rPr>
              <w:t>3</w:t>
            </w:r>
            <w:r w:rsidR="00F222F0" w:rsidRPr="00010615">
              <w:rPr>
                <w:lang w:val="fr-FR"/>
              </w:rPr>
              <w:t>408</w:t>
            </w:r>
          </w:p>
          <w:p w14:paraId="3F315F27" w14:textId="344B303D" w:rsidR="000B1B97" w:rsidRPr="00010615" w:rsidRDefault="00317BB5" w:rsidP="000B1B97">
            <w:pPr>
              <w:pStyle w:val="M9"/>
              <w:framePr w:wrap="auto" w:vAnchor="margin" w:hAnchor="text" w:xAlign="left" w:yAlign="inline"/>
              <w:suppressOverlap w:val="0"/>
              <w:rPr>
                <w:lang w:val="fr-FR"/>
              </w:rPr>
            </w:pPr>
            <w:r w:rsidRPr="00010615">
              <w:rPr>
                <w:lang w:val="fr-FR"/>
              </w:rPr>
              <w:t>Mobil</w:t>
            </w:r>
            <w:r w:rsidR="00AF071B" w:rsidRPr="00010615">
              <w:rPr>
                <w:lang w:val="fr-FR"/>
              </w:rPr>
              <w:t>e</w:t>
            </w:r>
            <w:r w:rsidR="00110640" w:rsidRPr="00010615">
              <w:rPr>
                <w:lang w:val="fr-FR"/>
              </w:rPr>
              <w:t xml:space="preserve"> +49 1</w:t>
            </w:r>
            <w:r w:rsidR="00FB5C1F" w:rsidRPr="00010615">
              <w:rPr>
                <w:lang w:val="fr-FR"/>
              </w:rPr>
              <w:t xml:space="preserve">52 </w:t>
            </w:r>
            <w:r w:rsidR="00ED14CA" w:rsidRPr="00010615">
              <w:rPr>
                <w:lang w:val="fr-FR"/>
              </w:rPr>
              <w:t>5638 6040</w:t>
            </w:r>
            <w:r w:rsidR="000B1B97" w:rsidRPr="00010615">
              <w:rPr>
                <w:lang w:val="fr-FR"/>
              </w:rPr>
              <w:t xml:space="preserve"> </w:t>
            </w:r>
          </w:p>
          <w:p w14:paraId="641C29C4" w14:textId="56002A13" w:rsidR="000B1B97" w:rsidRDefault="00000000" w:rsidP="000B1B97">
            <w:pPr>
              <w:pStyle w:val="M10"/>
              <w:framePr w:wrap="auto" w:vAnchor="margin" w:hAnchor="text" w:xAlign="left" w:yAlign="inline"/>
              <w:suppressOverlap w:val="0"/>
            </w:pPr>
            <w:hyperlink r:id="rId11" w:history="1">
              <w:r w:rsidR="00212D4A" w:rsidRPr="00F10E02">
                <w:rPr>
                  <w:rStyle w:val="Hyperlink"/>
                </w:rPr>
                <w:t>Joerg2.Wagner@evonik.com</w:t>
              </w:r>
            </w:hyperlink>
          </w:p>
          <w:p w14:paraId="545AAD39" w14:textId="77777777" w:rsidR="00212D4A" w:rsidRDefault="00212D4A" w:rsidP="000B1B97">
            <w:pPr>
              <w:pStyle w:val="M10"/>
              <w:framePr w:wrap="auto" w:vAnchor="margin" w:hAnchor="text" w:xAlign="left" w:yAlign="inline"/>
              <w:suppressOverlap w:val="0"/>
            </w:pPr>
          </w:p>
          <w:p w14:paraId="5A557553" w14:textId="77777777" w:rsidR="000B1B97" w:rsidRDefault="000B1B97" w:rsidP="000B1B97">
            <w:pPr>
              <w:pStyle w:val="M10"/>
              <w:framePr w:wrap="auto" w:vAnchor="margin" w:hAnchor="text" w:xAlign="left" w:yAlign="inline"/>
              <w:suppressOverlap w:val="0"/>
            </w:pPr>
          </w:p>
          <w:p w14:paraId="1B82E7EB" w14:textId="3D85587F" w:rsidR="00212D4A" w:rsidRPr="00AF071B" w:rsidRDefault="00212D4A" w:rsidP="00212D4A">
            <w:pPr>
              <w:pStyle w:val="M8"/>
              <w:framePr w:wrap="auto" w:vAnchor="margin" w:hAnchor="text" w:xAlign="left" w:yAlign="inline"/>
              <w:suppressOverlap w:val="0"/>
              <w:rPr>
                <w:b/>
                <w:lang w:val="en-US"/>
              </w:rPr>
            </w:pPr>
            <w:r w:rsidRPr="00AF071B">
              <w:rPr>
                <w:b/>
                <w:lang w:val="en-US"/>
              </w:rPr>
              <w:t>Richard Wei</w:t>
            </w:r>
            <w:r w:rsidR="00AF071B" w:rsidRPr="00AF071B">
              <w:rPr>
                <w:b/>
                <w:lang w:val="en-US"/>
              </w:rPr>
              <w:t>ss</w:t>
            </w:r>
          </w:p>
          <w:p w14:paraId="65AA1920" w14:textId="77777777" w:rsidR="00AF071B" w:rsidRPr="00AF071B" w:rsidRDefault="00AF071B" w:rsidP="00212D4A">
            <w:pPr>
              <w:pStyle w:val="M9"/>
              <w:framePr w:wrap="auto" w:vAnchor="margin" w:hAnchor="text" w:xAlign="left" w:yAlign="inline"/>
              <w:suppressOverlap w:val="0"/>
              <w:rPr>
                <w:lang w:val="en-US"/>
              </w:rPr>
            </w:pPr>
            <w:r w:rsidRPr="00AF071B">
              <w:rPr>
                <w:b/>
                <w:lang w:val="en-US"/>
              </w:rPr>
              <w:t>External C</w:t>
            </w:r>
            <w:r>
              <w:rPr>
                <w:b/>
                <w:lang w:val="en-US"/>
              </w:rPr>
              <w:t>ommunications</w:t>
            </w:r>
            <w:r w:rsidRPr="00AF071B">
              <w:rPr>
                <w:lang w:val="en-US"/>
              </w:rPr>
              <w:t xml:space="preserve"> </w:t>
            </w:r>
          </w:p>
          <w:p w14:paraId="2F111E1A" w14:textId="587819B6" w:rsidR="00212D4A" w:rsidRPr="00AF071B" w:rsidRDefault="00940BB9" w:rsidP="00212D4A">
            <w:pPr>
              <w:pStyle w:val="M9"/>
              <w:framePr w:wrap="auto" w:vAnchor="margin" w:hAnchor="text" w:xAlign="left" w:yAlign="inline"/>
              <w:suppressOverlap w:val="0"/>
              <w:rPr>
                <w:lang w:val="en-US"/>
              </w:rPr>
            </w:pPr>
            <w:r>
              <w:rPr>
                <w:lang w:val="en-US"/>
              </w:rPr>
              <w:t>P</w:t>
            </w:r>
            <w:r w:rsidR="00A96F0A" w:rsidRPr="00AF071B">
              <w:rPr>
                <w:lang w:val="en-US"/>
              </w:rPr>
              <w:t>hone</w:t>
            </w:r>
            <w:r w:rsidR="00212D4A" w:rsidRPr="00AF071B">
              <w:rPr>
                <w:lang w:val="en-US"/>
              </w:rPr>
              <w:t xml:space="preserve"> +49 201 177</w:t>
            </w:r>
            <w:r>
              <w:rPr>
                <w:lang w:val="en-US"/>
              </w:rPr>
              <w:t xml:space="preserve"> </w:t>
            </w:r>
            <w:r w:rsidR="00212D4A" w:rsidRPr="00AF071B">
              <w:rPr>
                <w:lang w:val="en-US"/>
              </w:rPr>
              <w:t>2532</w:t>
            </w:r>
          </w:p>
          <w:p w14:paraId="3EBC90D4" w14:textId="4F293433" w:rsidR="00212D4A" w:rsidRPr="0005492A" w:rsidRDefault="00212D4A" w:rsidP="00212D4A">
            <w:pPr>
              <w:pStyle w:val="M9"/>
              <w:framePr w:wrap="auto" w:vAnchor="margin" w:hAnchor="text" w:xAlign="left" w:yAlign="inline"/>
              <w:suppressOverlap w:val="0"/>
              <w:rPr>
                <w:lang w:val="en-US"/>
              </w:rPr>
            </w:pPr>
            <w:r w:rsidRPr="0005492A">
              <w:rPr>
                <w:lang w:val="en-US"/>
              </w:rPr>
              <w:t>Mobil</w:t>
            </w:r>
            <w:r w:rsidR="00AF071B" w:rsidRPr="0005492A">
              <w:rPr>
                <w:lang w:val="en-US"/>
              </w:rPr>
              <w:t>e</w:t>
            </w:r>
            <w:r w:rsidRPr="0005492A">
              <w:rPr>
                <w:lang w:val="en-US"/>
              </w:rPr>
              <w:t xml:space="preserve"> +49 174 233 8658</w:t>
            </w:r>
          </w:p>
          <w:p w14:paraId="630CF67F" w14:textId="77777777" w:rsidR="00212D4A" w:rsidRDefault="00212D4A" w:rsidP="00212D4A">
            <w:pPr>
              <w:pStyle w:val="M10"/>
              <w:framePr w:wrap="auto" w:vAnchor="margin" w:hAnchor="text" w:xAlign="left" w:yAlign="inline"/>
              <w:suppressOverlap w:val="0"/>
            </w:pPr>
            <w:r>
              <w:t>Richard.Weiss@evonik.com</w:t>
            </w:r>
          </w:p>
          <w:p w14:paraId="277B32CD" w14:textId="75A1C6D3" w:rsidR="00212D4A" w:rsidRDefault="00212D4A" w:rsidP="000B1B97">
            <w:pPr>
              <w:pStyle w:val="M10"/>
              <w:framePr w:wrap="auto" w:vAnchor="margin" w:hAnchor="text" w:xAlign="left" w:yAlign="inline"/>
              <w:suppressOverlap w:val="0"/>
            </w:pPr>
          </w:p>
        </w:tc>
      </w:tr>
      <w:tr w:rsidR="000B1B97" w:rsidRPr="0005492A" w14:paraId="5FD74BE3" w14:textId="77777777" w:rsidTr="002159BA">
        <w:trPr>
          <w:trHeight w:val="851"/>
        </w:trPr>
        <w:tc>
          <w:tcPr>
            <w:tcW w:w="2552" w:type="dxa"/>
            <w:shd w:val="clear" w:color="auto" w:fill="auto"/>
          </w:tcPr>
          <w:p w14:paraId="2E12D63A" w14:textId="77777777" w:rsidR="000B1B97" w:rsidRPr="0005492A" w:rsidRDefault="000B1B97" w:rsidP="000B1B97">
            <w:pPr>
              <w:pStyle w:val="M1"/>
              <w:framePr w:wrap="auto" w:vAnchor="margin" w:hAnchor="text" w:xAlign="left" w:yAlign="inline"/>
              <w:suppressOverlap w:val="0"/>
              <w:rPr>
                <w:lang w:val="en-US"/>
              </w:rPr>
            </w:pPr>
          </w:p>
          <w:p w14:paraId="23B131FC" w14:textId="77777777" w:rsidR="000B1B97" w:rsidRDefault="000B1B97" w:rsidP="00110640">
            <w:pPr>
              <w:pStyle w:val="M10"/>
              <w:framePr w:wrap="auto" w:vAnchor="margin" w:hAnchor="text" w:xAlign="left" w:yAlign="inline"/>
              <w:suppressOverlap w:val="0"/>
            </w:pPr>
          </w:p>
        </w:tc>
      </w:tr>
    </w:tbl>
    <w:p w14:paraId="0B3063B4" w14:textId="77777777" w:rsidR="003F5509" w:rsidRDefault="003F5509" w:rsidP="009577A8">
      <w:pPr>
        <w:framePr w:w="2821" w:wrap="around" w:vAnchor="page" w:hAnchor="page" w:x="8821" w:y="12433" w:anchorLock="1"/>
        <w:spacing w:line="180" w:lineRule="exact"/>
        <w:rPr>
          <w:noProof/>
          <w:sz w:val="13"/>
          <w:szCs w:val="13"/>
        </w:rPr>
      </w:pPr>
      <w:r w:rsidRPr="003F5509">
        <w:rPr>
          <w:b/>
          <w:noProof/>
          <w:sz w:val="13"/>
          <w:szCs w:val="13"/>
        </w:rPr>
        <w:t xml:space="preserve">Evonik Industries </w:t>
      </w:r>
      <w:r w:rsidRPr="003F5509">
        <w:rPr>
          <w:noProof/>
          <w:sz w:val="13"/>
          <w:szCs w:val="13"/>
        </w:rPr>
        <w:t xml:space="preserve">AG </w:t>
      </w:r>
    </w:p>
    <w:p w14:paraId="3C53C063" w14:textId="77777777" w:rsidR="003F5509"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 xml:space="preserve">Rellinghauser Straße 1-11 </w:t>
      </w:r>
    </w:p>
    <w:p w14:paraId="0527E02B" w14:textId="77777777" w:rsidR="003F5509"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 xml:space="preserve">45128 Essen </w:t>
      </w:r>
    </w:p>
    <w:p w14:paraId="644BEC19" w14:textId="77777777" w:rsidR="003F5509"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 xml:space="preserve">Germany </w:t>
      </w:r>
    </w:p>
    <w:p w14:paraId="4AF84CDE" w14:textId="77777777" w:rsidR="003F5509"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 xml:space="preserve">Phone +49 201 177-01 </w:t>
      </w:r>
    </w:p>
    <w:p w14:paraId="3441A0A3" w14:textId="77777777" w:rsidR="003F5509"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 xml:space="preserve">Fax +49 201 177-3475 </w:t>
      </w:r>
    </w:p>
    <w:p w14:paraId="56A2C59B" w14:textId="1382D32E" w:rsidR="003F5509" w:rsidRDefault="00000000" w:rsidP="009577A8">
      <w:pPr>
        <w:framePr w:w="2821" w:wrap="around" w:vAnchor="page" w:hAnchor="page" w:x="8821" w:y="12433" w:anchorLock="1"/>
        <w:spacing w:line="180" w:lineRule="exact"/>
        <w:rPr>
          <w:noProof/>
          <w:sz w:val="13"/>
          <w:szCs w:val="13"/>
          <w:lang w:val="en-US"/>
        </w:rPr>
      </w:pPr>
      <w:hyperlink r:id="rId12" w:history="1">
        <w:r w:rsidR="003F5509" w:rsidRPr="0083029C">
          <w:rPr>
            <w:rStyle w:val="Hyperlink"/>
            <w:noProof/>
            <w:sz w:val="13"/>
            <w:szCs w:val="13"/>
            <w:lang w:val="en-US"/>
          </w:rPr>
          <w:t>www.evonik.com</w:t>
        </w:r>
      </w:hyperlink>
      <w:r w:rsidR="003F5509" w:rsidRPr="003F5509">
        <w:rPr>
          <w:noProof/>
          <w:sz w:val="13"/>
          <w:szCs w:val="13"/>
          <w:lang w:val="en-US"/>
        </w:rPr>
        <w:t xml:space="preserve"> </w:t>
      </w:r>
    </w:p>
    <w:p w14:paraId="1233C486" w14:textId="77777777" w:rsidR="003F5509" w:rsidRDefault="003F5509" w:rsidP="009577A8">
      <w:pPr>
        <w:framePr w:w="2821" w:wrap="around" w:vAnchor="page" w:hAnchor="page" w:x="8821" w:y="12433" w:anchorLock="1"/>
        <w:spacing w:line="180" w:lineRule="exact"/>
        <w:rPr>
          <w:noProof/>
          <w:sz w:val="13"/>
          <w:szCs w:val="13"/>
          <w:lang w:val="en-US"/>
        </w:rPr>
      </w:pPr>
    </w:p>
    <w:p w14:paraId="12CD9327" w14:textId="77777777" w:rsidR="003F5509"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 xml:space="preserve">Supervisory Board </w:t>
      </w:r>
    </w:p>
    <w:p w14:paraId="116EF57A" w14:textId="77777777" w:rsidR="005F52C9"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 xml:space="preserve">Bernd Tönjes, Chairman </w:t>
      </w:r>
    </w:p>
    <w:p w14:paraId="73A85B8C" w14:textId="77777777" w:rsidR="005F52C9"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 xml:space="preserve">Executive Board </w:t>
      </w:r>
    </w:p>
    <w:p w14:paraId="613CEFCC" w14:textId="68CBF5FA" w:rsidR="00D8641B"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 xml:space="preserve">Christian Kullmann, Chairman </w:t>
      </w:r>
    </w:p>
    <w:p w14:paraId="6A255693" w14:textId="7481346A" w:rsidR="003F5509"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Dr. Harald Schwager, Deputy Chairman Thomas Wessel</w:t>
      </w:r>
      <w:r w:rsidR="00D415F5">
        <w:rPr>
          <w:noProof/>
          <w:sz w:val="13"/>
          <w:szCs w:val="13"/>
          <w:lang w:val="en-US"/>
        </w:rPr>
        <w:t xml:space="preserve">, </w:t>
      </w:r>
      <w:r w:rsidRPr="003F5509">
        <w:rPr>
          <w:noProof/>
          <w:sz w:val="13"/>
          <w:szCs w:val="13"/>
          <w:lang w:val="en-US"/>
        </w:rPr>
        <w:t xml:space="preserve">Ute Wolf </w:t>
      </w:r>
    </w:p>
    <w:p w14:paraId="372CD13B" w14:textId="77777777" w:rsidR="003F5509" w:rsidRDefault="003F5509" w:rsidP="009577A8">
      <w:pPr>
        <w:framePr w:w="2821" w:wrap="around" w:vAnchor="page" w:hAnchor="page" w:x="8821" w:y="12433" w:anchorLock="1"/>
        <w:spacing w:line="180" w:lineRule="exact"/>
        <w:rPr>
          <w:noProof/>
          <w:sz w:val="13"/>
          <w:szCs w:val="13"/>
          <w:lang w:val="en-US"/>
        </w:rPr>
      </w:pPr>
    </w:p>
    <w:p w14:paraId="7E351DB5" w14:textId="77777777" w:rsidR="003F5509"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 xml:space="preserve">Registered Office is Essen </w:t>
      </w:r>
    </w:p>
    <w:p w14:paraId="217A694D" w14:textId="56C19E2A" w:rsidR="003F5509" w:rsidRPr="003F5509" w:rsidRDefault="003F5509" w:rsidP="009577A8">
      <w:pPr>
        <w:framePr w:w="2821" w:wrap="around" w:vAnchor="page" w:hAnchor="page" w:x="8821" w:y="12433" w:anchorLock="1"/>
        <w:spacing w:line="180" w:lineRule="exact"/>
        <w:rPr>
          <w:noProof/>
          <w:sz w:val="13"/>
          <w:szCs w:val="13"/>
          <w:lang w:val="en-US"/>
        </w:rPr>
      </w:pPr>
      <w:r w:rsidRPr="003F5509">
        <w:rPr>
          <w:noProof/>
          <w:sz w:val="13"/>
          <w:szCs w:val="13"/>
          <w:lang w:val="en-US"/>
        </w:rPr>
        <w:t>Register Court Essen Local Court Commercial Registry B 19474</w:t>
      </w:r>
    </w:p>
    <w:p w14:paraId="42F7E599" w14:textId="56FC0468" w:rsidR="00FA7F8A" w:rsidRDefault="00DC3B81" w:rsidP="00FA7F8A">
      <w:pPr>
        <w:pStyle w:val="Ttulo"/>
        <w:rPr>
          <w:b w:val="0"/>
          <w:sz w:val="20"/>
          <w:szCs w:val="20"/>
          <w:u w:val="single"/>
          <w:lang w:val="en-US"/>
        </w:rPr>
      </w:pPr>
      <w:r>
        <w:rPr>
          <w:b w:val="0"/>
          <w:sz w:val="20"/>
          <w:szCs w:val="20"/>
          <w:u w:val="single"/>
          <w:lang w:val="en-US"/>
        </w:rPr>
        <w:t>EMBARGO May 9, 2023, 07.00 a.m. Central European Time</w:t>
      </w:r>
    </w:p>
    <w:p w14:paraId="714BDA13" w14:textId="77777777" w:rsidR="00DC3B81" w:rsidRDefault="00DC3B81" w:rsidP="00FA7F8A">
      <w:pPr>
        <w:pStyle w:val="Ttulo"/>
        <w:rPr>
          <w:b w:val="0"/>
          <w:sz w:val="20"/>
          <w:szCs w:val="20"/>
          <w:u w:val="single"/>
          <w:lang w:val="en-US"/>
        </w:rPr>
      </w:pPr>
    </w:p>
    <w:p w14:paraId="3B2FFF3D" w14:textId="70FB3C79" w:rsidR="00FA7F8A" w:rsidRDefault="00FA7F8A" w:rsidP="00FA7F8A">
      <w:pPr>
        <w:pStyle w:val="Ttulo"/>
        <w:rPr>
          <w:b w:val="0"/>
          <w:sz w:val="20"/>
          <w:szCs w:val="20"/>
          <w:u w:val="single"/>
          <w:lang w:val="en-US"/>
        </w:rPr>
      </w:pPr>
      <w:r w:rsidRPr="004C6AC3">
        <w:rPr>
          <w:b w:val="0"/>
          <w:sz w:val="20"/>
          <w:szCs w:val="20"/>
          <w:u w:val="single"/>
          <w:lang w:val="en-US"/>
        </w:rPr>
        <w:t xml:space="preserve">Key Financial Data: January 1 to </w:t>
      </w:r>
      <w:r w:rsidR="00811FAB">
        <w:rPr>
          <w:b w:val="0"/>
          <w:sz w:val="20"/>
          <w:szCs w:val="20"/>
          <w:u w:val="single"/>
          <w:lang w:val="en-US"/>
        </w:rPr>
        <w:t>March</w:t>
      </w:r>
      <w:r w:rsidRPr="004C6AC3">
        <w:rPr>
          <w:b w:val="0"/>
          <w:sz w:val="20"/>
          <w:szCs w:val="20"/>
          <w:u w:val="single"/>
          <w:lang w:val="en-US"/>
        </w:rPr>
        <w:t xml:space="preserve"> 31, 202</w:t>
      </w:r>
      <w:r w:rsidR="00811FAB">
        <w:rPr>
          <w:b w:val="0"/>
          <w:sz w:val="20"/>
          <w:szCs w:val="20"/>
          <w:u w:val="single"/>
          <w:lang w:val="en-US"/>
        </w:rPr>
        <w:t>3</w:t>
      </w:r>
    </w:p>
    <w:p w14:paraId="021CB6CD" w14:textId="77777777" w:rsidR="00FA7F8A" w:rsidRPr="004C6AC3" w:rsidRDefault="00FA7F8A" w:rsidP="00FA7F8A">
      <w:pPr>
        <w:pStyle w:val="Ttulo"/>
        <w:rPr>
          <w:b w:val="0"/>
          <w:sz w:val="20"/>
          <w:szCs w:val="20"/>
          <w:u w:val="single"/>
          <w:lang w:val="en-US"/>
        </w:rPr>
      </w:pPr>
    </w:p>
    <w:p w14:paraId="6C7FD81F" w14:textId="783621D1" w:rsidR="00FE591C" w:rsidRDefault="00DB6C40" w:rsidP="0006177F">
      <w:pPr>
        <w:pStyle w:val="Ttulo"/>
        <w:rPr>
          <w:lang w:val="en-US"/>
        </w:rPr>
      </w:pPr>
      <w:r>
        <w:rPr>
          <w:lang w:val="en-US"/>
        </w:rPr>
        <w:t>Weak economy</w:t>
      </w:r>
      <w:r w:rsidR="00C3056B" w:rsidRPr="00C3056B">
        <w:rPr>
          <w:lang w:val="en-US"/>
        </w:rPr>
        <w:t xml:space="preserve"> characterizes difficult first quarter</w:t>
      </w:r>
    </w:p>
    <w:p w14:paraId="37064AFB" w14:textId="77777777" w:rsidR="00C3056B" w:rsidRPr="009C06F8" w:rsidRDefault="00C3056B" w:rsidP="0006177F">
      <w:pPr>
        <w:pStyle w:val="Ttulo"/>
        <w:rPr>
          <w:lang w:val="en-US"/>
        </w:rPr>
      </w:pPr>
    </w:p>
    <w:p w14:paraId="7576442C" w14:textId="77777777" w:rsidR="006E383C" w:rsidRDefault="006E383C" w:rsidP="006E383C">
      <w:pPr>
        <w:numPr>
          <w:ilvl w:val="0"/>
          <w:numId w:val="32"/>
        </w:numPr>
        <w:tabs>
          <w:tab w:val="clear" w:pos="1425"/>
          <w:tab w:val="num" w:pos="340"/>
        </w:tabs>
        <w:ind w:left="340" w:right="85" w:hanging="340"/>
        <w:rPr>
          <w:rFonts w:cs="Lucida Sans Unicode"/>
          <w:sz w:val="24"/>
          <w:lang w:val="en-US"/>
        </w:rPr>
      </w:pPr>
      <w:r w:rsidRPr="006E383C">
        <w:rPr>
          <w:rFonts w:cs="Lucida Sans Unicode"/>
          <w:sz w:val="24"/>
          <w:lang w:val="en-US"/>
        </w:rPr>
        <w:t>Adjusted EBITDA down 44 percent to €409 million</w:t>
      </w:r>
    </w:p>
    <w:p w14:paraId="18300DD2" w14:textId="26A11BDE" w:rsidR="006E383C" w:rsidRDefault="00904D77" w:rsidP="006E383C">
      <w:pPr>
        <w:numPr>
          <w:ilvl w:val="0"/>
          <w:numId w:val="32"/>
        </w:numPr>
        <w:tabs>
          <w:tab w:val="clear" w:pos="1425"/>
          <w:tab w:val="num" w:pos="340"/>
        </w:tabs>
        <w:ind w:left="340" w:right="85" w:hanging="340"/>
        <w:rPr>
          <w:rFonts w:cs="Lucida Sans Unicode"/>
          <w:sz w:val="24"/>
          <w:lang w:val="en-US"/>
        </w:rPr>
      </w:pPr>
      <w:r>
        <w:rPr>
          <w:rFonts w:cs="Lucida Sans Unicode"/>
          <w:sz w:val="24"/>
          <w:lang w:val="en-US"/>
        </w:rPr>
        <w:t>Earnings f</w:t>
      </w:r>
      <w:r w:rsidR="006E383C" w:rsidRPr="006E383C">
        <w:rPr>
          <w:rFonts w:cs="Lucida Sans Unicode"/>
          <w:sz w:val="24"/>
          <w:lang w:val="en-US"/>
        </w:rPr>
        <w:t>orecast confirmed</w:t>
      </w:r>
      <w:r>
        <w:rPr>
          <w:rFonts w:cs="Lucida Sans Unicode"/>
          <w:sz w:val="24"/>
          <w:lang w:val="en-US"/>
        </w:rPr>
        <w:t xml:space="preserve"> </w:t>
      </w:r>
      <w:r w:rsidR="006E383C" w:rsidRPr="006E383C">
        <w:rPr>
          <w:rFonts w:cs="Lucida Sans Unicode"/>
          <w:sz w:val="24"/>
          <w:lang w:val="en-US"/>
        </w:rPr>
        <w:t>at lower end of range</w:t>
      </w:r>
    </w:p>
    <w:p w14:paraId="60690BEF" w14:textId="57CCCE7B" w:rsidR="006E383C" w:rsidRPr="006E383C" w:rsidRDefault="006E383C" w:rsidP="006E383C">
      <w:pPr>
        <w:numPr>
          <w:ilvl w:val="0"/>
          <w:numId w:val="32"/>
        </w:numPr>
        <w:tabs>
          <w:tab w:val="clear" w:pos="1425"/>
          <w:tab w:val="num" w:pos="340"/>
        </w:tabs>
        <w:ind w:left="340" w:right="85" w:hanging="340"/>
        <w:rPr>
          <w:rFonts w:cs="Lucida Sans Unicode"/>
          <w:sz w:val="24"/>
          <w:lang w:val="en-US"/>
        </w:rPr>
      </w:pPr>
      <w:proofErr w:type="spellStart"/>
      <w:r w:rsidRPr="006E383C">
        <w:rPr>
          <w:rFonts w:cs="Lucida Sans Unicode"/>
          <w:sz w:val="24"/>
          <w:lang w:val="en-US"/>
        </w:rPr>
        <w:t>L</w:t>
      </w:r>
      <w:r>
        <w:rPr>
          <w:rFonts w:cs="Lucida Sans Unicode"/>
          <w:sz w:val="24"/>
          <w:lang w:val="en-US"/>
        </w:rPr>
        <w:t>ue</w:t>
      </w:r>
      <w:r w:rsidRPr="006E383C">
        <w:rPr>
          <w:rFonts w:cs="Lucida Sans Unicode"/>
          <w:sz w:val="24"/>
          <w:lang w:val="en-US"/>
        </w:rPr>
        <w:t>lsdorf</w:t>
      </w:r>
      <w:proofErr w:type="spellEnd"/>
      <w:r w:rsidRPr="006E383C">
        <w:rPr>
          <w:rFonts w:cs="Lucida Sans Unicode"/>
          <w:sz w:val="24"/>
          <w:lang w:val="en-US"/>
        </w:rPr>
        <w:t xml:space="preserve"> site successfully sold</w:t>
      </w:r>
    </w:p>
    <w:p w14:paraId="23E2A13B" w14:textId="77777777" w:rsidR="00C421AD" w:rsidRPr="00C66297" w:rsidRDefault="00C421AD" w:rsidP="0006177F">
      <w:pPr>
        <w:rPr>
          <w:lang w:val="en-US"/>
        </w:rPr>
      </w:pPr>
    </w:p>
    <w:p w14:paraId="37FA5FA0" w14:textId="0F46ADA9" w:rsidR="00E506FB" w:rsidRPr="00F2697E" w:rsidRDefault="00F431F9" w:rsidP="00E506FB">
      <w:pPr>
        <w:rPr>
          <w:lang w:val="en-US"/>
        </w:rPr>
      </w:pPr>
      <w:r w:rsidRPr="0043547E">
        <w:rPr>
          <w:b/>
          <w:bCs/>
          <w:lang w:val="en-US"/>
        </w:rPr>
        <w:t>Essen</w:t>
      </w:r>
      <w:r w:rsidR="002204B4" w:rsidRPr="0043547E">
        <w:rPr>
          <w:b/>
          <w:bCs/>
          <w:lang w:val="en-US"/>
        </w:rPr>
        <w:t>, Germany</w:t>
      </w:r>
      <w:r w:rsidRPr="0043547E">
        <w:rPr>
          <w:lang w:val="en-US"/>
        </w:rPr>
        <w:t xml:space="preserve">. </w:t>
      </w:r>
      <w:r w:rsidR="001D0C92">
        <w:rPr>
          <w:lang w:val="en-US"/>
        </w:rPr>
        <w:t>Despite</w:t>
      </w:r>
      <w:r w:rsidR="00F2697E" w:rsidRPr="00F2697E">
        <w:rPr>
          <w:lang w:val="en-US"/>
        </w:rPr>
        <w:t xml:space="preserve"> a difficult first quarter, Evonik confirms its </w:t>
      </w:r>
      <w:r w:rsidR="001D0C92">
        <w:rPr>
          <w:lang w:val="en-US"/>
        </w:rPr>
        <w:t xml:space="preserve">earnings </w:t>
      </w:r>
      <w:r w:rsidR="00662D9E">
        <w:rPr>
          <w:lang w:val="en-US"/>
        </w:rPr>
        <w:t>forecast</w:t>
      </w:r>
      <w:r w:rsidR="00F2697E" w:rsidRPr="00F2697E">
        <w:rPr>
          <w:lang w:val="en-US"/>
        </w:rPr>
        <w:t xml:space="preserve"> for </w:t>
      </w:r>
      <w:r w:rsidR="00152E73">
        <w:rPr>
          <w:lang w:val="en-US"/>
        </w:rPr>
        <w:t>2023</w:t>
      </w:r>
      <w:r w:rsidR="00F2697E" w:rsidRPr="00F2697E">
        <w:rPr>
          <w:lang w:val="en-US"/>
        </w:rPr>
        <w:t xml:space="preserve">. </w:t>
      </w:r>
      <w:r w:rsidR="00E506FB" w:rsidRPr="00B75635">
        <w:rPr>
          <w:lang w:val="en-US"/>
        </w:rPr>
        <w:t>"The start to the year was even more challenging than we feared," says Christian Kullmann, Chairman of the Executive Board. "However, we saw signs of a business recovery during the course of the first quarter. Both February and March were better than the preceding month in terms of operating profit."</w:t>
      </w:r>
    </w:p>
    <w:p w14:paraId="51E559D8" w14:textId="77777777" w:rsidR="00F2697E" w:rsidRPr="00F2697E" w:rsidRDefault="00F2697E" w:rsidP="00F2697E">
      <w:pPr>
        <w:rPr>
          <w:lang w:val="en-US"/>
        </w:rPr>
      </w:pPr>
    </w:p>
    <w:p w14:paraId="66B48D9B" w14:textId="0BD2D75E" w:rsidR="00F2697E" w:rsidRPr="00F2697E" w:rsidRDefault="00F2697E" w:rsidP="00F2697E">
      <w:pPr>
        <w:rPr>
          <w:lang w:val="en-US"/>
        </w:rPr>
      </w:pPr>
      <w:r w:rsidRPr="00F2697E">
        <w:rPr>
          <w:lang w:val="en-US"/>
        </w:rPr>
        <w:t xml:space="preserve">The first quarter was characterized by </w:t>
      </w:r>
      <w:r w:rsidR="00017FD6">
        <w:rPr>
          <w:lang w:val="en-US"/>
        </w:rPr>
        <w:t>muted</w:t>
      </w:r>
      <w:r w:rsidRPr="00F2697E">
        <w:rPr>
          <w:lang w:val="en-US"/>
        </w:rPr>
        <w:t xml:space="preserve"> economic activity and weak demand, with customers still destocking, especially in the first weeks of the new year. Overall, sales fell 11 percent to </w:t>
      </w:r>
    </w:p>
    <w:p w14:paraId="37A960DB" w14:textId="1B9AB530" w:rsidR="00F2697E" w:rsidRPr="00F2697E" w:rsidRDefault="00F2697E" w:rsidP="00F2697E">
      <w:pPr>
        <w:rPr>
          <w:lang w:val="en-US"/>
        </w:rPr>
      </w:pPr>
      <w:r w:rsidRPr="00F2697E">
        <w:rPr>
          <w:lang w:val="en-US"/>
        </w:rPr>
        <w:t>4.0 billion euros. Volumes declined by 14 percent</w:t>
      </w:r>
      <w:r w:rsidR="000B48F4">
        <w:rPr>
          <w:lang w:val="en-US"/>
        </w:rPr>
        <w:t>. H</w:t>
      </w:r>
      <w:r w:rsidRPr="00F2697E">
        <w:rPr>
          <w:lang w:val="en-US"/>
        </w:rPr>
        <w:t xml:space="preserve">igher prices offset some of the volumes </w:t>
      </w:r>
      <w:r w:rsidR="00017FD6" w:rsidRPr="00F2697E">
        <w:rPr>
          <w:lang w:val="en-US"/>
        </w:rPr>
        <w:t xml:space="preserve">lost </w:t>
      </w:r>
      <w:r w:rsidRPr="00F2697E">
        <w:rPr>
          <w:lang w:val="en-US"/>
        </w:rPr>
        <w:t>and compensat</w:t>
      </w:r>
      <w:r w:rsidR="000B48F4">
        <w:rPr>
          <w:lang w:val="en-US"/>
        </w:rPr>
        <w:t>ed</w:t>
      </w:r>
      <w:r w:rsidRPr="00F2697E">
        <w:rPr>
          <w:lang w:val="en-US"/>
        </w:rPr>
        <w:t xml:space="preserve"> for inflation effects. </w:t>
      </w:r>
      <w:r w:rsidR="00B8261E">
        <w:rPr>
          <w:lang w:val="en-US"/>
        </w:rPr>
        <w:t>Earnings before interest and taxes, depreciation and amortization (a</w:t>
      </w:r>
      <w:r w:rsidRPr="00F2697E">
        <w:rPr>
          <w:lang w:val="en-US"/>
        </w:rPr>
        <w:t>djusted EBITDA</w:t>
      </w:r>
      <w:r w:rsidR="00B8261E">
        <w:rPr>
          <w:lang w:val="en-US"/>
        </w:rPr>
        <w:t>)</w:t>
      </w:r>
      <w:r w:rsidRPr="00F2697E">
        <w:rPr>
          <w:lang w:val="en-US"/>
        </w:rPr>
        <w:t xml:space="preserve"> </w:t>
      </w:r>
      <w:r w:rsidR="00FB1B28">
        <w:rPr>
          <w:lang w:val="en-US"/>
        </w:rPr>
        <w:t>declined</w:t>
      </w:r>
      <w:r w:rsidRPr="00F2697E">
        <w:rPr>
          <w:lang w:val="en-US"/>
        </w:rPr>
        <w:t xml:space="preserve"> by 44 percent to €409 million. </w:t>
      </w:r>
    </w:p>
    <w:p w14:paraId="77F57A76" w14:textId="77777777" w:rsidR="00F2697E" w:rsidRPr="00F2697E" w:rsidRDefault="00F2697E" w:rsidP="00F2697E">
      <w:pPr>
        <w:rPr>
          <w:lang w:val="en-US"/>
        </w:rPr>
      </w:pPr>
    </w:p>
    <w:p w14:paraId="11986325" w14:textId="006A8E91" w:rsidR="0043547E" w:rsidRDefault="00FB3C2D" w:rsidP="00F2697E">
      <w:pPr>
        <w:rPr>
          <w:lang w:val="en-US"/>
        </w:rPr>
      </w:pPr>
      <w:r>
        <w:rPr>
          <w:lang w:val="en-US"/>
        </w:rPr>
        <w:t>Despite the weak operating result</w:t>
      </w:r>
      <w:r w:rsidR="000E0F42">
        <w:rPr>
          <w:lang w:val="en-US"/>
        </w:rPr>
        <w:t>s</w:t>
      </w:r>
      <w:r>
        <w:rPr>
          <w:lang w:val="en-US"/>
        </w:rPr>
        <w:t>, f</w:t>
      </w:r>
      <w:r w:rsidR="00F2697E" w:rsidRPr="00F2697E">
        <w:rPr>
          <w:lang w:val="en-US"/>
        </w:rPr>
        <w:t>ree cash flow reached €21million. "To achieve our goal</w:t>
      </w:r>
      <w:r w:rsidR="00910214">
        <w:rPr>
          <w:lang w:val="en-US"/>
        </w:rPr>
        <w:t>s with respect to</w:t>
      </w:r>
      <w:r w:rsidR="00F2697E" w:rsidRPr="00F2697E">
        <w:rPr>
          <w:lang w:val="en-US"/>
        </w:rPr>
        <w:t xml:space="preserve"> free cash flow this year, further efforts are needed," said Maike Schuh, Chief Financial Officer since April 1. "We need a lot of discipline in dealing with our working capital and investments. Now</w:t>
      </w:r>
      <w:r w:rsidR="006260FB">
        <w:rPr>
          <w:lang w:val="en-US"/>
        </w:rPr>
        <w:t>,</w:t>
      </w:r>
      <w:r w:rsidR="00F2697E" w:rsidRPr="00F2697E">
        <w:rPr>
          <w:lang w:val="en-US"/>
        </w:rPr>
        <w:t xml:space="preserve"> we all have to pull together and show that we can </w:t>
      </w:r>
      <w:r w:rsidR="00300F28">
        <w:rPr>
          <w:lang w:val="en-US"/>
        </w:rPr>
        <w:t>withstand</w:t>
      </w:r>
      <w:r w:rsidR="00F2697E" w:rsidRPr="00F2697E">
        <w:rPr>
          <w:lang w:val="en-US"/>
        </w:rPr>
        <w:t xml:space="preserve"> </w:t>
      </w:r>
      <w:r w:rsidR="00300F28">
        <w:rPr>
          <w:lang w:val="en-US"/>
        </w:rPr>
        <w:t>the</w:t>
      </w:r>
      <w:r w:rsidR="00F2697E" w:rsidRPr="00F2697E">
        <w:rPr>
          <w:lang w:val="en-US"/>
        </w:rPr>
        <w:t xml:space="preserve"> difficult environment."</w:t>
      </w:r>
    </w:p>
    <w:p w14:paraId="59E1E179" w14:textId="77777777" w:rsidR="00F2697E" w:rsidRPr="0043547E" w:rsidRDefault="00F2697E" w:rsidP="00F2697E">
      <w:pPr>
        <w:rPr>
          <w:lang w:val="en-US"/>
        </w:rPr>
      </w:pPr>
    </w:p>
    <w:p w14:paraId="78D02703" w14:textId="196ECBDF" w:rsidR="0023190B" w:rsidRPr="0023190B" w:rsidRDefault="0023190B" w:rsidP="0023190B">
      <w:pPr>
        <w:rPr>
          <w:lang w:val="en-US"/>
        </w:rPr>
      </w:pPr>
      <w:r w:rsidRPr="0023190B">
        <w:rPr>
          <w:lang w:val="en-US"/>
        </w:rPr>
        <w:t xml:space="preserve">For the </w:t>
      </w:r>
      <w:r w:rsidR="007170C2">
        <w:rPr>
          <w:lang w:val="en-US"/>
        </w:rPr>
        <w:t xml:space="preserve">whole </w:t>
      </w:r>
      <w:r w:rsidRPr="0023190B">
        <w:rPr>
          <w:lang w:val="en-US"/>
        </w:rPr>
        <w:t xml:space="preserve">year, Evonik expects adjusted EBITDA at the lower end of the forecast range of </w:t>
      </w:r>
      <w:r w:rsidR="006260FB">
        <w:rPr>
          <w:lang w:val="en-US"/>
        </w:rPr>
        <w:t>€</w:t>
      </w:r>
      <w:r w:rsidRPr="0023190B">
        <w:rPr>
          <w:lang w:val="en-US"/>
        </w:rPr>
        <w:t>2.1 to €2.4 billion. The main reasons</w:t>
      </w:r>
      <w:r w:rsidR="007170C2">
        <w:rPr>
          <w:lang w:val="en-US"/>
        </w:rPr>
        <w:t xml:space="preserve">: </w:t>
      </w:r>
      <w:r w:rsidRPr="0023190B">
        <w:rPr>
          <w:lang w:val="en-US"/>
        </w:rPr>
        <w:t>falling prices for the animal feed additive methionine and for products of the C</w:t>
      </w:r>
      <w:r w:rsidRPr="00BB347B">
        <w:rPr>
          <w:vertAlign w:val="subscript"/>
          <w:lang w:val="en-US"/>
        </w:rPr>
        <w:t>4</w:t>
      </w:r>
      <w:r w:rsidRPr="0023190B">
        <w:rPr>
          <w:lang w:val="en-US"/>
        </w:rPr>
        <w:t xml:space="preserve"> </w:t>
      </w:r>
      <w:r w:rsidR="006260FB">
        <w:rPr>
          <w:lang w:val="en-US"/>
        </w:rPr>
        <w:t>chain</w:t>
      </w:r>
      <w:r w:rsidRPr="0023190B">
        <w:rPr>
          <w:lang w:val="en-US"/>
        </w:rPr>
        <w:t>.</w:t>
      </w:r>
    </w:p>
    <w:p w14:paraId="64758E8E" w14:textId="77777777" w:rsidR="0023190B" w:rsidRPr="0023190B" w:rsidRDefault="0023190B" w:rsidP="0023190B">
      <w:pPr>
        <w:rPr>
          <w:lang w:val="en-US"/>
        </w:rPr>
      </w:pPr>
    </w:p>
    <w:p w14:paraId="0CEAD028" w14:textId="21FBCB05" w:rsidR="0023190B" w:rsidRPr="0023190B" w:rsidRDefault="0023190B" w:rsidP="0023190B">
      <w:pPr>
        <w:rPr>
          <w:lang w:val="en-US"/>
        </w:rPr>
      </w:pPr>
      <w:r w:rsidRPr="0023190B">
        <w:rPr>
          <w:lang w:val="en-US"/>
        </w:rPr>
        <w:lastRenderedPageBreak/>
        <w:t xml:space="preserve">Undeterred by the current challenges, Evonik is pressing ahead with </w:t>
      </w:r>
      <w:r w:rsidR="007767FA">
        <w:rPr>
          <w:lang w:val="en-US"/>
        </w:rPr>
        <w:t>i</w:t>
      </w:r>
      <w:r w:rsidRPr="0023190B">
        <w:rPr>
          <w:lang w:val="en-US"/>
        </w:rPr>
        <w:t xml:space="preserve">ts </w:t>
      </w:r>
      <w:r w:rsidR="007767FA">
        <w:rPr>
          <w:lang w:val="en-US"/>
        </w:rPr>
        <w:t>announced portfolio adjustments</w:t>
      </w:r>
      <w:r w:rsidRPr="0023190B">
        <w:rPr>
          <w:lang w:val="en-US"/>
        </w:rPr>
        <w:t xml:space="preserve">. The first step in the divestment of the Performance Materials </w:t>
      </w:r>
      <w:r w:rsidR="00EA2FC2">
        <w:rPr>
          <w:lang w:val="en-US"/>
        </w:rPr>
        <w:t>d</w:t>
      </w:r>
      <w:r w:rsidRPr="0023190B">
        <w:rPr>
          <w:lang w:val="en-US"/>
        </w:rPr>
        <w:t xml:space="preserve">ivision was the sale of the </w:t>
      </w:r>
      <w:r w:rsidR="00EA2FC2">
        <w:rPr>
          <w:lang w:val="en-US"/>
        </w:rPr>
        <w:t xml:space="preserve">site in </w:t>
      </w:r>
      <w:proofErr w:type="spellStart"/>
      <w:r w:rsidRPr="0023190B">
        <w:rPr>
          <w:lang w:val="en-US"/>
        </w:rPr>
        <w:t>L</w:t>
      </w:r>
      <w:r w:rsidR="00EA2FC2">
        <w:rPr>
          <w:lang w:val="en-US"/>
        </w:rPr>
        <w:t>ue</w:t>
      </w:r>
      <w:r w:rsidRPr="0023190B">
        <w:rPr>
          <w:lang w:val="en-US"/>
        </w:rPr>
        <w:t>lsdorf</w:t>
      </w:r>
      <w:proofErr w:type="spellEnd"/>
      <w:r w:rsidR="00EA2FC2">
        <w:rPr>
          <w:lang w:val="en-US"/>
        </w:rPr>
        <w:t xml:space="preserve">, Germany, </w:t>
      </w:r>
      <w:r w:rsidRPr="0023190B">
        <w:rPr>
          <w:lang w:val="en-US"/>
        </w:rPr>
        <w:t xml:space="preserve">south of Cologne. The divestment </w:t>
      </w:r>
      <w:r w:rsidR="00824097">
        <w:rPr>
          <w:lang w:val="en-US"/>
        </w:rPr>
        <w:t>of</w:t>
      </w:r>
      <w:r w:rsidRPr="0023190B">
        <w:rPr>
          <w:lang w:val="en-US"/>
        </w:rPr>
        <w:t xml:space="preserve"> the Superabsorbents </w:t>
      </w:r>
      <w:r w:rsidR="00602954">
        <w:rPr>
          <w:lang w:val="en-US"/>
        </w:rPr>
        <w:t>b</w:t>
      </w:r>
      <w:r w:rsidRPr="0023190B">
        <w:rPr>
          <w:lang w:val="en-US"/>
        </w:rPr>
        <w:t>usiness is underway:</w:t>
      </w:r>
      <w:r w:rsidR="005225B4">
        <w:rPr>
          <w:lang w:val="en-US"/>
        </w:rPr>
        <w:t xml:space="preserve"> Investment</w:t>
      </w:r>
      <w:r w:rsidRPr="0023190B">
        <w:rPr>
          <w:lang w:val="en-US"/>
        </w:rPr>
        <w:t xml:space="preserve"> </w:t>
      </w:r>
      <w:r w:rsidR="008813B2">
        <w:rPr>
          <w:lang w:val="en-US"/>
        </w:rPr>
        <w:t>t</w:t>
      </w:r>
      <w:r w:rsidR="00602954">
        <w:rPr>
          <w:lang w:val="en-US"/>
        </w:rPr>
        <w:t>easers were sent out</w:t>
      </w:r>
      <w:r w:rsidRPr="0023190B">
        <w:rPr>
          <w:lang w:val="en-US"/>
        </w:rPr>
        <w:t xml:space="preserve"> in March</w:t>
      </w:r>
      <w:r w:rsidR="00602954">
        <w:rPr>
          <w:lang w:val="en-US"/>
        </w:rPr>
        <w:t>, and t</w:t>
      </w:r>
      <w:r w:rsidRPr="0023190B">
        <w:rPr>
          <w:lang w:val="en-US"/>
        </w:rPr>
        <w:t>he</w:t>
      </w:r>
      <w:r w:rsidR="00D3075D">
        <w:rPr>
          <w:lang w:val="en-US"/>
        </w:rPr>
        <w:t xml:space="preserve"> process is progressing according to plan</w:t>
      </w:r>
      <w:r w:rsidRPr="0023190B">
        <w:rPr>
          <w:lang w:val="en-US"/>
        </w:rPr>
        <w:t>.</w:t>
      </w:r>
    </w:p>
    <w:p w14:paraId="27403798" w14:textId="77777777" w:rsidR="0023190B" w:rsidRPr="0023190B" w:rsidRDefault="0023190B" w:rsidP="0023190B">
      <w:pPr>
        <w:rPr>
          <w:lang w:val="en-US"/>
        </w:rPr>
      </w:pPr>
    </w:p>
    <w:p w14:paraId="65A18A5F" w14:textId="381CD65E" w:rsidR="0023190B" w:rsidRPr="0023190B" w:rsidRDefault="0023190B" w:rsidP="0023190B">
      <w:pPr>
        <w:rPr>
          <w:lang w:val="en-US"/>
        </w:rPr>
      </w:pPr>
      <w:r w:rsidRPr="0023190B">
        <w:rPr>
          <w:lang w:val="en-US"/>
        </w:rPr>
        <w:t>Cost-</w:t>
      </w:r>
      <w:r w:rsidR="005225B4">
        <w:rPr>
          <w:lang w:val="en-US"/>
        </w:rPr>
        <w:t>adjustment</w:t>
      </w:r>
      <w:r w:rsidRPr="0023190B">
        <w:rPr>
          <w:lang w:val="en-US"/>
        </w:rPr>
        <w:t xml:space="preserve"> measures in</w:t>
      </w:r>
      <w:r w:rsidR="00625CA1">
        <w:rPr>
          <w:lang w:val="en-US"/>
        </w:rPr>
        <w:t>cluding</w:t>
      </w:r>
      <w:r w:rsidRPr="0023190B">
        <w:rPr>
          <w:lang w:val="en-US"/>
        </w:rPr>
        <w:t xml:space="preserve"> </w:t>
      </w:r>
      <w:r w:rsidR="005225B4">
        <w:rPr>
          <w:lang w:val="en-US"/>
        </w:rPr>
        <w:t>cuts in the number of</w:t>
      </w:r>
      <w:r w:rsidRPr="0023190B">
        <w:rPr>
          <w:lang w:val="en-US"/>
        </w:rPr>
        <w:t xml:space="preserve"> external consultants, </w:t>
      </w:r>
      <w:r w:rsidR="005225B4">
        <w:rPr>
          <w:lang w:val="en-US"/>
        </w:rPr>
        <w:t>reduced</w:t>
      </w:r>
      <w:r w:rsidR="00625CA1">
        <w:rPr>
          <w:lang w:val="en-US"/>
        </w:rPr>
        <w:t xml:space="preserve"> business</w:t>
      </w:r>
      <w:r w:rsidRPr="0023190B">
        <w:rPr>
          <w:lang w:val="en-US"/>
        </w:rPr>
        <w:t xml:space="preserve"> travel</w:t>
      </w:r>
      <w:r w:rsidR="00AE3085">
        <w:rPr>
          <w:lang w:val="en-US"/>
        </w:rPr>
        <w:t>,</w:t>
      </w:r>
      <w:r w:rsidRPr="0023190B">
        <w:rPr>
          <w:lang w:val="en-US"/>
        </w:rPr>
        <w:t xml:space="preserve"> and discipline</w:t>
      </w:r>
      <w:r w:rsidR="00AE3085">
        <w:rPr>
          <w:lang w:val="en-US"/>
        </w:rPr>
        <w:t>d</w:t>
      </w:r>
      <w:r w:rsidRPr="0023190B">
        <w:rPr>
          <w:lang w:val="en-US"/>
        </w:rPr>
        <w:t xml:space="preserve"> hiring are also bear</w:t>
      </w:r>
      <w:r w:rsidR="00625CA1">
        <w:rPr>
          <w:lang w:val="en-US"/>
        </w:rPr>
        <w:t xml:space="preserve">ing </w:t>
      </w:r>
      <w:r w:rsidRPr="0023190B">
        <w:rPr>
          <w:lang w:val="en-US"/>
        </w:rPr>
        <w:t xml:space="preserve">fruit. However, </w:t>
      </w:r>
      <w:r w:rsidR="00AE3085">
        <w:rPr>
          <w:lang w:val="en-US"/>
        </w:rPr>
        <w:t>most</w:t>
      </w:r>
      <w:r w:rsidRPr="0023190B">
        <w:rPr>
          <w:lang w:val="en-US"/>
        </w:rPr>
        <w:t xml:space="preserve"> of the </w:t>
      </w:r>
      <w:r w:rsidR="00625CA1" w:rsidRPr="0023190B">
        <w:rPr>
          <w:lang w:val="en-US"/>
        </w:rPr>
        <w:t>savings</w:t>
      </w:r>
      <w:r w:rsidR="00625CA1">
        <w:rPr>
          <w:lang w:val="en-US"/>
        </w:rPr>
        <w:t xml:space="preserve"> </w:t>
      </w:r>
      <w:r w:rsidRPr="0023190B">
        <w:rPr>
          <w:lang w:val="en-US"/>
        </w:rPr>
        <w:t xml:space="preserve">target of 250 million euros will </w:t>
      </w:r>
      <w:r w:rsidR="00625CA1">
        <w:rPr>
          <w:lang w:val="en-US"/>
        </w:rPr>
        <w:t>only</w:t>
      </w:r>
      <w:r w:rsidRPr="0023190B">
        <w:rPr>
          <w:lang w:val="en-US"/>
        </w:rPr>
        <w:t xml:space="preserve"> be realized later </w:t>
      </w:r>
      <w:r w:rsidR="00625CA1">
        <w:rPr>
          <w:lang w:val="en-US"/>
        </w:rPr>
        <w:t>this</w:t>
      </w:r>
      <w:r w:rsidRPr="0023190B">
        <w:rPr>
          <w:lang w:val="en-US"/>
        </w:rPr>
        <w:t xml:space="preserve"> year.</w:t>
      </w:r>
    </w:p>
    <w:p w14:paraId="01465BA5" w14:textId="77777777" w:rsidR="0023190B" w:rsidRPr="0023190B" w:rsidRDefault="0023190B" w:rsidP="0023190B">
      <w:pPr>
        <w:rPr>
          <w:lang w:val="en-US"/>
        </w:rPr>
      </w:pPr>
    </w:p>
    <w:p w14:paraId="169E20AF" w14:textId="1168D890" w:rsidR="003603CB" w:rsidRDefault="0023190B" w:rsidP="0043547E">
      <w:pPr>
        <w:rPr>
          <w:lang w:val="en-US"/>
        </w:rPr>
      </w:pPr>
      <w:r w:rsidRPr="0023190B">
        <w:rPr>
          <w:lang w:val="en-US"/>
        </w:rPr>
        <w:t xml:space="preserve">Meanwhile, </w:t>
      </w:r>
      <w:r w:rsidR="008D6543">
        <w:rPr>
          <w:lang w:val="en-US"/>
        </w:rPr>
        <w:t xml:space="preserve">the </w:t>
      </w:r>
      <w:r w:rsidRPr="0023190B">
        <w:rPr>
          <w:lang w:val="en-US"/>
        </w:rPr>
        <w:t xml:space="preserve">implementation of the sustainability strategy is picking up speed. In </w:t>
      </w:r>
      <w:r w:rsidR="008D6543">
        <w:rPr>
          <w:lang w:val="en-US"/>
        </w:rPr>
        <w:t xml:space="preserve">March, </w:t>
      </w:r>
      <w:r w:rsidRPr="0023190B">
        <w:rPr>
          <w:lang w:val="en-US"/>
        </w:rPr>
        <w:t xml:space="preserve">Evonik </w:t>
      </w:r>
      <w:r w:rsidR="008D6543">
        <w:rPr>
          <w:lang w:val="en-US"/>
        </w:rPr>
        <w:t>started</w:t>
      </w:r>
      <w:r w:rsidRPr="0023190B">
        <w:rPr>
          <w:lang w:val="en-US"/>
        </w:rPr>
        <w:t xml:space="preserve"> construction of a new world-scale facility for pharmaceutical lipids </w:t>
      </w:r>
      <w:r w:rsidR="008D6543">
        <w:rPr>
          <w:lang w:val="en-US"/>
        </w:rPr>
        <w:t>in the U.S.</w:t>
      </w:r>
      <w:r w:rsidRPr="0023190B">
        <w:rPr>
          <w:lang w:val="en-US"/>
        </w:rPr>
        <w:t xml:space="preserve"> Evonik </w:t>
      </w:r>
      <w:r w:rsidR="009F10A2">
        <w:rPr>
          <w:lang w:val="en-US"/>
        </w:rPr>
        <w:t>also</w:t>
      </w:r>
      <w:r w:rsidRPr="0023190B">
        <w:rPr>
          <w:lang w:val="en-US"/>
        </w:rPr>
        <w:t xml:space="preserve"> inaugurated a corresponding production facility for clinical quantities in Hanau</w:t>
      </w:r>
      <w:r w:rsidR="0010786E">
        <w:rPr>
          <w:lang w:val="en-US"/>
        </w:rPr>
        <w:t>, Germany</w:t>
      </w:r>
      <w:r w:rsidRPr="0023190B">
        <w:rPr>
          <w:lang w:val="en-US"/>
        </w:rPr>
        <w:t xml:space="preserve">. In </w:t>
      </w:r>
      <w:r w:rsidR="009F10A2" w:rsidRPr="0023190B">
        <w:rPr>
          <w:lang w:val="en-US"/>
        </w:rPr>
        <w:t>February</w:t>
      </w:r>
      <w:r w:rsidR="00FA0FC6">
        <w:rPr>
          <w:lang w:val="en-US"/>
        </w:rPr>
        <w:t>, Evonik</w:t>
      </w:r>
      <w:r w:rsidR="009F10A2" w:rsidRPr="0023190B">
        <w:rPr>
          <w:lang w:val="en-US"/>
        </w:rPr>
        <w:t xml:space="preserve"> </w:t>
      </w:r>
      <w:r w:rsidRPr="0023190B">
        <w:rPr>
          <w:lang w:val="en-US"/>
        </w:rPr>
        <w:t>started up a new plant for gas separation membranes</w:t>
      </w:r>
      <w:r w:rsidR="006E27F5">
        <w:rPr>
          <w:lang w:val="en-US"/>
        </w:rPr>
        <w:t xml:space="preserve"> in Austria</w:t>
      </w:r>
      <w:r w:rsidRPr="0023190B">
        <w:rPr>
          <w:lang w:val="en-US"/>
        </w:rPr>
        <w:t>.</w:t>
      </w:r>
      <w:r w:rsidR="0043547E" w:rsidRPr="0043547E">
        <w:rPr>
          <w:lang w:val="en-US"/>
        </w:rPr>
        <w:t xml:space="preserve"> </w:t>
      </w:r>
    </w:p>
    <w:p w14:paraId="6EF6DEC7" w14:textId="77777777" w:rsidR="0023190B" w:rsidRDefault="0023190B" w:rsidP="0043547E">
      <w:pPr>
        <w:rPr>
          <w:b/>
          <w:bCs/>
          <w:lang w:val="en-US"/>
        </w:rPr>
      </w:pPr>
    </w:p>
    <w:p w14:paraId="1112D43D" w14:textId="77777777" w:rsidR="0063241D" w:rsidRDefault="0063241D" w:rsidP="0043547E">
      <w:pPr>
        <w:rPr>
          <w:b/>
          <w:bCs/>
          <w:lang w:val="en-US"/>
        </w:rPr>
      </w:pPr>
    </w:p>
    <w:p w14:paraId="1E705081" w14:textId="23CD2BB7" w:rsidR="0043547E" w:rsidRPr="00A033BF" w:rsidRDefault="0043547E" w:rsidP="0043547E">
      <w:pPr>
        <w:rPr>
          <w:b/>
          <w:bCs/>
          <w:lang w:val="en-US"/>
        </w:rPr>
      </w:pPr>
      <w:r w:rsidRPr="00A033BF">
        <w:rPr>
          <w:b/>
          <w:bCs/>
          <w:lang w:val="en-US"/>
        </w:rPr>
        <w:t>Development of the Chemicals Divisions</w:t>
      </w:r>
    </w:p>
    <w:p w14:paraId="55CD2287" w14:textId="77777777" w:rsidR="0043547E" w:rsidRPr="0043547E" w:rsidRDefault="0043547E" w:rsidP="0043547E">
      <w:pPr>
        <w:rPr>
          <w:lang w:val="en-US"/>
        </w:rPr>
      </w:pPr>
    </w:p>
    <w:p w14:paraId="10262551" w14:textId="29D4A239" w:rsidR="0043547E" w:rsidRDefault="0043547E" w:rsidP="008936C2">
      <w:pPr>
        <w:rPr>
          <w:lang w:val="en-US"/>
        </w:rPr>
      </w:pPr>
      <w:r w:rsidRPr="00A033BF">
        <w:rPr>
          <w:b/>
          <w:bCs/>
          <w:lang w:val="en-US"/>
        </w:rPr>
        <w:t>Specialty Additives</w:t>
      </w:r>
      <w:r w:rsidRPr="0043547E">
        <w:rPr>
          <w:lang w:val="en-US"/>
        </w:rPr>
        <w:t xml:space="preserve">: </w:t>
      </w:r>
      <w:r w:rsidR="008936C2" w:rsidRPr="008936C2">
        <w:rPr>
          <w:lang w:val="en-US"/>
        </w:rPr>
        <w:t xml:space="preserve">In the Specialty Additives division, </w:t>
      </w:r>
      <w:r w:rsidR="001B21E0">
        <w:rPr>
          <w:lang w:val="en-US"/>
        </w:rPr>
        <w:t>revenue</w:t>
      </w:r>
      <w:r w:rsidR="008936C2" w:rsidRPr="008936C2">
        <w:rPr>
          <w:lang w:val="en-US"/>
        </w:rPr>
        <w:t xml:space="preserve"> declined 12 percent to €921 million due to lower volumes. Selling prices were raised </w:t>
      </w:r>
      <w:r w:rsidR="001B21E0">
        <w:rPr>
          <w:lang w:val="en-US"/>
        </w:rPr>
        <w:t>to</w:t>
      </w:r>
      <w:r w:rsidR="008936C2" w:rsidRPr="008936C2">
        <w:rPr>
          <w:lang w:val="en-US"/>
        </w:rPr>
        <w:t xml:space="preserve"> pass on higher raw material and energy costs. Products for the construction and coatings industries </w:t>
      </w:r>
      <w:r w:rsidR="00175935">
        <w:rPr>
          <w:lang w:val="en-US"/>
        </w:rPr>
        <w:t>generated</w:t>
      </w:r>
      <w:r w:rsidR="008936C2" w:rsidRPr="008936C2">
        <w:rPr>
          <w:lang w:val="en-US"/>
        </w:rPr>
        <w:t xml:space="preserve"> noticeably lower </w:t>
      </w:r>
      <w:r w:rsidR="008F68F5">
        <w:rPr>
          <w:lang w:val="en-US"/>
        </w:rPr>
        <w:t>revenue</w:t>
      </w:r>
      <w:r w:rsidR="008936C2" w:rsidRPr="008936C2">
        <w:rPr>
          <w:lang w:val="en-US"/>
        </w:rPr>
        <w:t xml:space="preserve">. Sales of additives for polyurethane foams and consumer durables also declined, mainly due to lower volumes. </w:t>
      </w:r>
      <w:r w:rsidR="008F68F5">
        <w:rPr>
          <w:lang w:val="en-US"/>
        </w:rPr>
        <w:t>Among</w:t>
      </w:r>
      <w:r w:rsidR="008936C2" w:rsidRPr="008936C2">
        <w:rPr>
          <w:lang w:val="en-US"/>
        </w:rPr>
        <w:t xml:space="preserve"> additives for the automotive </w:t>
      </w:r>
      <w:r w:rsidR="008F68F5">
        <w:rPr>
          <w:lang w:val="en-US"/>
        </w:rPr>
        <w:t>industry</w:t>
      </w:r>
      <w:r w:rsidR="008936C2" w:rsidRPr="008936C2">
        <w:rPr>
          <w:lang w:val="en-US"/>
        </w:rPr>
        <w:t xml:space="preserve">, </w:t>
      </w:r>
      <w:r w:rsidR="008F68F5">
        <w:rPr>
          <w:lang w:val="en-US"/>
        </w:rPr>
        <w:t>a</w:t>
      </w:r>
      <w:r w:rsidR="008936C2" w:rsidRPr="008936C2">
        <w:rPr>
          <w:lang w:val="en-US"/>
        </w:rPr>
        <w:t xml:space="preserve"> </w:t>
      </w:r>
      <w:r w:rsidR="00175935">
        <w:rPr>
          <w:lang w:val="en-US"/>
        </w:rPr>
        <w:t xml:space="preserve">volume </w:t>
      </w:r>
      <w:r w:rsidR="008936C2" w:rsidRPr="008936C2">
        <w:rPr>
          <w:lang w:val="en-US"/>
        </w:rPr>
        <w:t xml:space="preserve">decline was offset by </w:t>
      </w:r>
      <w:r w:rsidR="008F68F5">
        <w:rPr>
          <w:lang w:val="en-US"/>
        </w:rPr>
        <w:t>higher</w:t>
      </w:r>
      <w:r w:rsidR="008936C2" w:rsidRPr="008936C2">
        <w:rPr>
          <w:lang w:val="en-US"/>
        </w:rPr>
        <w:t xml:space="preserve"> selling prices, result</w:t>
      </w:r>
      <w:r w:rsidR="000E3F88">
        <w:rPr>
          <w:lang w:val="en-US"/>
        </w:rPr>
        <w:t>ing</w:t>
      </w:r>
      <w:r w:rsidR="008936C2" w:rsidRPr="008936C2">
        <w:rPr>
          <w:lang w:val="en-US"/>
        </w:rPr>
        <w:t xml:space="preserve"> </w:t>
      </w:r>
      <w:r w:rsidR="000E3F88">
        <w:rPr>
          <w:lang w:val="en-US"/>
        </w:rPr>
        <w:t>in stable</w:t>
      </w:r>
      <w:r w:rsidR="008936C2" w:rsidRPr="008936C2">
        <w:rPr>
          <w:lang w:val="en-US"/>
        </w:rPr>
        <w:t xml:space="preserve"> sales. Adjusted EBITDA </w:t>
      </w:r>
      <w:r w:rsidR="000E3F88" w:rsidRPr="008936C2">
        <w:rPr>
          <w:lang w:val="en-US"/>
        </w:rPr>
        <w:t xml:space="preserve">at €168 million </w:t>
      </w:r>
      <w:r w:rsidR="008936C2" w:rsidRPr="008936C2">
        <w:rPr>
          <w:lang w:val="en-US"/>
        </w:rPr>
        <w:t xml:space="preserve">was 33 percent below the prior-year </w:t>
      </w:r>
      <w:r w:rsidR="000E3F88">
        <w:rPr>
          <w:lang w:val="en-US"/>
        </w:rPr>
        <w:t>results</w:t>
      </w:r>
      <w:r w:rsidR="008936C2" w:rsidRPr="008936C2">
        <w:rPr>
          <w:lang w:val="en-US"/>
        </w:rPr>
        <w:t xml:space="preserve">. </w:t>
      </w:r>
      <w:r w:rsidR="00513D7D">
        <w:rPr>
          <w:lang w:val="en-US"/>
        </w:rPr>
        <w:t>The a</w:t>
      </w:r>
      <w:r w:rsidR="008936C2" w:rsidRPr="008936C2">
        <w:rPr>
          <w:lang w:val="en-US"/>
        </w:rPr>
        <w:t xml:space="preserve">djusted EBITDA margin </w:t>
      </w:r>
      <w:r w:rsidR="001D684D">
        <w:rPr>
          <w:lang w:val="en-US"/>
        </w:rPr>
        <w:t xml:space="preserve">in the first quarter </w:t>
      </w:r>
      <w:r w:rsidR="008936C2" w:rsidRPr="008936C2">
        <w:rPr>
          <w:lang w:val="en-US"/>
        </w:rPr>
        <w:t xml:space="preserve">declined to 18.2 percent from 24.0 percent </w:t>
      </w:r>
      <w:r w:rsidR="001D684D">
        <w:rPr>
          <w:lang w:val="en-US"/>
        </w:rPr>
        <w:t>year-over-year</w:t>
      </w:r>
      <w:r w:rsidR="008936C2" w:rsidRPr="008936C2">
        <w:rPr>
          <w:lang w:val="en-US"/>
        </w:rPr>
        <w:t>.</w:t>
      </w:r>
    </w:p>
    <w:p w14:paraId="71FC510D" w14:textId="77777777" w:rsidR="008936C2" w:rsidRPr="0043547E" w:rsidRDefault="008936C2" w:rsidP="008936C2">
      <w:pPr>
        <w:rPr>
          <w:lang w:val="en-US"/>
        </w:rPr>
      </w:pPr>
    </w:p>
    <w:p w14:paraId="156298E9" w14:textId="6AC092F9" w:rsidR="0043547E" w:rsidRDefault="0043547E" w:rsidP="0043547E">
      <w:pPr>
        <w:rPr>
          <w:lang w:val="en-US"/>
        </w:rPr>
      </w:pPr>
      <w:r w:rsidRPr="00290D43">
        <w:rPr>
          <w:b/>
          <w:bCs/>
          <w:lang w:val="en-US"/>
        </w:rPr>
        <w:t>Nutrition &amp; Care</w:t>
      </w:r>
      <w:r w:rsidRPr="0043547E">
        <w:rPr>
          <w:lang w:val="en-US"/>
        </w:rPr>
        <w:t xml:space="preserve">: </w:t>
      </w:r>
      <w:r w:rsidR="00F10108" w:rsidRPr="00F10108">
        <w:rPr>
          <w:lang w:val="en-US"/>
        </w:rPr>
        <w:t xml:space="preserve">In the Nutrition &amp; Care </w:t>
      </w:r>
      <w:r w:rsidR="00BB4C6A">
        <w:rPr>
          <w:lang w:val="en-US"/>
        </w:rPr>
        <w:t>d</w:t>
      </w:r>
      <w:r w:rsidR="00F10108" w:rsidRPr="00F10108">
        <w:rPr>
          <w:lang w:val="en-US"/>
        </w:rPr>
        <w:t xml:space="preserve">ivision, </w:t>
      </w:r>
      <w:r w:rsidR="00513D7D">
        <w:rPr>
          <w:lang w:val="en-US"/>
        </w:rPr>
        <w:t>revenue</w:t>
      </w:r>
      <w:r w:rsidR="00F10108" w:rsidRPr="00F10108">
        <w:rPr>
          <w:lang w:val="en-US"/>
        </w:rPr>
        <w:t xml:space="preserve"> declined by 15 percent to €886 million</w:t>
      </w:r>
      <w:r w:rsidR="00DE7E62">
        <w:rPr>
          <w:lang w:val="en-US"/>
        </w:rPr>
        <w:t xml:space="preserve"> </w:t>
      </w:r>
      <w:r w:rsidR="00F10108" w:rsidRPr="00F10108">
        <w:rPr>
          <w:lang w:val="en-US"/>
        </w:rPr>
        <w:t xml:space="preserve">due to significantly lower volumes. The operating model of the Animal Nutrition business line is being </w:t>
      </w:r>
      <w:r w:rsidR="005F14F3">
        <w:rPr>
          <w:lang w:val="en-US"/>
        </w:rPr>
        <w:t>adjusted</w:t>
      </w:r>
      <w:r w:rsidR="00F10108" w:rsidRPr="00F10108">
        <w:rPr>
          <w:lang w:val="en-US"/>
        </w:rPr>
        <w:t xml:space="preserve">, which will make the amino acids business more </w:t>
      </w:r>
      <w:r w:rsidR="00F10108" w:rsidRPr="00F10108">
        <w:rPr>
          <w:lang w:val="en-US"/>
        </w:rPr>
        <w:lastRenderedPageBreak/>
        <w:t xml:space="preserve">competitive and </w:t>
      </w:r>
      <w:r w:rsidR="002B60A3">
        <w:rPr>
          <w:lang w:val="en-US"/>
        </w:rPr>
        <w:t xml:space="preserve">more </w:t>
      </w:r>
      <w:r w:rsidR="00F10108" w:rsidRPr="00F10108">
        <w:rPr>
          <w:lang w:val="en-US"/>
        </w:rPr>
        <w:t xml:space="preserve">profitable. The continuing </w:t>
      </w:r>
      <w:r w:rsidR="006A757E">
        <w:rPr>
          <w:lang w:val="en-US"/>
        </w:rPr>
        <w:t>decline of</w:t>
      </w:r>
      <w:r w:rsidR="00F10108" w:rsidRPr="00F10108">
        <w:rPr>
          <w:lang w:val="en-US"/>
        </w:rPr>
        <w:t xml:space="preserve"> </w:t>
      </w:r>
      <w:r w:rsidR="006A757E" w:rsidRPr="00F10108">
        <w:rPr>
          <w:lang w:val="en-US"/>
        </w:rPr>
        <w:t xml:space="preserve">methionine </w:t>
      </w:r>
      <w:r w:rsidR="00F10108" w:rsidRPr="00F10108">
        <w:rPr>
          <w:lang w:val="en-US"/>
        </w:rPr>
        <w:t xml:space="preserve">prices illustrates the urgency of this measure. Sales </w:t>
      </w:r>
      <w:r w:rsidR="006A757E">
        <w:rPr>
          <w:lang w:val="en-US"/>
        </w:rPr>
        <w:t>in this business</w:t>
      </w:r>
      <w:r w:rsidR="00F10108" w:rsidRPr="00F10108">
        <w:rPr>
          <w:lang w:val="en-US"/>
        </w:rPr>
        <w:t xml:space="preserve"> were down significantly. By contrast, products for the health and care </w:t>
      </w:r>
      <w:r w:rsidR="006A757E">
        <w:rPr>
          <w:lang w:val="en-US"/>
        </w:rPr>
        <w:t>industries</w:t>
      </w:r>
      <w:r w:rsidR="00F10108" w:rsidRPr="00F10108">
        <w:rPr>
          <w:lang w:val="en-US"/>
        </w:rPr>
        <w:t xml:space="preserve"> </w:t>
      </w:r>
      <w:r w:rsidR="00891733">
        <w:rPr>
          <w:lang w:val="en-US"/>
        </w:rPr>
        <w:t>saw higher</w:t>
      </w:r>
      <w:r w:rsidR="00F10108" w:rsidRPr="00F10108">
        <w:rPr>
          <w:lang w:val="en-US"/>
        </w:rPr>
        <w:t xml:space="preserve"> selling prices with lower volumes</w:t>
      </w:r>
      <w:r w:rsidR="00DE7E62">
        <w:rPr>
          <w:lang w:val="en-US"/>
        </w:rPr>
        <w:t xml:space="preserve">, resulting in </w:t>
      </w:r>
      <w:r w:rsidR="00F10108" w:rsidRPr="00F10108">
        <w:rPr>
          <w:lang w:val="en-US"/>
        </w:rPr>
        <w:t xml:space="preserve">only slightly lower </w:t>
      </w:r>
      <w:r w:rsidR="00891733">
        <w:rPr>
          <w:lang w:val="en-US"/>
        </w:rPr>
        <w:t>revenue</w:t>
      </w:r>
      <w:r w:rsidR="00F10108" w:rsidRPr="00F10108">
        <w:rPr>
          <w:lang w:val="en-US"/>
        </w:rPr>
        <w:t xml:space="preserve"> </w:t>
      </w:r>
      <w:r w:rsidR="00114820">
        <w:rPr>
          <w:lang w:val="en-US"/>
        </w:rPr>
        <w:t>compared to</w:t>
      </w:r>
      <w:r w:rsidR="00F10108" w:rsidRPr="00F10108">
        <w:rPr>
          <w:lang w:val="en-US"/>
        </w:rPr>
        <w:t xml:space="preserve"> the previous year. Adjusted EBITDA declined by 66 percent to €76 million. </w:t>
      </w:r>
      <w:r w:rsidR="00891733">
        <w:rPr>
          <w:lang w:val="en-US"/>
        </w:rPr>
        <w:t>The a</w:t>
      </w:r>
      <w:r w:rsidR="00F10108" w:rsidRPr="00F10108">
        <w:rPr>
          <w:lang w:val="en-US"/>
        </w:rPr>
        <w:t>djusted EBITDA margin fell from 21.4 percent in the first quarter of 2022 to 8.6 percent.</w:t>
      </w:r>
    </w:p>
    <w:p w14:paraId="4206DB66" w14:textId="77777777" w:rsidR="00F10108" w:rsidRPr="0043547E" w:rsidRDefault="00F10108" w:rsidP="0043547E">
      <w:pPr>
        <w:rPr>
          <w:lang w:val="en-US"/>
        </w:rPr>
      </w:pPr>
    </w:p>
    <w:p w14:paraId="0CDA2DC0" w14:textId="6E699E9E" w:rsidR="0043547E" w:rsidRDefault="0043547E" w:rsidP="00F10108">
      <w:pPr>
        <w:rPr>
          <w:lang w:val="en-US"/>
        </w:rPr>
      </w:pPr>
      <w:r w:rsidRPr="000D13BE">
        <w:rPr>
          <w:b/>
          <w:bCs/>
          <w:lang w:val="en-US"/>
        </w:rPr>
        <w:t>Smart Materials</w:t>
      </w:r>
      <w:r w:rsidRPr="0043547E">
        <w:rPr>
          <w:lang w:val="en-US"/>
        </w:rPr>
        <w:t xml:space="preserve">: </w:t>
      </w:r>
      <w:r w:rsidR="00E423BF">
        <w:rPr>
          <w:lang w:val="en-US"/>
        </w:rPr>
        <w:t>Revenue</w:t>
      </w:r>
      <w:r w:rsidR="00C97CD7" w:rsidRPr="00C97CD7">
        <w:rPr>
          <w:lang w:val="en-US"/>
        </w:rPr>
        <w:t xml:space="preserve"> </w:t>
      </w:r>
      <w:r w:rsidR="00E423BF">
        <w:rPr>
          <w:lang w:val="en-US"/>
        </w:rPr>
        <w:t>in</w:t>
      </w:r>
      <w:r w:rsidR="00C97CD7" w:rsidRPr="00C97CD7">
        <w:rPr>
          <w:lang w:val="en-US"/>
        </w:rPr>
        <w:t xml:space="preserve"> the Smart Materials division decreased by 7 percent to €1,188 million </w:t>
      </w:r>
      <w:r w:rsidR="00114820">
        <w:rPr>
          <w:lang w:val="en-US"/>
        </w:rPr>
        <w:t>because of</w:t>
      </w:r>
      <w:r w:rsidR="00C97CD7" w:rsidRPr="00C97CD7">
        <w:rPr>
          <w:lang w:val="en-US"/>
        </w:rPr>
        <w:t xml:space="preserve"> lower sales volumes. Selling prices rose</w:t>
      </w:r>
      <w:r w:rsidR="00114820">
        <w:rPr>
          <w:lang w:val="en-US"/>
        </w:rPr>
        <w:t xml:space="preserve"> </w:t>
      </w:r>
      <w:r w:rsidR="00C97CD7" w:rsidRPr="00C97CD7">
        <w:rPr>
          <w:lang w:val="en-US"/>
        </w:rPr>
        <w:t xml:space="preserve">due to the passing-on of higher raw material costs. Inorganic products </w:t>
      </w:r>
      <w:r w:rsidR="00300C9D">
        <w:rPr>
          <w:lang w:val="en-US"/>
        </w:rPr>
        <w:t>saw</w:t>
      </w:r>
      <w:r w:rsidR="00C97CD7" w:rsidRPr="00C97CD7">
        <w:rPr>
          <w:lang w:val="en-US"/>
        </w:rPr>
        <w:t xml:space="preserve"> significantly lower </w:t>
      </w:r>
      <w:r w:rsidR="00300C9D">
        <w:rPr>
          <w:lang w:val="en-US"/>
        </w:rPr>
        <w:t>revenue</w:t>
      </w:r>
      <w:r w:rsidR="00C97CD7" w:rsidRPr="00C97CD7">
        <w:rPr>
          <w:lang w:val="en-US"/>
        </w:rPr>
        <w:t xml:space="preserve"> as a result of declining demand. The higher selling prices reflect the increase in variable costs. The new capacities </w:t>
      </w:r>
      <w:r w:rsidR="00300C9D" w:rsidRPr="00C97CD7">
        <w:rPr>
          <w:lang w:val="en-US"/>
        </w:rPr>
        <w:t xml:space="preserve">for the high-performance polymers PA12 </w:t>
      </w:r>
      <w:r w:rsidR="00C97CD7" w:rsidRPr="00C97CD7">
        <w:rPr>
          <w:lang w:val="en-US"/>
        </w:rPr>
        <w:t>created in Marl</w:t>
      </w:r>
      <w:r w:rsidR="00300C9D">
        <w:rPr>
          <w:lang w:val="en-US"/>
        </w:rPr>
        <w:t xml:space="preserve">, Germany, were </w:t>
      </w:r>
      <w:r w:rsidR="00C97CD7" w:rsidRPr="00C97CD7">
        <w:rPr>
          <w:lang w:val="en-US"/>
        </w:rPr>
        <w:t xml:space="preserve">met with strong demand in the market. Adjusted EBITDA decreased by 23 percent to €164 million, mainly as a result of lower volumes and higher raw material costs. </w:t>
      </w:r>
      <w:r w:rsidR="00275D17">
        <w:rPr>
          <w:lang w:val="en-US"/>
        </w:rPr>
        <w:t>The a</w:t>
      </w:r>
      <w:r w:rsidR="00C97CD7" w:rsidRPr="00C97CD7">
        <w:rPr>
          <w:lang w:val="en-US"/>
        </w:rPr>
        <w:t>djusted EBITDA margin fell from 16.5 percent to 13.8 percent.</w:t>
      </w:r>
    </w:p>
    <w:p w14:paraId="1396BA8E" w14:textId="77777777" w:rsidR="00F10108" w:rsidRPr="0043547E" w:rsidRDefault="00F10108" w:rsidP="00F10108">
      <w:pPr>
        <w:rPr>
          <w:lang w:val="en-US"/>
        </w:rPr>
      </w:pPr>
    </w:p>
    <w:p w14:paraId="30F69CDC" w14:textId="238D3D79" w:rsidR="007F50F8" w:rsidRPr="000D39F8" w:rsidRDefault="0043547E" w:rsidP="0043547E">
      <w:pPr>
        <w:rPr>
          <w:lang w:val="en-US"/>
        </w:rPr>
      </w:pPr>
      <w:r w:rsidRPr="00FA2B29">
        <w:rPr>
          <w:b/>
          <w:bCs/>
          <w:lang w:val="en-US"/>
        </w:rPr>
        <w:t>Performance Materials</w:t>
      </w:r>
      <w:r w:rsidRPr="0043547E">
        <w:rPr>
          <w:lang w:val="en-US"/>
        </w:rPr>
        <w:t xml:space="preserve">: </w:t>
      </w:r>
      <w:r w:rsidR="00BB4C6A" w:rsidRPr="00BB4C6A">
        <w:rPr>
          <w:lang w:val="en-US"/>
        </w:rPr>
        <w:t xml:space="preserve">In the Performance Materials </w:t>
      </w:r>
      <w:r w:rsidR="00BB4C6A">
        <w:rPr>
          <w:lang w:val="en-US"/>
        </w:rPr>
        <w:t>d</w:t>
      </w:r>
      <w:r w:rsidR="00BB4C6A" w:rsidRPr="00BB4C6A">
        <w:rPr>
          <w:lang w:val="en-US"/>
        </w:rPr>
        <w:t xml:space="preserve">ivision, </w:t>
      </w:r>
      <w:r w:rsidR="00275D17">
        <w:rPr>
          <w:lang w:val="en-US"/>
        </w:rPr>
        <w:t>revenue</w:t>
      </w:r>
      <w:r w:rsidR="00BB4C6A" w:rsidRPr="00BB4C6A">
        <w:rPr>
          <w:lang w:val="en-US"/>
        </w:rPr>
        <w:t xml:space="preserve"> declined by 16 percent to €707 million. This was due to </w:t>
      </w:r>
      <w:r w:rsidR="00275D17">
        <w:rPr>
          <w:lang w:val="en-US"/>
        </w:rPr>
        <w:t xml:space="preserve">both </w:t>
      </w:r>
      <w:r w:rsidR="00BB4C6A" w:rsidRPr="00BB4C6A">
        <w:rPr>
          <w:lang w:val="en-US"/>
        </w:rPr>
        <w:t xml:space="preserve">lower volumes and prices. </w:t>
      </w:r>
      <w:r w:rsidR="00275D17">
        <w:rPr>
          <w:lang w:val="en-US"/>
        </w:rPr>
        <w:t>P</w:t>
      </w:r>
      <w:r w:rsidR="00BB4C6A" w:rsidRPr="00BB4C6A">
        <w:rPr>
          <w:lang w:val="en-US"/>
        </w:rPr>
        <w:t>roducts from the C</w:t>
      </w:r>
      <w:r w:rsidR="00BB4C6A" w:rsidRPr="00275D17">
        <w:rPr>
          <w:vertAlign w:val="subscript"/>
          <w:lang w:val="en-US"/>
        </w:rPr>
        <w:t>4</w:t>
      </w:r>
      <w:r w:rsidR="00BB4C6A" w:rsidRPr="00BB4C6A">
        <w:rPr>
          <w:lang w:val="en-US"/>
        </w:rPr>
        <w:t xml:space="preserve"> </w:t>
      </w:r>
      <w:r w:rsidR="008813B2">
        <w:rPr>
          <w:lang w:val="en-US"/>
        </w:rPr>
        <w:t>chain</w:t>
      </w:r>
      <w:r w:rsidR="00BB4C6A" w:rsidRPr="00BB4C6A">
        <w:rPr>
          <w:lang w:val="en-US"/>
        </w:rPr>
        <w:t xml:space="preserve"> saw declining demand and falling prices, resulting in a significant drop in sales. Sales of superabsorbents increased with improved selling prices. Adjusted EBITDA decreased by 55 percent to €37 million, mainly </w:t>
      </w:r>
      <w:r w:rsidR="00070FC4">
        <w:rPr>
          <w:lang w:val="en-US"/>
        </w:rPr>
        <w:t>because</w:t>
      </w:r>
      <w:r w:rsidR="00BB4C6A" w:rsidRPr="00BB4C6A">
        <w:rPr>
          <w:lang w:val="en-US"/>
        </w:rPr>
        <w:t xml:space="preserve"> of the </w:t>
      </w:r>
      <w:r w:rsidR="000D39F8">
        <w:rPr>
          <w:lang w:val="en-US"/>
        </w:rPr>
        <w:t xml:space="preserve">lower </w:t>
      </w:r>
      <w:r w:rsidR="00BB4C6A" w:rsidRPr="00BB4C6A">
        <w:rPr>
          <w:lang w:val="en-US"/>
        </w:rPr>
        <w:t>volum</w:t>
      </w:r>
      <w:r w:rsidR="000D39F8">
        <w:rPr>
          <w:lang w:val="en-US"/>
        </w:rPr>
        <w:t>es</w:t>
      </w:r>
      <w:r w:rsidR="00BB4C6A" w:rsidRPr="00BB4C6A">
        <w:rPr>
          <w:lang w:val="en-US"/>
        </w:rPr>
        <w:t xml:space="preserve">. </w:t>
      </w:r>
      <w:r w:rsidR="000D39F8">
        <w:rPr>
          <w:lang w:val="en-US"/>
        </w:rPr>
        <w:t>The a</w:t>
      </w:r>
      <w:r w:rsidR="00BB4C6A" w:rsidRPr="00BB4C6A">
        <w:rPr>
          <w:lang w:val="en-US"/>
        </w:rPr>
        <w:t>djusted EBITDA margin fell from 9.7 percent to 5.2 percent.</w:t>
      </w:r>
    </w:p>
    <w:p w14:paraId="270A1BF3" w14:textId="49DEFC7D" w:rsidR="002530DF" w:rsidRPr="000D39F8" w:rsidRDefault="002530DF" w:rsidP="0043547E">
      <w:pPr>
        <w:rPr>
          <w:lang w:val="en-US"/>
        </w:rPr>
      </w:pPr>
    </w:p>
    <w:tbl>
      <w:tblPr>
        <w:tblW w:w="0" w:type="dxa"/>
        <w:tblLayout w:type="fixed"/>
        <w:tblCellMar>
          <w:left w:w="0" w:type="dxa"/>
          <w:right w:w="0" w:type="dxa"/>
        </w:tblCellMar>
        <w:tblLook w:val="0000" w:firstRow="0" w:lastRow="0" w:firstColumn="0" w:lastColumn="0" w:noHBand="0" w:noVBand="0"/>
        <w:tblDescription w:val="SNEID_d01d09a79bef44ffa2bd198055d4873f"/>
      </w:tblPr>
      <w:tblGrid>
        <w:gridCol w:w="6333"/>
        <w:gridCol w:w="119"/>
        <w:gridCol w:w="1021"/>
        <w:gridCol w:w="119"/>
        <w:gridCol w:w="1021"/>
        <w:gridCol w:w="119"/>
        <w:gridCol w:w="1021"/>
      </w:tblGrid>
      <w:tr w:rsidR="00CE654B" w:rsidRPr="00010615" w14:paraId="602810D5" w14:textId="77777777" w:rsidTr="00286A1E">
        <w:tc>
          <w:tcPr>
            <w:tcW w:w="9753" w:type="dxa"/>
            <w:gridSpan w:val="7"/>
            <w:vAlign w:val="bottom"/>
          </w:tcPr>
          <w:p w14:paraId="007D40B5" w14:textId="77777777" w:rsidR="00CE654B" w:rsidRDefault="00CE654B" w:rsidP="00286A1E">
            <w:pPr>
              <w:pStyle w:val="TTitleText"/>
            </w:pPr>
            <w:bookmarkStart w:id="0" w:name="SNEID_d01d09a79bef44ffa2bd198055d4873f"/>
            <w:r>
              <w:lastRenderedPageBreak/>
              <w:t>Excerpt from the income statement</w:t>
            </w:r>
          </w:p>
        </w:tc>
      </w:tr>
      <w:tr w:rsidR="00CE654B" w:rsidRPr="00010615" w14:paraId="20924872" w14:textId="77777777" w:rsidTr="00286A1E">
        <w:tc>
          <w:tcPr>
            <w:tcW w:w="6333" w:type="dxa"/>
            <w:tcBorders>
              <w:top w:val="single" w:sz="8" w:space="0" w:color="000000"/>
            </w:tcBorders>
            <w:vAlign w:val="bottom"/>
          </w:tcPr>
          <w:p w14:paraId="7C1A943E" w14:textId="77777777" w:rsidR="00CE654B" w:rsidRDefault="00CE654B" w:rsidP="00286A1E">
            <w:pPr>
              <w:pStyle w:val="TDummy"/>
              <w:keepNext/>
            </w:pPr>
          </w:p>
        </w:tc>
        <w:tc>
          <w:tcPr>
            <w:tcW w:w="119" w:type="dxa"/>
            <w:tcBorders>
              <w:top w:val="single" w:sz="8" w:space="0" w:color="000000"/>
            </w:tcBorders>
            <w:vAlign w:val="bottom"/>
          </w:tcPr>
          <w:p w14:paraId="22B6042A" w14:textId="77777777" w:rsidR="00CE654B" w:rsidRDefault="00CE654B" w:rsidP="00286A1E">
            <w:pPr>
              <w:pStyle w:val="TDummy"/>
              <w:keepNext/>
            </w:pPr>
          </w:p>
        </w:tc>
        <w:tc>
          <w:tcPr>
            <w:tcW w:w="1021" w:type="dxa"/>
            <w:tcBorders>
              <w:top w:val="single" w:sz="8" w:space="0" w:color="000000"/>
            </w:tcBorders>
            <w:vAlign w:val="bottom"/>
          </w:tcPr>
          <w:p w14:paraId="3BCA79A1" w14:textId="77777777" w:rsidR="00CE654B" w:rsidRDefault="00CE654B" w:rsidP="00286A1E">
            <w:pPr>
              <w:pStyle w:val="TDummy"/>
              <w:keepNext/>
            </w:pPr>
          </w:p>
        </w:tc>
        <w:tc>
          <w:tcPr>
            <w:tcW w:w="119" w:type="dxa"/>
            <w:tcBorders>
              <w:top w:val="single" w:sz="8" w:space="0" w:color="000000"/>
            </w:tcBorders>
            <w:vAlign w:val="bottom"/>
          </w:tcPr>
          <w:p w14:paraId="61A8DC12" w14:textId="77777777" w:rsidR="00CE654B" w:rsidRDefault="00CE654B" w:rsidP="00286A1E">
            <w:pPr>
              <w:pStyle w:val="TDummy"/>
              <w:keepNext/>
            </w:pPr>
          </w:p>
        </w:tc>
        <w:tc>
          <w:tcPr>
            <w:tcW w:w="1021" w:type="dxa"/>
            <w:tcBorders>
              <w:top w:val="single" w:sz="8" w:space="0" w:color="000000"/>
            </w:tcBorders>
            <w:vAlign w:val="bottom"/>
          </w:tcPr>
          <w:p w14:paraId="260F7C6D" w14:textId="77777777" w:rsidR="00CE654B" w:rsidRDefault="00CE654B" w:rsidP="00286A1E">
            <w:pPr>
              <w:pStyle w:val="TDummy"/>
              <w:keepNext/>
            </w:pPr>
          </w:p>
        </w:tc>
        <w:tc>
          <w:tcPr>
            <w:tcW w:w="119" w:type="dxa"/>
            <w:tcBorders>
              <w:top w:val="single" w:sz="8" w:space="0" w:color="000000"/>
            </w:tcBorders>
            <w:vAlign w:val="bottom"/>
          </w:tcPr>
          <w:p w14:paraId="3B252BED" w14:textId="77777777" w:rsidR="00CE654B" w:rsidRDefault="00CE654B" w:rsidP="00286A1E">
            <w:pPr>
              <w:pStyle w:val="TDummy"/>
              <w:keepNext/>
            </w:pPr>
          </w:p>
        </w:tc>
        <w:tc>
          <w:tcPr>
            <w:tcW w:w="1021" w:type="dxa"/>
            <w:tcBorders>
              <w:top w:val="single" w:sz="8" w:space="0" w:color="000000"/>
            </w:tcBorders>
            <w:vAlign w:val="bottom"/>
          </w:tcPr>
          <w:p w14:paraId="1C130422" w14:textId="77777777" w:rsidR="00CE654B" w:rsidRDefault="00CE654B" w:rsidP="00286A1E">
            <w:pPr>
              <w:pStyle w:val="TDummy"/>
              <w:keepNext/>
            </w:pPr>
          </w:p>
        </w:tc>
      </w:tr>
      <w:tr w:rsidR="00CE654B" w14:paraId="4E297636" w14:textId="77777777" w:rsidTr="00286A1E">
        <w:tc>
          <w:tcPr>
            <w:tcW w:w="6333" w:type="dxa"/>
            <w:shd w:val="clear" w:color="000000" w:fill="FFFFFF"/>
            <w:vAlign w:val="bottom"/>
          </w:tcPr>
          <w:p w14:paraId="26F20AD1" w14:textId="77777777" w:rsidR="00CE654B" w:rsidRPr="00610531" w:rsidRDefault="00CE654B" w:rsidP="00286A1E">
            <w:pPr>
              <w:pStyle w:val="THeadfirstNumber"/>
              <w:rPr>
                <w:lang w:val="en-US"/>
              </w:rPr>
            </w:pPr>
          </w:p>
        </w:tc>
        <w:tc>
          <w:tcPr>
            <w:tcW w:w="119" w:type="dxa"/>
            <w:vAlign w:val="bottom"/>
          </w:tcPr>
          <w:p w14:paraId="2E95BFC1" w14:textId="77777777" w:rsidR="00CE654B" w:rsidRPr="00610531" w:rsidRDefault="00CE654B" w:rsidP="00286A1E">
            <w:pPr>
              <w:pStyle w:val="THeadfirstNumber"/>
              <w:rPr>
                <w:lang w:val="en-US"/>
              </w:rPr>
            </w:pPr>
          </w:p>
        </w:tc>
        <w:tc>
          <w:tcPr>
            <w:tcW w:w="3301" w:type="dxa"/>
            <w:gridSpan w:val="5"/>
            <w:tcBorders>
              <w:bottom w:val="single" w:sz="4" w:space="0" w:color="A59C94"/>
            </w:tcBorders>
            <w:shd w:val="clear" w:color="000000" w:fill="FFFFFF"/>
            <w:vAlign w:val="bottom"/>
          </w:tcPr>
          <w:p w14:paraId="41EA220F" w14:textId="77777777" w:rsidR="00CE654B" w:rsidRDefault="00CE654B" w:rsidP="00286A1E">
            <w:pPr>
              <w:pStyle w:val="THeadfirstNumber"/>
            </w:pPr>
            <w:r>
              <w:t xml:space="preserve">1st </w:t>
            </w:r>
            <w:proofErr w:type="spellStart"/>
            <w:r>
              <w:t>quarter</w:t>
            </w:r>
            <w:proofErr w:type="spellEnd"/>
          </w:p>
        </w:tc>
      </w:tr>
      <w:tr w:rsidR="00CE654B" w14:paraId="5043B814" w14:textId="77777777" w:rsidTr="00286A1E">
        <w:tc>
          <w:tcPr>
            <w:tcW w:w="6333" w:type="dxa"/>
            <w:tcBorders>
              <w:bottom w:val="single" w:sz="4" w:space="0" w:color="000000"/>
            </w:tcBorders>
            <w:shd w:val="clear" w:color="000000" w:fill="FFFFFF"/>
            <w:vAlign w:val="bottom"/>
          </w:tcPr>
          <w:p w14:paraId="27A8CA83" w14:textId="77777777" w:rsidR="00CE654B" w:rsidRDefault="00CE654B" w:rsidP="00286A1E">
            <w:pPr>
              <w:pStyle w:val="THeadlastText"/>
            </w:pPr>
            <w:r>
              <w:t xml:space="preserve">in € </w:t>
            </w:r>
            <w:proofErr w:type="spellStart"/>
            <w:r>
              <w:t>million</w:t>
            </w:r>
            <w:proofErr w:type="spellEnd"/>
          </w:p>
        </w:tc>
        <w:tc>
          <w:tcPr>
            <w:tcW w:w="119" w:type="dxa"/>
            <w:vAlign w:val="bottom"/>
          </w:tcPr>
          <w:p w14:paraId="116DD5B7" w14:textId="77777777" w:rsidR="00CE654B" w:rsidRDefault="00CE654B" w:rsidP="00286A1E">
            <w:pPr>
              <w:pStyle w:val="THeadlastNumber"/>
            </w:pPr>
          </w:p>
        </w:tc>
        <w:tc>
          <w:tcPr>
            <w:tcW w:w="1021" w:type="dxa"/>
            <w:tcBorders>
              <w:top w:val="single" w:sz="4" w:space="0" w:color="A59C94"/>
              <w:bottom w:val="single" w:sz="4" w:space="0" w:color="000000"/>
            </w:tcBorders>
            <w:shd w:val="clear" w:color="000000" w:fill="FFFFFF"/>
            <w:vAlign w:val="bottom"/>
          </w:tcPr>
          <w:p w14:paraId="3DAC83F4" w14:textId="77777777" w:rsidR="00CE654B" w:rsidRDefault="00CE654B" w:rsidP="00286A1E">
            <w:pPr>
              <w:pStyle w:val="THeadlastNumber"/>
            </w:pPr>
            <w:r>
              <w:t>2022</w:t>
            </w:r>
          </w:p>
        </w:tc>
        <w:tc>
          <w:tcPr>
            <w:tcW w:w="119" w:type="dxa"/>
            <w:vAlign w:val="bottom"/>
          </w:tcPr>
          <w:p w14:paraId="1E4F0381" w14:textId="77777777" w:rsidR="00CE654B" w:rsidRDefault="00CE654B" w:rsidP="00286A1E">
            <w:pPr>
              <w:pStyle w:val="THeadlastNumber"/>
            </w:pPr>
          </w:p>
        </w:tc>
        <w:tc>
          <w:tcPr>
            <w:tcW w:w="1021" w:type="dxa"/>
            <w:tcBorders>
              <w:top w:val="single" w:sz="4" w:space="0" w:color="A59C94"/>
              <w:bottom w:val="single" w:sz="4" w:space="0" w:color="000000"/>
            </w:tcBorders>
            <w:shd w:val="clear" w:color="000000" w:fill="FFFFFF"/>
            <w:vAlign w:val="bottom"/>
          </w:tcPr>
          <w:p w14:paraId="584639DD" w14:textId="77777777" w:rsidR="00CE654B" w:rsidRDefault="00CE654B" w:rsidP="00286A1E">
            <w:pPr>
              <w:pStyle w:val="THeadlastNumberbold"/>
            </w:pPr>
            <w:r>
              <w:t>2023</w:t>
            </w:r>
          </w:p>
        </w:tc>
        <w:tc>
          <w:tcPr>
            <w:tcW w:w="119" w:type="dxa"/>
            <w:vAlign w:val="bottom"/>
          </w:tcPr>
          <w:p w14:paraId="1926B080" w14:textId="77777777" w:rsidR="00CE654B" w:rsidRDefault="00CE654B" w:rsidP="00286A1E">
            <w:pPr>
              <w:pStyle w:val="THeadlastNumber"/>
            </w:pPr>
          </w:p>
        </w:tc>
        <w:tc>
          <w:tcPr>
            <w:tcW w:w="1021" w:type="dxa"/>
            <w:tcBorders>
              <w:top w:val="single" w:sz="4" w:space="0" w:color="A59C94"/>
              <w:bottom w:val="single" w:sz="4" w:space="0" w:color="000000"/>
            </w:tcBorders>
            <w:shd w:val="clear" w:color="000000" w:fill="FFFFFF"/>
            <w:vAlign w:val="bottom"/>
          </w:tcPr>
          <w:p w14:paraId="7C4DD079" w14:textId="77777777" w:rsidR="00CE654B" w:rsidRDefault="00CE654B" w:rsidP="00286A1E">
            <w:pPr>
              <w:pStyle w:val="THeaddifferenceNumber"/>
              <w:keepNext/>
            </w:pPr>
            <w:r>
              <w:t>Change in %</w:t>
            </w:r>
          </w:p>
        </w:tc>
      </w:tr>
      <w:tr w:rsidR="00CE654B" w14:paraId="08FBAC16" w14:textId="77777777" w:rsidTr="00286A1E">
        <w:tc>
          <w:tcPr>
            <w:tcW w:w="6333" w:type="dxa"/>
            <w:tcBorders>
              <w:top w:val="single" w:sz="4" w:space="0" w:color="000000"/>
              <w:bottom w:val="single" w:sz="4" w:space="0" w:color="A59C94"/>
            </w:tcBorders>
            <w:vAlign w:val="bottom"/>
          </w:tcPr>
          <w:p w14:paraId="50F9B680" w14:textId="77777777" w:rsidR="00CE654B" w:rsidRDefault="00CE654B" w:rsidP="00286A1E">
            <w:pPr>
              <w:pStyle w:val="TBodysubtotalText"/>
              <w:keepNext/>
            </w:pPr>
            <w:r>
              <w:t>Sales</w:t>
            </w:r>
          </w:p>
        </w:tc>
        <w:tc>
          <w:tcPr>
            <w:tcW w:w="119" w:type="dxa"/>
            <w:vAlign w:val="bottom"/>
          </w:tcPr>
          <w:p w14:paraId="16DB212C" w14:textId="77777777" w:rsidR="00CE654B" w:rsidRDefault="00CE654B" w:rsidP="00286A1E">
            <w:pPr>
              <w:pStyle w:val="TBodysubtotalNumber"/>
              <w:keepNext/>
            </w:pPr>
          </w:p>
        </w:tc>
        <w:tc>
          <w:tcPr>
            <w:tcW w:w="1021" w:type="dxa"/>
            <w:tcBorders>
              <w:top w:val="single" w:sz="4" w:space="0" w:color="000000"/>
              <w:bottom w:val="single" w:sz="4" w:space="0" w:color="A59C94"/>
            </w:tcBorders>
            <w:vAlign w:val="bottom"/>
          </w:tcPr>
          <w:p w14:paraId="6F945233" w14:textId="77777777" w:rsidR="00CE654B" w:rsidRDefault="00CE654B" w:rsidP="00286A1E">
            <w:pPr>
              <w:pStyle w:val="TBodysubtotalNumber"/>
              <w:keepNext/>
            </w:pPr>
            <w:r>
              <w:t>4,498</w:t>
            </w:r>
          </w:p>
        </w:tc>
        <w:tc>
          <w:tcPr>
            <w:tcW w:w="119" w:type="dxa"/>
            <w:vAlign w:val="bottom"/>
          </w:tcPr>
          <w:p w14:paraId="282257BA" w14:textId="77777777" w:rsidR="00CE654B" w:rsidRDefault="00CE654B" w:rsidP="00286A1E">
            <w:pPr>
              <w:pStyle w:val="TBodysubtotalNumber"/>
              <w:keepNext/>
            </w:pPr>
          </w:p>
        </w:tc>
        <w:tc>
          <w:tcPr>
            <w:tcW w:w="1021" w:type="dxa"/>
            <w:tcBorders>
              <w:top w:val="single" w:sz="4" w:space="0" w:color="000000"/>
              <w:bottom w:val="single" w:sz="4" w:space="0" w:color="A59C94"/>
            </w:tcBorders>
            <w:shd w:val="clear" w:color="000000" w:fill="DAD5C9"/>
            <w:vAlign w:val="bottom"/>
          </w:tcPr>
          <w:p w14:paraId="488C554F" w14:textId="77777777" w:rsidR="00CE654B" w:rsidRDefault="00CE654B" w:rsidP="00286A1E">
            <w:pPr>
              <w:pStyle w:val="TBodysubtotalNumber"/>
              <w:keepNext/>
            </w:pPr>
            <w:r>
              <w:t>4,005</w:t>
            </w:r>
          </w:p>
        </w:tc>
        <w:tc>
          <w:tcPr>
            <w:tcW w:w="119" w:type="dxa"/>
            <w:vAlign w:val="bottom"/>
          </w:tcPr>
          <w:p w14:paraId="4AB19044" w14:textId="77777777" w:rsidR="00CE654B" w:rsidRDefault="00CE654B" w:rsidP="00286A1E">
            <w:pPr>
              <w:pStyle w:val="TBodysubtotalNumber"/>
              <w:keepNext/>
            </w:pPr>
          </w:p>
        </w:tc>
        <w:tc>
          <w:tcPr>
            <w:tcW w:w="1021" w:type="dxa"/>
            <w:tcBorders>
              <w:top w:val="single" w:sz="4" w:space="0" w:color="000000"/>
              <w:bottom w:val="single" w:sz="4" w:space="0" w:color="A59C94"/>
            </w:tcBorders>
            <w:vAlign w:val="bottom"/>
          </w:tcPr>
          <w:p w14:paraId="18F84F02" w14:textId="77777777" w:rsidR="00CE654B" w:rsidRDefault="00CE654B" w:rsidP="00286A1E">
            <w:pPr>
              <w:pStyle w:val="TBodysubtotalNumber"/>
              <w:keepNext/>
            </w:pPr>
            <w:r>
              <w:t>-11</w:t>
            </w:r>
          </w:p>
        </w:tc>
      </w:tr>
      <w:tr w:rsidR="00CE654B" w14:paraId="76A93F94" w14:textId="77777777" w:rsidTr="00286A1E">
        <w:tc>
          <w:tcPr>
            <w:tcW w:w="6333" w:type="dxa"/>
            <w:tcBorders>
              <w:top w:val="single" w:sz="4" w:space="0" w:color="A59C94"/>
              <w:bottom w:val="single" w:sz="4" w:space="0" w:color="A59C94"/>
            </w:tcBorders>
            <w:vAlign w:val="bottom"/>
          </w:tcPr>
          <w:p w14:paraId="3A058FD9" w14:textId="77777777" w:rsidR="00CE654B" w:rsidRDefault="00CE654B" w:rsidP="00286A1E">
            <w:pPr>
              <w:pStyle w:val="TBodysubtotalText"/>
              <w:keepNext/>
            </w:pPr>
            <w:proofErr w:type="spellStart"/>
            <w:r>
              <w:t>Adjusted</w:t>
            </w:r>
            <w:proofErr w:type="spellEnd"/>
            <w:r>
              <w:t xml:space="preserve"> EBITDA</w:t>
            </w:r>
          </w:p>
        </w:tc>
        <w:tc>
          <w:tcPr>
            <w:tcW w:w="119" w:type="dxa"/>
            <w:vAlign w:val="bottom"/>
          </w:tcPr>
          <w:p w14:paraId="026C5918" w14:textId="77777777" w:rsidR="00CE654B" w:rsidRDefault="00CE654B" w:rsidP="00286A1E">
            <w:pPr>
              <w:pStyle w:val="TBodysubtotalNumber"/>
              <w:keepNext/>
            </w:pPr>
          </w:p>
        </w:tc>
        <w:tc>
          <w:tcPr>
            <w:tcW w:w="1021" w:type="dxa"/>
            <w:tcBorders>
              <w:top w:val="single" w:sz="4" w:space="0" w:color="A59C94"/>
              <w:bottom w:val="single" w:sz="4" w:space="0" w:color="A59C94"/>
            </w:tcBorders>
            <w:vAlign w:val="bottom"/>
          </w:tcPr>
          <w:p w14:paraId="11A2985B" w14:textId="77777777" w:rsidR="00CE654B" w:rsidRDefault="00CE654B" w:rsidP="00286A1E">
            <w:pPr>
              <w:pStyle w:val="TBodysubtotalNumber"/>
              <w:keepNext/>
            </w:pPr>
            <w:r>
              <w:t>735</w:t>
            </w:r>
          </w:p>
        </w:tc>
        <w:tc>
          <w:tcPr>
            <w:tcW w:w="119" w:type="dxa"/>
            <w:vAlign w:val="bottom"/>
          </w:tcPr>
          <w:p w14:paraId="25BB9C1A" w14:textId="77777777" w:rsidR="00CE654B" w:rsidRDefault="00CE654B" w:rsidP="00286A1E">
            <w:pPr>
              <w:pStyle w:val="TBodysubtotalNumber"/>
              <w:keepNext/>
            </w:pPr>
          </w:p>
        </w:tc>
        <w:tc>
          <w:tcPr>
            <w:tcW w:w="1021" w:type="dxa"/>
            <w:tcBorders>
              <w:top w:val="single" w:sz="4" w:space="0" w:color="A59C94"/>
              <w:bottom w:val="single" w:sz="4" w:space="0" w:color="A59C94"/>
            </w:tcBorders>
            <w:shd w:val="clear" w:color="000000" w:fill="DAD5C9"/>
            <w:vAlign w:val="bottom"/>
          </w:tcPr>
          <w:p w14:paraId="29604F0A" w14:textId="77777777" w:rsidR="00CE654B" w:rsidRDefault="00CE654B" w:rsidP="00286A1E">
            <w:pPr>
              <w:pStyle w:val="TBodysubtotalNumber"/>
              <w:keepNext/>
            </w:pPr>
            <w:r>
              <w:t>409</w:t>
            </w:r>
          </w:p>
        </w:tc>
        <w:tc>
          <w:tcPr>
            <w:tcW w:w="119" w:type="dxa"/>
            <w:vAlign w:val="bottom"/>
          </w:tcPr>
          <w:p w14:paraId="6EC4F1F2" w14:textId="77777777" w:rsidR="00CE654B" w:rsidRDefault="00CE654B" w:rsidP="00286A1E">
            <w:pPr>
              <w:pStyle w:val="TBodysubtotalNumber"/>
              <w:keepNext/>
            </w:pPr>
          </w:p>
        </w:tc>
        <w:tc>
          <w:tcPr>
            <w:tcW w:w="1021" w:type="dxa"/>
            <w:tcBorders>
              <w:top w:val="single" w:sz="4" w:space="0" w:color="A59C94"/>
              <w:bottom w:val="single" w:sz="4" w:space="0" w:color="A59C94"/>
            </w:tcBorders>
            <w:vAlign w:val="bottom"/>
          </w:tcPr>
          <w:p w14:paraId="1482BD6A" w14:textId="77777777" w:rsidR="00CE654B" w:rsidRDefault="00CE654B" w:rsidP="00286A1E">
            <w:pPr>
              <w:pStyle w:val="TBodysubtotalNumber"/>
              <w:keepNext/>
            </w:pPr>
            <w:r>
              <w:t>-44</w:t>
            </w:r>
          </w:p>
        </w:tc>
      </w:tr>
      <w:tr w:rsidR="00CE654B" w14:paraId="7E4CAF99" w14:textId="77777777" w:rsidTr="00286A1E">
        <w:tc>
          <w:tcPr>
            <w:tcW w:w="6333" w:type="dxa"/>
            <w:tcBorders>
              <w:top w:val="single" w:sz="4" w:space="0" w:color="A59C94"/>
              <w:bottom w:val="single" w:sz="4" w:space="0" w:color="A59C94"/>
            </w:tcBorders>
            <w:vAlign w:val="bottom"/>
          </w:tcPr>
          <w:p w14:paraId="55F91A2F" w14:textId="77777777" w:rsidR="00CE654B" w:rsidRDefault="00CE654B" w:rsidP="00286A1E">
            <w:pPr>
              <w:pStyle w:val="TBodysubtotalText"/>
              <w:keepNext/>
            </w:pPr>
            <w:proofErr w:type="spellStart"/>
            <w:r>
              <w:t>Adjusted</w:t>
            </w:r>
            <w:proofErr w:type="spellEnd"/>
            <w:r>
              <w:t xml:space="preserve"> EBIT</w:t>
            </w:r>
          </w:p>
        </w:tc>
        <w:tc>
          <w:tcPr>
            <w:tcW w:w="119" w:type="dxa"/>
            <w:vAlign w:val="bottom"/>
          </w:tcPr>
          <w:p w14:paraId="506E5C02" w14:textId="77777777" w:rsidR="00CE654B" w:rsidRDefault="00CE654B" w:rsidP="00286A1E">
            <w:pPr>
              <w:pStyle w:val="TBodysubtotalNumber"/>
              <w:keepNext/>
            </w:pPr>
          </w:p>
        </w:tc>
        <w:tc>
          <w:tcPr>
            <w:tcW w:w="1021" w:type="dxa"/>
            <w:tcBorders>
              <w:top w:val="single" w:sz="4" w:space="0" w:color="A59C94"/>
              <w:bottom w:val="single" w:sz="4" w:space="0" w:color="A59C94"/>
            </w:tcBorders>
            <w:vAlign w:val="bottom"/>
          </w:tcPr>
          <w:p w14:paraId="34CC97E3" w14:textId="77777777" w:rsidR="00CE654B" w:rsidRDefault="00CE654B" w:rsidP="00286A1E">
            <w:pPr>
              <w:pStyle w:val="TBodysubtotalNumber"/>
              <w:keepNext/>
            </w:pPr>
            <w:r>
              <w:t>472</w:t>
            </w:r>
          </w:p>
        </w:tc>
        <w:tc>
          <w:tcPr>
            <w:tcW w:w="119" w:type="dxa"/>
            <w:vAlign w:val="bottom"/>
          </w:tcPr>
          <w:p w14:paraId="27EBAD2B" w14:textId="77777777" w:rsidR="00CE654B" w:rsidRDefault="00CE654B" w:rsidP="00286A1E">
            <w:pPr>
              <w:pStyle w:val="TBodysubtotalNumber"/>
              <w:keepNext/>
            </w:pPr>
          </w:p>
        </w:tc>
        <w:tc>
          <w:tcPr>
            <w:tcW w:w="1021" w:type="dxa"/>
            <w:tcBorders>
              <w:top w:val="single" w:sz="4" w:space="0" w:color="A59C94"/>
              <w:bottom w:val="single" w:sz="4" w:space="0" w:color="A59C94"/>
            </w:tcBorders>
            <w:shd w:val="clear" w:color="000000" w:fill="DAD5C9"/>
            <w:vAlign w:val="bottom"/>
          </w:tcPr>
          <w:p w14:paraId="175F0BF6" w14:textId="77777777" w:rsidR="00CE654B" w:rsidRDefault="00CE654B" w:rsidP="00286A1E">
            <w:pPr>
              <w:pStyle w:val="TBodysubtotalNumber"/>
              <w:keepNext/>
            </w:pPr>
            <w:r>
              <w:t>130</w:t>
            </w:r>
          </w:p>
        </w:tc>
        <w:tc>
          <w:tcPr>
            <w:tcW w:w="119" w:type="dxa"/>
            <w:vAlign w:val="bottom"/>
          </w:tcPr>
          <w:p w14:paraId="345A9ED4" w14:textId="77777777" w:rsidR="00CE654B" w:rsidRDefault="00CE654B" w:rsidP="00286A1E">
            <w:pPr>
              <w:pStyle w:val="TBodysubtotalNumber"/>
              <w:keepNext/>
            </w:pPr>
          </w:p>
        </w:tc>
        <w:tc>
          <w:tcPr>
            <w:tcW w:w="1021" w:type="dxa"/>
            <w:tcBorders>
              <w:top w:val="single" w:sz="4" w:space="0" w:color="A59C94"/>
              <w:bottom w:val="single" w:sz="4" w:space="0" w:color="A59C94"/>
            </w:tcBorders>
            <w:vAlign w:val="bottom"/>
          </w:tcPr>
          <w:p w14:paraId="138C0947" w14:textId="77777777" w:rsidR="00CE654B" w:rsidRDefault="00CE654B" w:rsidP="00286A1E">
            <w:pPr>
              <w:pStyle w:val="TBodysubtotalNumber"/>
              <w:keepNext/>
            </w:pPr>
            <w:r>
              <w:t>-72</w:t>
            </w:r>
          </w:p>
        </w:tc>
      </w:tr>
      <w:tr w:rsidR="00CE654B" w14:paraId="3CAFDBCF" w14:textId="77777777" w:rsidTr="00286A1E">
        <w:tc>
          <w:tcPr>
            <w:tcW w:w="6333" w:type="dxa"/>
            <w:tcBorders>
              <w:top w:val="single" w:sz="4" w:space="0" w:color="A59C94"/>
              <w:bottom w:val="single" w:sz="4" w:space="0" w:color="A59C94"/>
            </w:tcBorders>
            <w:vAlign w:val="bottom"/>
          </w:tcPr>
          <w:p w14:paraId="5EF9735F" w14:textId="77777777" w:rsidR="00CE654B" w:rsidRDefault="00CE654B" w:rsidP="00286A1E">
            <w:pPr>
              <w:pStyle w:val="TBodynormalText"/>
            </w:pPr>
            <w:r>
              <w:t>Adjustments</w:t>
            </w:r>
          </w:p>
        </w:tc>
        <w:tc>
          <w:tcPr>
            <w:tcW w:w="119" w:type="dxa"/>
            <w:vAlign w:val="bottom"/>
          </w:tcPr>
          <w:p w14:paraId="22CBE7D8" w14:textId="77777777" w:rsidR="00CE654B" w:rsidRDefault="00CE654B" w:rsidP="00286A1E">
            <w:pPr>
              <w:pStyle w:val="TBodynormalNumber"/>
              <w:keepNext/>
            </w:pPr>
          </w:p>
        </w:tc>
        <w:tc>
          <w:tcPr>
            <w:tcW w:w="1021" w:type="dxa"/>
            <w:tcBorders>
              <w:top w:val="single" w:sz="4" w:space="0" w:color="A59C94"/>
              <w:bottom w:val="single" w:sz="4" w:space="0" w:color="A59C94"/>
            </w:tcBorders>
            <w:vAlign w:val="bottom"/>
          </w:tcPr>
          <w:p w14:paraId="038A0544" w14:textId="77777777" w:rsidR="00CE654B" w:rsidRDefault="00CE654B" w:rsidP="00286A1E">
            <w:pPr>
              <w:pStyle w:val="TBodynormalNumber"/>
              <w:keepNext/>
            </w:pPr>
            <w:r>
              <w:t>-16</w:t>
            </w:r>
          </w:p>
        </w:tc>
        <w:tc>
          <w:tcPr>
            <w:tcW w:w="119" w:type="dxa"/>
            <w:vAlign w:val="bottom"/>
          </w:tcPr>
          <w:p w14:paraId="60F8B33B" w14:textId="77777777" w:rsidR="00CE654B" w:rsidRDefault="00CE654B" w:rsidP="00286A1E">
            <w:pPr>
              <w:pStyle w:val="TBodynormalNumber"/>
              <w:keepNext/>
            </w:pPr>
          </w:p>
        </w:tc>
        <w:tc>
          <w:tcPr>
            <w:tcW w:w="1021" w:type="dxa"/>
            <w:tcBorders>
              <w:top w:val="single" w:sz="4" w:space="0" w:color="A59C94"/>
              <w:bottom w:val="single" w:sz="4" w:space="0" w:color="A59C94"/>
            </w:tcBorders>
            <w:shd w:val="clear" w:color="000000" w:fill="DAD5C9"/>
            <w:vAlign w:val="bottom"/>
          </w:tcPr>
          <w:p w14:paraId="4000BABF" w14:textId="77777777" w:rsidR="00CE654B" w:rsidRDefault="00CE654B" w:rsidP="00286A1E">
            <w:pPr>
              <w:pStyle w:val="TBodynormalNumber"/>
              <w:keepNext/>
            </w:pPr>
            <w:r>
              <w:t>-47</w:t>
            </w:r>
          </w:p>
        </w:tc>
        <w:tc>
          <w:tcPr>
            <w:tcW w:w="119" w:type="dxa"/>
            <w:vAlign w:val="bottom"/>
          </w:tcPr>
          <w:p w14:paraId="770902D5" w14:textId="77777777" w:rsidR="00CE654B" w:rsidRDefault="00CE654B" w:rsidP="00286A1E">
            <w:pPr>
              <w:pStyle w:val="TBodynormalNumber"/>
              <w:keepNext/>
            </w:pPr>
          </w:p>
        </w:tc>
        <w:tc>
          <w:tcPr>
            <w:tcW w:w="1021" w:type="dxa"/>
            <w:tcBorders>
              <w:top w:val="single" w:sz="4" w:space="0" w:color="A59C94"/>
              <w:bottom w:val="single" w:sz="4" w:space="0" w:color="A59C94"/>
            </w:tcBorders>
            <w:vAlign w:val="bottom"/>
          </w:tcPr>
          <w:p w14:paraId="2FBE903A" w14:textId="77777777" w:rsidR="00CE654B" w:rsidRDefault="00CE654B" w:rsidP="00286A1E">
            <w:pPr>
              <w:pStyle w:val="TBodynormalNumber"/>
              <w:keepNext/>
            </w:pPr>
          </w:p>
        </w:tc>
      </w:tr>
      <w:tr w:rsidR="00CE654B" w14:paraId="6FB3CE88" w14:textId="77777777" w:rsidTr="00286A1E">
        <w:tc>
          <w:tcPr>
            <w:tcW w:w="6333" w:type="dxa"/>
            <w:tcBorders>
              <w:top w:val="single" w:sz="4" w:space="0" w:color="A59C94"/>
              <w:bottom w:val="single" w:sz="4" w:space="0" w:color="A59C94"/>
            </w:tcBorders>
            <w:vAlign w:val="bottom"/>
          </w:tcPr>
          <w:p w14:paraId="41906CC4" w14:textId="77777777" w:rsidR="00CE654B" w:rsidRDefault="00CE654B" w:rsidP="00286A1E">
            <w:pPr>
              <w:pStyle w:val="TBodynormalText"/>
            </w:pPr>
            <w:r>
              <w:t xml:space="preserve">Financial </w:t>
            </w:r>
            <w:proofErr w:type="spellStart"/>
            <w:r>
              <w:t>result</w:t>
            </w:r>
            <w:proofErr w:type="spellEnd"/>
          </w:p>
        </w:tc>
        <w:tc>
          <w:tcPr>
            <w:tcW w:w="119" w:type="dxa"/>
            <w:vAlign w:val="bottom"/>
          </w:tcPr>
          <w:p w14:paraId="5CA96980" w14:textId="77777777" w:rsidR="00CE654B" w:rsidRDefault="00CE654B" w:rsidP="00286A1E">
            <w:pPr>
              <w:pStyle w:val="TBodynormalNumber"/>
              <w:keepNext/>
            </w:pPr>
          </w:p>
        </w:tc>
        <w:tc>
          <w:tcPr>
            <w:tcW w:w="1021" w:type="dxa"/>
            <w:tcBorders>
              <w:top w:val="single" w:sz="4" w:space="0" w:color="A59C94"/>
              <w:bottom w:val="single" w:sz="4" w:space="0" w:color="A59C94"/>
            </w:tcBorders>
            <w:vAlign w:val="bottom"/>
          </w:tcPr>
          <w:p w14:paraId="6A414C95" w14:textId="77777777" w:rsidR="00CE654B" w:rsidRDefault="00CE654B" w:rsidP="00286A1E">
            <w:pPr>
              <w:pStyle w:val="TBodynormalNumber"/>
              <w:keepNext/>
            </w:pPr>
            <w:r>
              <w:t>-12</w:t>
            </w:r>
          </w:p>
        </w:tc>
        <w:tc>
          <w:tcPr>
            <w:tcW w:w="119" w:type="dxa"/>
            <w:vAlign w:val="bottom"/>
          </w:tcPr>
          <w:p w14:paraId="6623DE59" w14:textId="77777777" w:rsidR="00CE654B" w:rsidRDefault="00CE654B" w:rsidP="00286A1E">
            <w:pPr>
              <w:pStyle w:val="TBodynormalNumber"/>
              <w:keepNext/>
            </w:pPr>
          </w:p>
        </w:tc>
        <w:tc>
          <w:tcPr>
            <w:tcW w:w="1021" w:type="dxa"/>
            <w:tcBorders>
              <w:top w:val="single" w:sz="4" w:space="0" w:color="A59C94"/>
              <w:bottom w:val="single" w:sz="4" w:space="0" w:color="A59C94"/>
            </w:tcBorders>
            <w:shd w:val="clear" w:color="000000" w:fill="DAD5C9"/>
            <w:vAlign w:val="bottom"/>
          </w:tcPr>
          <w:p w14:paraId="0915DD98" w14:textId="77777777" w:rsidR="00CE654B" w:rsidRDefault="00CE654B" w:rsidP="00286A1E">
            <w:pPr>
              <w:pStyle w:val="TBodynormalNumber"/>
              <w:keepNext/>
            </w:pPr>
            <w:r>
              <w:t>-14</w:t>
            </w:r>
          </w:p>
        </w:tc>
        <w:tc>
          <w:tcPr>
            <w:tcW w:w="119" w:type="dxa"/>
            <w:vAlign w:val="bottom"/>
          </w:tcPr>
          <w:p w14:paraId="26E2BADB" w14:textId="77777777" w:rsidR="00CE654B" w:rsidRDefault="00CE654B" w:rsidP="00286A1E">
            <w:pPr>
              <w:pStyle w:val="TBodynormalNumber"/>
              <w:keepNext/>
            </w:pPr>
          </w:p>
        </w:tc>
        <w:tc>
          <w:tcPr>
            <w:tcW w:w="1021" w:type="dxa"/>
            <w:tcBorders>
              <w:top w:val="single" w:sz="4" w:space="0" w:color="A59C94"/>
              <w:bottom w:val="single" w:sz="4" w:space="0" w:color="A59C94"/>
            </w:tcBorders>
            <w:vAlign w:val="bottom"/>
          </w:tcPr>
          <w:p w14:paraId="63272498" w14:textId="77777777" w:rsidR="00CE654B" w:rsidRDefault="00CE654B" w:rsidP="00286A1E">
            <w:pPr>
              <w:pStyle w:val="TBodynormalNumber"/>
              <w:keepNext/>
            </w:pPr>
          </w:p>
        </w:tc>
      </w:tr>
      <w:tr w:rsidR="00CE654B" w14:paraId="6395FE6D" w14:textId="77777777" w:rsidTr="00286A1E">
        <w:tc>
          <w:tcPr>
            <w:tcW w:w="6333" w:type="dxa"/>
            <w:tcBorders>
              <w:top w:val="single" w:sz="4" w:space="0" w:color="A59C94"/>
              <w:bottom w:val="single" w:sz="4" w:space="0" w:color="000000"/>
            </w:tcBorders>
            <w:vAlign w:val="bottom"/>
          </w:tcPr>
          <w:p w14:paraId="60072626" w14:textId="77777777" w:rsidR="00CE654B" w:rsidRPr="00610531" w:rsidRDefault="00CE654B" w:rsidP="00286A1E">
            <w:pPr>
              <w:pStyle w:val="TBodysubtotalText"/>
              <w:keepNext/>
              <w:rPr>
                <w:lang w:val="en-US"/>
              </w:rPr>
            </w:pPr>
            <w:r w:rsidRPr="00513F30">
              <w:rPr>
                <w:lang w:val="en-US"/>
              </w:rPr>
              <w:t>Income before income taxes, continuing operations</w:t>
            </w:r>
          </w:p>
        </w:tc>
        <w:tc>
          <w:tcPr>
            <w:tcW w:w="119" w:type="dxa"/>
            <w:vAlign w:val="bottom"/>
          </w:tcPr>
          <w:p w14:paraId="0D4F6BA1" w14:textId="77777777" w:rsidR="00CE654B" w:rsidRPr="00610531" w:rsidRDefault="00CE654B" w:rsidP="00286A1E">
            <w:pPr>
              <w:pStyle w:val="TBodysubtotalNumber"/>
              <w:keepNext/>
              <w:rPr>
                <w:lang w:val="en-US"/>
              </w:rPr>
            </w:pPr>
          </w:p>
        </w:tc>
        <w:tc>
          <w:tcPr>
            <w:tcW w:w="1021" w:type="dxa"/>
            <w:tcBorders>
              <w:top w:val="single" w:sz="4" w:space="0" w:color="A59C94"/>
              <w:bottom w:val="single" w:sz="4" w:space="0" w:color="000000"/>
            </w:tcBorders>
            <w:vAlign w:val="bottom"/>
          </w:tcPr>
          <w:p w14:paraId="3AE0C193" w14:textId="77777777" w:rsidR="00CE654B" w:rsidRDefault="00CE654B" w:rsidP="00286A1E">
            <w:pPr>
              <w:pStyle w:val="TBodysubtotalNumber"/>
              <w:keepNext/>
            </w:pPr>
            <w:r>
              <w:t>444</w:t>
            </w:r>
          </w:p>
        </w:tc>
        <w:tc>
          <w:tcPr>
            <w:tcW w:w="119" w:type="dxa"/>
            <w:vAlign w:val="bottom"/>
          </w:tcPr>
          <w:p w14:paraId="5B6F062F" w14:textId="77777777" w:rsidR="00CE654B" w:rsidRDefault="00CE654B" w:rsidP="00286A1E">
            <w:pPr>
              <w:pStyle w:val="TBodysubtotalNumber"/>
              <w:keepNext/>
            </w:pPr>
          </w:p>
        </w:tc>
        <w:tc>
          <w:tcPr>
            <w:tcW w:w="1021" w:type="dxa"/>
            <w:tcBorders>
              <w:top w:val="single" w:sz="4" w:space="0" w:color="A59C94"/>
              <w:bottom w:val="single" w:sz="4" w:space="0" w:color="000000"/>
            </w:tcBorders>
            <w:shd w:val="clear" w:color="000000" w:fill="DAD5C9"/>
            <w:vAlign w:val="bottom"/>
          </w:tcPr>
          <w:p w14:paraId="4D4D147C" w14:textId="77777777" w:rsidR="00CE654B" w:rsidRDefault="00CE654B" w:rsidP="00286A1E">
            <w:pPr>
              <w:pStyle w:val="TBodysubtotalNumber"/>
              <w:keepNext/>
            </w:pPr>
            <w:r>
              <w:t>69</w:t>
            </w:r>
          </w:p>
        </w:tc>
        <w:tc>
          <w:tcPr>
            <w:tcW w:w="119" w:type="dxa"/>
            <w:vAlign w:val="bottom"/>
          </w:tcPr>
          <w:p w14:paraId="2117C9F7" w14:textId="77777777" w:rsidR="00CE654B" w:rsidRDefault="00CE654B" w:rsidP="00286A1E">
            <w:pPr>
              <w:pStyle w:val="TBodysubtotalNumber"/>
              <w:keepNext/>
            </w:pPr>
          </w:p>
        </w:tc>
        <w:tc>
          <w:tcPr>
            <w:tcW w:w="1021" w:type="dxa"/>
            <w:tcBorders>
              <w:top w:val="single" w:sz="4" w:space="0" w:color="A59C94"/>
              <w:bottom w:val="single" w:sz="4" w:space="0" w:color="000000"/>
            </w:tcBorders>
            <w:vAlign w:val="bottom"/>
          </w:tcPr>
          <w:p w14:paraId="28ABD84E" w14:textId="77777777" w:rsidR="00CE654B" w:rsidRDefault="00CE654B" w:rsidP="00286A1E">
            <w:pPr>
              <w:pStyle w:val="TBodysubtotalNumber"/>
              <w:keepNext/>
            </w:pPr>
            <w:r>
              <w:t>-84</w:t>
            </w:r>
          </w:p>
        </w:tc>
      </w:tr>
      <w:tr w:rsidR="00CE654B" w14:paraId="13BB18B5" w14:textId="77777777" w:rsidTr="00286A1E">
        <w:trPr>
          <w:trHeight w:val="340"/>
        </w:trPr>
        <w:tc>
          <w:tcPr>
            <w:tcW w:w="6333" w:type="dxa"/>
            <w:tcBorders>
              <w:top w:val="single" w:sz="4" w:space="0" w:color="000000"/>
              <w:bottom w:val="single" w:sz="4" w:space="0" w:color="A59C94"/>
            </w:tcBorders>
            <w:vAlign w:val="bottom"/>
          </w:tcPr>
          <w:p w14:paraId="0C4E907D" w14:textId="77777777" w:rsidR="00CE654B" w:rsidRDefault="00CE654B" w:rsidP="00286A1E">
            <w:pPr>
              <w:pStyle w:val="TBodynormalText"/>
            </w:pPr>
            <w:r>
              <w:t xml:space="preserve">Income </w:t>
            </w:r>
            <w:proofErr w:type="spellStart"/>
            <w:r>
              <w:t>taxes</w:t>
            </w:r>
            <w:proofErr w:type="spellEnd"/>
          </w:p>
        </w:tc>
        <w:tc>
          <w:tcPr>
            <w:tcW w:w="119" w:type="dxa"/>
            <w:vAlign w:val="bottom"/>
          </w:tcPr>
          <w:p w14:paraId="3D09CCAC" w14:textId="77777777" w:rsidR="00CE654B" w:rsidRDefault="00CE654B" w:rsidP="00286A1E">
            <w:pPr>
              <w:pStyle w:val="TBodynormalNumber"/>
              <w:keepNext/>
            </w:pPr>
          </w:p>
        </w:tc>
        <w:tc>
          <w:tcPr>
            <w:tcW w:w="1021" w:type="dxa"/>
            <w:tcBorders>
              <w:top w:val="single" w:sz="4" w:space="0" w:color="000000"/>
              <w:bottom w:val="single" w:sz="4" w:space="0" w:color="A59C94"/>
            </w:tcBorders>
            <w:vAlign w:val="bottom"/>
          </w:tcPr>
          <w:p w14:paraId="3BFDC457" w14:textId="77777777" w:rsidR="00CE654B" w:rsidRDefault="00CE654B" w:rsidP="00286A1E">
            <w:pPr>
              <w:pStyle w:val="TBodynormalNumber"/>
              <w:keepNext/>
            </w:pPr>
            <w:r>
              <w:t>-126</w:t>
            </w:r>
          </w:p>
        </w:tc>
        <w:tc>
          <w:tcPr>
            <w:tcW w:w="119" w:type="dxa"/>
            <w:vAlign w:val="bottom"/>
          </w:tcPr>
          <w:p w14:paraId="11621FFD" w14:textId="77777777" w:rsidR="00CE654B" w:rsidRDefault="00CE654B" w:rsidP="00286A1E">
            <w:pPr>
              <w:pStyle w:val="TBodynormalNumber"/>
              <w:keepNext/>
            </w:pPr>
          </w:p>
        </w:tc>
        <w:tc>
          <w:tcPr>
            <w:tcW w:w="1021" w:type="dxa"/>
            <w:tcBorders>
              <w:top w:val="single" w:sz="4" w:space="0" w:color="000000"/>
              <w:bottom w:val="single" w:sz="4" w:space="0" w:color="A59C94"/>
            </w:tcBorders>
            <w:shd w:val="clear" w:color="000000" w:fill="DAD5C9"/>
            <w:vAlign w:val="bottom"/>
          </w:tcPr>
          <w:p w14:paraId="7C71F357" w14:textId="77777777" w:rsidR="00CE654B" w:rsidRDefault="00CE654B" w:rsidP="00286A1E">
            <w:pPr>
              <w:pStyle w:val="TBodynormalNumber"/>
              <w:keepNext/>
            </w:pPr>
            <w:r>
              <w:t>-20</w:t>
            </w:r>
          </w:p>
        </w:tc>
        <w:tc>
          <w:tcPr>
            <w:tcW w:w="119" w:type="dxa"/>
            <w:vAlign w:val="bottom"/>
          </w:tcPr>
          <w:p w14:paraId="3A9146EB" w14:textId="77777777" w:rsidR="00CE654B" w:rsidRDefault="00CE654B" w:rsidP="00286A1E">
            <w:pPr>
              <w:pStyle w:val="TBodynormalNumber"/>
              <w:keepNext/>
            </w:pPr>
          </w:p>
        </w:tc>
        <w:tc>
          <w:tcPr>
            <w:tcW w:w="1021" w:type="dxa"/>
            <w:tcBorders>
              <w:top w:val="single" w:sz="4" w:space="0" w:color="000000"/>
              <w:bottom w:val="single" w:sz="4" w:space="0" w:color="A59C94"/>
            </w:tcBorders>
            <w:vAlign w:val="bottom"/>
          </w:tcPr>
          <w:p w14:paraId="725A7804" w14:textId="77777777" w:rsidR="00CE654B" w:rsidRDefault="00CE654B" w:rsidP="00286A1E">
            <w:pPr>
              <w:pStyle w:val="TBodynormalNumber"/>
              <w:keepNext/>
            </w:pPr>
          </w:p>
        </w:tc>
      </w:tr>
      <w:tr w:rsidR="00CE654B" w14:paraId="495B2E40" w14:textId="77777777" w:rsidTr="00286A1E">
        <w:tc>
          <w:tcPr>
            <w:tcW w:w="6333" w:type="dxa"/>
            <w:tcBorders>
              <w:top w:val="single" w:sz="4" w:space="0" w:color="A59C94"/>
              <w:bottom w:val="single" w:sz="4" w:space="0" w:color="000000"/>
            </w:tcBorders>
            <w:vAlign w:val="bottom"/>
          </w:tcPr>
          <w:p w14:paraId="0BAF96EC" w14:textId="77777777" w:rsidR="00CE654B" w:rsidRPr="00610531" w:rsidRDefault="00CE654B" w:rsidP="00286A1E">
            <w:pPr>
              <w:pStyle w:val="TBodysubtotalText"/>
              <w:keepNext/>
              <w:rPr>
                <w:lang w:val="en-US"/>
              </w:rPr>
            </w:pPr>
            <w:r w:rsidRPr="00513F30">
              <w:rPr>
                <w:lang w:val="en-US"/>
              </w:rPr>
              <w:t>Income after income taxes, continuing operations</w:t>
            </w:r>
          </w:p>
        </w:tc>
        <w:tc>
          <w:tcPr>
            <w:tcW w:w="119" w:type="dxa"/>
            <w:vAlign w:val="bottom"/>
          </w:tcPr>
          <w:p w14:paraId="6A3D93EE" w14:textId="77777777" w:rsidR="00CE654B" w:rsidRPr="00610531" w:rsidRDefault="00CE654B" w:rsidP="00286A1E">
            <w:pPr>
              <w:pStyle w:val="TBodysubtotalNumber"/>
              <w:keepNext/>
              <w:rPr>
                <w:lang w:val="en-US"/>
              </w:rPr>
            </w:pPr>
          </w:p>
        </w:tc>
        <w:tc>
          <w:tcPr>
            <w:tcW w:w="1021" w:type="dxa"/>
            <w:tcBorders>
              <w:top w:val="single" w:sz="4" w:space="0" w:color="A59C94"/>
              <w:bottom w:val="single" w:sz="4" w:space="0" w:color="000000"/>
            </w:tcBorders>
            <w:vAlign w:val="bottom"/>
          </w:tcPr>
          <w:p w14:paraId="5760F424" w14:textId="77777777" w:rsidR="00CE654B" w:rsidRDefault="00CE654B" w:rsidP="00286A1E">
            <w:pPr>
              <w:pStyle w:val="TBodysubtotalNumber"/>
              <w:keepNext/>
            </w:pPr>
            <w:r>
              <w:t>318</w:t>
            </w:r>
          </w:p>
        </w:tc>
        <w:tc>
          <w:tcPr>
            <w:tcW w:w="119" w:type="dxa"/>
            <w:vAlign w:val="bottom"/>
          </w:tcPr>
          <w:p w14:paraId="3D82EB62" w14:textId="77777777" w:rsidR="00CE654B" w:rsidRDefault="00CE654B" w:rsidP="00286A1E">
            <w:pPr>
              <w:pStyle w:val="TBodysubtotalNumber"/>
              <w:keepNext/>
            </w:pPr>
          </w:p>
        </w:tc>
        <w:tc>
          <w:tcPr>
            <w:tcW w:w="1021" w:type="dxa"/>
            <w:tcBorders>
              <w:top w:val="single" w:sz="4" w:space="0" w:color="A59C94"/>
              <w:bottom w:val="single" w:sz="4" w:space="0" w:color="000000"/>
            </w:tcBorders>
            <w:shd w:val="clear" w:color="000000" w:fill="DAD5C9"/>
            <w:vAlign w:val="bottom"/>
          </w:tcPr>
          <w:p w14:paraId="628CF46D" w14:textId="77777777" w:rsidR="00CE654B" w:rsidRDefault="00CE654B" w:rsidP="00286A1E">
            <w:pPr>
              <w:pStyle w:val="TBodysubtotalNumber"/>
              <w:keepNext/>
            </w:pPr>
            <w:r>
              <w:t>49</w:t>
            </w:r>
          </w:p>
        </w:tc>
        <w:tc>
          <w:tcPr>
            <w:tcW w:w="119" w:type="dxa"/>
            <w:vAlign w:val="bottom"/>
          </w:tcPr>
          <w:p w14:paraId="5489F408" w14:textId="77777777" w:rsidR="00CE654B" w:rsidRDefault="00CE654B" w:rsidP="00286A1E">
            <w:pPr>
              <w:pStyle w:val="TBodysubtotalNumber"/>
              <w:keepNext/>
            </w:pPr>
          </w:p>
        </w:tc>
        <w:tc>
          <w:tcPr>
            <w:tcW w:w="1021" w:type="dxa"/>
            <w:tcBorders>
              <w:top w:val="single" w:sz="4" w:space="0" w:color="A59C94"/>
              <w:bottom w:val="single" w:sz="4" w:space="0" w:color="000000"/>
            </w:tcBorders>
            <w:vAlign w:val="bottom"/>
          </w:tcPr>
          <w:p w14:paraId="4B63A91A" w14:textId="77777777" w:rsidR="00CE654B" w:rsidRDefault="00CE654B" w:rsidP="00286A1E">
            <w:pPr>
              <w:pStyle w:val="TBodysubtotalNumber"/>
              <w:keepNext/>
            </w:pPr>
            <w:r>
              <w:t>-85</w:t>
            </w:r>
          </w:p>
        </w:tc>
      </w:tr>
      <w:tr w:rsidR="00CE654B" w14:paraId="458202F2" w14:textId="77777777" w:rsidTr="00286A1E">
        <w:trPr>
          <w:trHeight w:val="340"/>
        </w:trPr>
        <w:tc>
          <w:tcPr>
            <w:tcW w:w="6333" w:type="dxa"/>
            <w:tcBorders>
              <w:top w:val="single" w:sz="4" w:space="0" w:color="000000"/>
              <w:bottom w:val="single" w:sz="4" w:space="0" w:color="A59C94"/>
            </w:tcBorders>
            <w:vAlign w:val="bottom"/>
          </w:tcPr>
          <w:p w14:paraId="4A0A24FE" w14:textId="77777777" w:rsidR="00CE654B" w:rsidRPr="00610531" w:rsidRDefault="00CE654B" w:rsidP="00286A1E">
            <w:pPr>
              <w:pStyle w:val="TBodynormalText"/>
              <w:rPr>
                <w:lang w:val="en-US"/>
              </w:rPr>
            </w:pPr>
            <w:r w:rsidRPr="00513F30">
              <w:rPr>
                <w:lang w:val="en-US"/>
              </w:rPr>
              <w:t>Income after taxes, discontinued operations</w:t>
            </w:r>
          </w:p>
        </w:tc>
        <w:tc>
          <w:tcPr>
            <w:tcW w:w="119" w:type="dxa"/>
            <w:vAlign w:val="bottom"/>
          </w:tcPr>
          <w:p w14:paraId="0239F2A7" w14:textId="77777777" w:rsidR="00CE654B" w:rsidRPr="00610531" w:rsidRDefault="00CE654B" w:rsidP="00286A1E">
            <w:pPr>
              <w:pStyle w:val="TBodynormalNumber"/>
              <w:keepNext/>
              <w:rPr>
                <w:lang w:val="en-US"/>
              </w:rPr>
            </w:pPr>
          </w:p>
        </w:tc>
        <w:tc>
          <w:tcPr>
            <w:tcW w:w="1021" w:type="dxa"/>
            <w:tcBorders>
              <w:top w:val="single" w:sz="4" w:space="0" w:color="000000"/>
              <w:bottom w:val="single" w:sz="4" w:space="0" w:color="A59C94"/>
            </w:tcBorders>
            <w:vAlign w:val="bottom"/>
          </w:tcPr>
          <w:p w14:paraId="041EA3FF" w14:textId="77777777" w:rsidR="00CE654B" w:rsidRDefault="00CE654B" w:rsidP="00286A1E">
            <w:pPr>
              <w:pStyle w:val="TBodynormalNumber"/>
              <w:keepNext/>
            </w:pPr>
            <w:r>
              <w:t>–</w:t>
            </w:r>
          </w:p>
        </w:tc>
        <w:tc>
          <w:tcPr>
            <w:tcW w:w="119" w:type="dxa"/>
            <w:vAlign w:val="bottom"/>
          </w:tcPr>
          <w:p w14:paraId="26863160" w14:textId="77777777" w:rsidR="00CE654B" w:rsidRDefault="00CE654B" w:rsidP="00286A1E">
            <w:pPr>
              <w:pStyle w:val="TBodynormalNumber"/>
              <w:keepNext/>
            </w:pPr>
          </w:p>
        </w:tc>
        <w:tc>
          <w:tcPr>
            <w:tcW w:w="1021" w:type="dxa"/>
            <w:tcBorders>
              <w:top w:val="single" w:sz="4" w:space="0" w:color="000000"/>
              <w:bottom w:val="single" w:sz="4" w:space="0" w:color="A59C94"/>
            </w:tcBorders>
            <w:shd w:val="clear" w:color="000000" w:fill="DAD5C9"/>
            <w:vAlign w:val="bottom"/>
          </w:tcPr>
          <w:p w14:paraId="05210224" w14:textId="77777777" w:rsidR="00CE654B" w:rsidRDefault="00CE654B" w:rsidP="00286A1E">
            <w:pPr>
              <w:pStyle w:val="TBodynormalNumber"/>
              <w:keepNext/>
            </w:pPr>
            <w:r>
              <w:t>–</w:t>
            </w:r>
          </w:p>
        </w:tc>
        <w:tc>
          <w:tcPr>
            <w:tcW w:w="119" w:type="dxa"/>
            <w:vAlign w:val="bottom"/>
          </w:tcPr>
          <w:p w14:paraId="5E5BD43D" w14:textId="77777777" w:rsidR="00CE654B" w:rsidRDefault="00CE654B" w:rsidP="00286A1E">
            <w:pPr>
              <w:pStyle w:val="TBodynormalNumber"/>
              <w:keepNext/>
            </w:pPr>
          </w:p>
        </w:tc>
        <w:tc>
          <w:tcPr>
            <w:tcW w:w="1021" w:type="dxa"/>
            <w:tcBorders>
              <w:top w:val="single" w:sz="4" w:space="0" w:color="000000"/>
              <w:bottom w:val="single" w:sz="4" w:space="0" w:color="A59C94"/>
            </w:tcBorders>
            <w:vAlign w:val="bottom"/>
          </w:tcPr>
          <w:p w14:paraId="03EA105A" w14:textId="77777777" w:rsidR="00CE654B" w:rsidRDefault="00CE654B" w:rsidP="00286A1E">
            <w:pPr>
              <w:pStyle w:val="TBodynormalNumber"/>
              <w:keepNext/>
            </w:pPr>
          </w:p>
        </w:tc>
      </w:tr>
      <w:tr w:rsidR="00CE654B" w14:paraId="3DB0F65C" w14:textId="77777777" w:rsidTr="00286A1E">
        <w:tc>
          <w:tcPr>
            <w:tcW w:w="6333" w:type="dxa"/>
            <w:tcBorders>
              <w:top w:val="single" w:sz="4" w:space="0" w:color="A59C94"/>
              <w:bottom w:val="single" w:sz="4" w:space="0" w:color="000000"/>
            </w:tcBorders>
            <w:vAlign w:val="bottom"/>
          </w:tcPr>
          <w:p w14:paraId="27B7C4DF" w14:textId="77777777" w:rsidR="00CE654B" w:rsidRDefault="00CE654B" w:rsidP="00286A1E">
            <w:pPr>
              <w:pStyle w:val="TBodysubtotalText"/>
              <w:keepNext/>
            </w:pPr>
            <w:r>
              <w:t xml:space="preserve">Income after </w:t>
            </w:r>
            <w:proofErr w:type="spellStart"/>
            <w:r>
              <w:t>taxes</w:t>
            </w:r>
            <w:proofErr w:type="spellEnd"/>
          </w:p>
        </w:tc>
        <w:tc>
          <w:tcPr>
            <w:tcW w:w="119" w:type="dxa"/>
            <w:vAlign w:val="bottom"/>
          </w:tcPr>
          <w:p w14:paraId="50087960" w14:textId="77777777" w:rsidR="00CE654B" w:rsidRDefault="00CE654B" w:rsidP="00286A1E">
            <w:pPr>
              <w:pStyle w:val="TBodysubtotalNumber"/>
              <w:keepNext/>
            </w:pPr>
          </w:p>
        </w:tc>
        <w:tc>
          <w:tcPr>
            <w:tcW w:w="1021" w:type="dxa"/>
            <w:tcBorders>
              <w:top w:val="single" w:sz="4" w:space="0" w:color="A59C94"/>
              <w:bottom w:val="single" w:sz="4" w:space="0" w:color="000000"/>
            </w:tcBorders>
            <w:vAlign w:val="bottom"/>
          </w:tcPr>
          <w:p w14:paraId="702533F6" w14:textId="77777777" w:rsidR="00CE654B" w:rsidRDefault="00CE654B" w:rsidP="00286A1E">
            <w:pPr>
              <w:pStyle w:val="TBodysubtotalNumber"/>
              <w:keepNext/>
            </w:pPr>
            <w:r>
              <w:t>318</w:t>
            </w:r>
          </w:p>
        </w:tc>
        <w:tc>
          <w:tcPr>
            <w:tcW w:w="119" w:type="dxa"/>
            <w:vAlign w:val="bottom"/>
          </w:tcPr>
          <w:p w14:paraId="5E474745" w14:textId="77777777" w:rsidR="00CE654B" w:rsidRDefault="00CE654B" w:rsidP="00286A1E">
            <w:pPr>
              <w:pStyle w:val="TBodysubtotalNumber"/>
              <w:keepNext/>
            </w:pPr>
          </w:p>
        </w:tc>
        <w:tc>
          <w:tcPr>
            <w:tcW w:w="1021" w:type="dxa"/>
            <w:tcBorders>
              <w:top w:val="single" w:sz="4" w:space="0" w:color="A59C94"/>
              <w:bottom w:val="single" w:sz="4" w:space="0" w:color="000000"/>
            </w:tcBorders>
            <w:shd w:val="clear" w:color="000000" w:fill="DAD5C9"/>
            <w:vAlign w:val="bottom"/>
          </w:tcPr>
          <w:p w14:paraId="6F861946" w14:textId="77777777" w:rsidR="00CE654B" w:rsidRDefault="00CE654B" w:rsidP="00286A1E">
            <w:pPr>
              <w:pStyle w:val="TBodysubtotalNumber"/>
              <w:keepNext/>
            </w:pPr>
            <w:r>
              <w:t>49</w:t>
            </w:r>
          </w:p>
        </w:tc>
        <w:tc>
          <w:tcPr>
            <w:tcW w:w="119" w:type="dxa"/>
            <w:vAlign w:val="bottom"/>
          </w:tcPr>
          <w:p w14:paraId="06849243" w14:textId="77777777" w:rsidR="00CE654B" w:rsidRDefault="00CE654B" w:rsidP="00286A1E">
            <w:pPr>
              <w:pStyle w:val="TBodysubtotalNumber"/>
              <w:keepNext/>
            </w:pPr>
          </w:p>
        </w:tc>
        <w:tc>
          <w:tcPr>
            <w:tcW w:w="1021" w:type="dxa"/>
            <w:tcBorders>
              <w:top w:val="single" w:sz="4" w:space="0" w:color="A59C94"/>
              <w:bottom w:val="single" w:sz="4" w:space="0" w:color="000000"/>
            </w:tcBorders>
            <w:vAlign w:val="bottom"/>
          </w:tcPr>
          <w:p w14:paraId="26EBC352" w14:textId="77777777" w:rsidR="00CE654B" w:rsidRDefault="00CE654B" w:rsidP="00286A1E">
            <w:pPr>
              <w:pStyle w:val="TBodysubtotalNumber"/>
              <w:keepNext/>
            </w:pPr>
            <w:r>
              <w:t>-85</w:t>
            </w:r>
          </w:p>
        </w:tc>
      </w:tr>
      <w:tr w:rsidR="00CE654B" w14:paraId="30607B18" w14:textId="77777777" w:rsidTr="00286A1E">
        <w:trPr>
          <w:trHeight w:val="340"/>
        </w:trPr>
        <w:tc>
          <w:tcPr>
            <w:tcW w:w="6333" w:type="dxa"/>
            <w:tcBorders>
              <w:top w:val="single" w:sz="4" w:space="0" w:color="000000"/>
              <w:bottom w:val="single" w:sz="4" w:space="0" w:color="A59C94"/>
            </w:tcBorders>
            <w:vAlign w:val="bottom"/>
          </w:tcPr>
          <w:p w14:paraId="48E7EB88" w14:textId="77777777" w:rsidR="00CE654B" w:rsidRPr="00610531" w:rsidRDefault="00CE654B" w:rsidP="00286A1E">
            <w:pPr>
              <w:pStyle w:val="TBodynormalText"/>
              <w:rPr>
                <w:lang w:val="en-US"/>
              </w:rPr>
            </w:pPr>
            <w:r w:rsidRPr="00513F30">
              <w:rPr>
                <w:lang w:val="en-US"/>
              </w:rPr>
              <w:t>thereof attributable to non-controlling interests</w:t>
            </w:r>
          </w:p>
        </w:tc>
        <w:tc>
          <w:tcPr>
            <w:tcW w:w="119" w:type="dxa"/>
            <w:vAlign w:val="bottom"/>
          </w:tcPr>
          <w:p w14:paraId="04439E85" w14:textId="77777777" w:rsidR="00CE654B" w:rsidRPr="00610531" w:rsidRDefault="00CE654B" w:rsidP="00286A1E">
            <w:pPr>
              <w:pStyle w:val="TBodynormalNumber"/>
              <w:keepNext/>
              <w:rPr>
                <w:lang w:val="en-US"/>
              </w:rPr>
            </w:pPr>
          </w:p>
        </w:tc>
        <w:tc>
          <w:tcPr>
            <w:tcW w:w="1021" w:type="dxa"/>
            <w:tcBorders>
              <w:top w:val="single" w:sz="4" w:space="0" w:color="000000"/>
              <w:bottom w:val="single" w:sz="4" w:space="0" w:color="A59C94"/>
            </w:tcBorders>
            <w:vAlign w:val="bottom"/>
          </w:tcPr>
          <w:p w14:paraId="31250D30" w14:textId="77777777" w:rsidR="00CE654B" w:rsidRDefault="00CE654B" w:rsidP="00286A1E">
            <w:pPr>
              <w:pStyle w:val="TBodynormalNumber"/>
              <w:keepNext/>
            </w:pPr>
            <w:r>
              <w:t>4</w:t>
            </w:r>
          </w:p>
        </w:tc>
        <w:tc>
          <w:tcPr>
            <w:tcW w:w="119" w:type="dxa"/>
            <w:vAlign w:val="bottom"/>
          </w:tcPr>
          <w:p w14:paraId="7577BF1B" w14:textId="77777777" w:rsidR="00CE654B" w:rsidRDefault="00CE654B" w:rsidP="00286A1E">
            <w:pPr>
              <w:pStyle w:val="TBodynormalNumber"/>
              <w:keepNext/>
            </w:pPr>
          </w:p>
        </w:tc>
        <w:tc>
          <w:tcPr>
            <w:tcW w:w="1021" w:type="dxa"/>
            <w:tcBorders>
              <w:top w:val="single" w:sz="4" w:space="0" w:color="000000"/>
              <w:bottom w:val="single" w:sz="4" w:space="0" w:color="A59C94"/>
            </w:tcBorders>
            <w:shd w:val="clear" w:color="000000" w:fill="DAD5C9"/>
            <w:vAlign w:val="bottom"/>
          </w:tcPr>
          <w:p w14:paraId="0DEB5264" w14:textId="77777777" w:rsidR="00CE654B" w:rsidRDefault="00CE654B" w:rsidP="00286A1E">
            <w:pPr>
              <w:pStyle w:val="TBodynormalNumber"/>
              <w:keepNext/>
            </w:pPr>
            <w:r>
              <w:t>2</w:t>
            </w:r>
          </w:p>
        </w:tc>
        <w:tc>
          <w:tcPr>
            <w:tcW w:w="119" w:type="dxa"/>
            <w:vAlign w:val="bottom"/>
          </w:tcPr>
          <w:p w14:paraId="17C4893E" w14:textId="77777777" w:rsidR="00CE654B" w:rsidRDefault="00CE654B" w:rsidP="00286A1E">
            <w:pPr>
              <w:pStyle w:val="TBodynormalNumber"/>
              <w:keepNext/>
            </w:pPr>
          </w:p>
        </w:tc>
        <w:tc>
          <w:tcPr>
            <w:tcW w:w="1021" w:type="dxa"/>
            <w:tcBorders>
              <w:top w:val="single" w:sz="4" w:space="0" w:color="000000"/>
              <w:bottom w:val="single" w:sz="4" w:space="0" w:color="A59C94"/>
            </w:tcBorders>
            <w:vAlign w:val="bottom"/>
          </w:tcPr>
          <w:p w14:paraId="69D1CADD" w14:textId="77777777" w:rsidR="00CE654B" w:rsidRDefault="00CE654B" w:rsidP="00286A1E">
            <w:pPr>
              <w:pStyle w:val="TBodynormalNumber"/>
              <w:keepNext/>
            </w:pPr>
          </w:p>
        </w:tc>
      </w:tr>
      <w:tr w:rsidR="00CE654B" w14:paraId="728BECDF" w14:textId="77777777" w:rsidTr="00286A1E">
        <w:tc>
          <w:tcPr>
            <w:tcW w:w="6333" w:type="dxa"/>
            <w:tcBorders>
              <w:top w:val="single" w:sz="4" w:space="0" w:color="A59C94"/>
              <w:bottom w:val="single" w:sz="4" w:space="0" w:color="000000"/>
            </w:tcBorders>
            <w:vAlign w:val="bottom"/>
          </w:tcPr>
          <w:p w14:paraId="005F1666" w14:textId="77777777" w:rsidR="00CE654B" w:rsidRDefault="00CE654B" w:rsidP="00286A1E">
            <w:pPr>
              <w:pStyle w:val="TBodysubtotalText"/>
              <w:keepNext/>
            </w:pPr>
            <w:r>
              <w:t>Net Income</w:t>
            </w:r>
          </w:p>
        </w:tc>
        <w:tc>
          <w:tcPr>
            <w:tcW w:w="119" w:type="dxa"/>
            <w:vAlign w:val="bottom"/>
          </w:tcPr>
          <w:p w14:paraId="5AEAEFE4" w14:textId="77777777" w:rsidR="00CE654B" w:rsidRDefault="00CE654B" w:rsidP="00286A1E">
            <w:pPr>
              <w:pStyle w:val="TBodysubtotalNumber"/>
              <w:keepNext/>
            </w:pPr>
          </w:p>
        </w:tc>
        <w:tc>
          <w:tcPr>
            <w:tcW w:w="1021" w:type="dxa"/>
            <w:tcBorders>
              <w:top w:val="single" w:sz="4" w:space="0" w:color="A59C94"/>
              <w:bottom w:val="single" w:sz="4" w:space="0" w:color="000000"/>
            </w:tcBorders>
            <w:vAlign w:val="bottom"/>
          </w:tcPr>
          <w:p w14:paraId="0201D773" w14:textId="77777777" w:rsidR="00CE654B" w:rsidRDefault="00CE654B" w:rsidP="00286A1E">
            <w:pPr>
              <w:pStyle w:val="TBodysubtotalNumber"/>
              <w:keepNext/>
            </w:pPr>
            <w:r>
              <w:t>314</w:t>
            </w:r>
          </w:p>
        </w:tc>
        <w:tc>
          <w:tcPr>
            <w:tcW w:w="119" w:type="dxa"/>
            <w:vAlign w:val="bottom"/>
          </w:tcPr>
          <w:p w14:paraId="1BB2FB92" w14:textId="77777777" w:rsidR="00CE654B" w:rsidRDefault="00CE654B" w:rsidP="00286A1E">
            <w:pPr>
              <w:pStyle w:val="TBodysubtotalNumber"/>
              <w:keepNext/>
            </w:pPr>
          </w:p>
        </w:tc>
        <w:tc>
          <w:tcPr>
            <w:tcW w:w="1021" w:type="dxa"/>
            <w:tcBorders>
              <w:top w:val="single" w:sz="4" w:space="0" w:color="A59C94"/>
              <w:bottom w:val="single" w:sz="4" w:space="0" w:color="000000"/>
            </w:tcBorders>
            <w:shd w:val="clear" w:color="000000" w:fill="DAD5C9"/>
            <w:vAlign w:val="bottom"/>
          </w:tcPr>
          <w:p w14:paraId="3C69CAA3" w14:textId="77777777" w:rsidR="00CE654B" w:rsidRDefault="00CE654B" w:rsidP="00286A1E">
            <w:pPr>
              <w:pStyle w:val="TBodysubtotalNumber"/>
              <w:keepNext/>
            </w:pPr>
            <w:r>
              <w:t>47</w:t>
            </w:r>
          </w:p>
        </w:tc>
        <w:tc>
          <w:tcPr>
            <w:tcW w:w="119" w:type="dxa"/>
            <w:vAlign w:val="bottom"/>
          </w:tcPr>
          <w:p w14:paraId="418F9B58" w14:textId="77777777" w:rsidR="00CE654B" w:rsidRDefault="00CE654B" w:rsidP="00286A1E">
            <w:pPr>
              <w:pStyle w:val="TBodysubtotalNumber"/>
              <w:keepNext/>
            </w:pPr>
          </w:p>
        </w:tc>
        <w:tc>
          <w:tcPr>
            <w:tcW w:w="1021" w:type="dxa"/>
            <w:tcBorders>
              <w:top w:val="single" w:sz="4" w:space="0" w:color="A59C94"/>
              <w:bottom w:val="single" w:sz="4" w:space="0" w:color="000000"/>
            </w:tcBorders>
            <w:vAlign w:val="bottom"/>
          </w:tcPr>
          <w:p w14:paraId="3D47476D" w14:textId="77777777" w:rsidR="00CE654B" w:rsidRDefault="00CE654B" w:rsidP="00286A1E">
            <w:pPr>
              <w:pStyle w:val="TBodysubtotalNumber"/>
              <w:keepNext/>
            </w:pPr>
            <w:r>
              <w:t>-85</w:t>
            </w:r>
          </w:p>
        </w:tc>
      </w:tr>
      <w:tr w:rsidR="00CE654B" w14:paraId="3E1E4E97" w14:textId="77777777" w:rsidTr="00286A1E">
        <w:trPr>
          <w:trHeight w:val="340"/>
        </w:trPr>
        <w:tc>
          <w:tcPr>
            <w:tcW w:w="6333" w:type="dxa"/>
            <w:tcBorders>
              <w:top w:val="single" w:sz="4" w:space="0" w:color="000000"/>
              <w:bottom w:val="single" w:sz="16" w:space="0" w:color="991D85"/>
            </w:tcBorders>
            <w:vAlign w:val="bottom"/>
          </w:tcPr>
          <w:p w14:paraId="7D0B23C4" w14:textId="77777777" w:rsidR="00CE654B" w:rsidRDefault="00CE654B" w:rsidP="00286A1E">
            <w:pPr>
              <w:pStyle w:val="TBodynormalText"/>
            </w:pPr>
            <w:proofErr w:type="spellStart"/>
            <w:r>
              <w:rPr>
                <w:b/>
              </w:rPr>
              <w:t>Adjusted</w:t>
            </w:r>
            <w:proofErr w:type="spellEnd"/>
            <w:r>
              <w:rPr>
                <w:b/>
              </w:rPr>
              <w:t xml:space="preserve"> </w:t>
            </w:r>
            <w:proofErr w:type="spellStart"/>
            <w:r>
              <w:rPr>
                <w:b/>
              </w:rPr>
              <w:t>net</w:t>
            </w:r>
            <w:proofErr w:type="spellEnd"/>
            <w:r>
              <w:rPr>
                <w:b/>
              </w:rPr>
              <w:t xml:space="preserve"> </w:t>
            </w:r>
            <w:proofErr w:type="spellStart"/>
            <w:r>
              <w:rPr>
                <w:b/>
              </w:rPr>
              <w:t>income</w:t>
            </w:r>
            <w:proofErr w:type="spellEnd"/>
          </w:p>
        </w:tc>
        <w:tc>
          <w:tcPr>
            <w:tcW w:w="119" w:type="dxa"/>
            <w:tcBorders>
              <w:bottom w:val="single" w:sz="16" w:space="0" w:color="991D85"/>
            </w:tcBorders>
            <w:vAlign w:val="bottom"/>
          </w:tcPr>
          <w:p w14:paraId="2F6800AD" w14:textId="77777777" w:rsidR="00CE654B" w:rsidRDefault="00CE654B" w:rsidP="00286A1E">
            <w:pPr>
              <w:pStyle w:val="TBodynormalNumber"/>
              <w:keepNext/>
            </w:pPr>
          </w:p>
        </w:tc>
        <w:tc>
          <w:tcPr>
            <w:tcW w:w="1021" w:type="dxa"/>
            <w:tcBorders>
              <w:top w:val="single" w:sz="4" w:space="0" w:color="000000"/>
              <w:bottom w:val="single" w:sz="16" w:space="0" w:color="991D85"/>
            </w:tcBorders>
            <w:vAlign w:val="bottom"/>
          </w:tcPr>
          <w:p w14:paraId="43EECB08" w14:textId="77777777" w:rsidR="00CE654B" w:rsidRDefault="00CE654B" w:rsidP="00286A1E">
            <w:pPr>
              <w:pStyle w:val="TBodynormalNumber"/>
              <w:keepNext/>
            </w:pPr>
            <w:r>
              <w:rPr>
                <w:b/>
              </w:rPr>
              <w:t>356</w:t>
            </w:r>
          </w:p>
        </w:tc>
        <w:tc>
          <w:tcPr>
            <w:tcW w:w="119" w:type="dxa"/>
            <w:tcBorders>
              <w:bottom w:val="single" w:sz="16" w:space="0" w:color="991D85"/>
            </w:tcBorders>
            <w:vAlign w:val="bottom"/>
          </w:tcPr>
          <w:p w14:paraId="3AEFD81C" w14:textId="77777777" w:rsidR="00CE654B" w:rsidRDefault="00CE654B" w:rsidP="00286A1E">
            <w:pPr>
              <w:pStyle w:val="TBodynormalNumber"/>
              <w:keepNext/>
            </w:pPr>
          </w:p>
        </w:tc>
        <w:tc>
          <w:tcPr>
            <w:tcW w:w="1021" w:type="dxa"/>
            <w:tcBorders>
              <w:top w:val="single" w:sz="4" w:space="0" w:color="000000"/>
              <w:bottom w:val="single" w:sz="16" w:space="0" w:color="991D85"/>
            </w:tcBorders>
            <w:shd w:val="clear" w:color="000000" w:fill="DAD5C9"/>
            <w:vAlign w:val="bottom"/>
          </w:tcPr>
          <w:p w14:paraId="1E427AB9" w14:textId="77777777" w:rsidR="00CE654B" w:rsidRDefault="00CE654B" w:rsidP="00286A1E">
            <w:pPr>
              <w:pStyle w:val="TBodynormalNumber"/>
              <w:keepNext/>
            </w:pPr>
            <w:r>
              <w:rPr>
                <w:b/>
              </w:rPr>
              <w:t>115</w:t>
            </w:r>
          </w:p>
        </w:tc>
        <w:tc>
          <w:tcPr>
            <w:tcW w:w="119" w:type="dxa"/>
            <w:tcBorders>
              <w:bottom w:val="single" w:sz="16" w:space="0" w:color="991D85"/>
            </w:tcBorders>
            <w:vAlign w:val="bottom"/>
          </w:tcPr>
          <w:p w14:paraId="776AC8CC" w14:textId="77777777" w:rsidR="00CE654B" w:rsidRDefault="00CE654B" w:rsidP="00286A1E">
            <w:pPr>
              <w:pStyle w:val="TBodynormalNumber"/>
              <w:keepNext/>
            </w:pPr>
          </w:p>
        </w:tc>
        <w:tc>
          <w:tcPr>
            <w:tcW w:w="1021" w:type="dxa"/>
            <w:tcBorders>
              <w:top w:val="single" w:sz="4" w:space="0" w:color="000000"/>
              <w:bottom w:val="single" w:sz="16" w:space="0" w:color="991D85"/>
            </w:tcBorders>
            <w:vAlign w:val="bottom"/>
          </w:tcPr>
          <w:p w14:paraId="56A61FC9" w14:textId="77777777" w:rsidR="00CE654B" w:rsidRDefault="00CE654B" w:rsidP="00286A1E">
            <w:pPr>
              <w:pStyle w:val="TBodynormalNumber"/>
              <w:keepNext/>
            </w:pPr>
            <w:r>
              <w:rPr>
                <w:b/>
              </w:rPr>
              <w:t>-68</w:t>
            </w:r>
          </w:p>
        </w:tc>
      </w:tr>
      <w:bookmarkEnd w:id="0"/>
    </w:tbl>
    <w:p w14:paraId="46ABC208" w14:textId="77777777" w:rsidR="002530DF" w:rsidRDefault="002530DF" w:rsidP="0043547E">
      <w:pPr>
        <w:rPr>
          <w:lang w:val="en-US"/>
        </w:rPr>
      </w:pPr>
    </w:p>
    <w:tbl>
      <w:tblPr>
        <w:tblW w:w="9752" w:type="dxa"/>
        <w:tblLayout w:type="fixed"/>
        <w:tblCellMar>
          <w:left w:w="0" w:type="dxa"/>
          <w:right w:w="0" w:type="dxa"/>
        </w:tblCellMar>
        <w:tblLook w:val="04A0" w:firstRow="1" w:lastRow="0" w:firstColumn="1" w:lastColumn="0" w:noHBand="0" w:noVBand="1"/>
        <w:tblCaption w:val="Pressemitteilung - Tabelle en!outarea_segmenteq1"/>
        <w:tblDescription w:val="SNEID_3c00ec5e54e644f88a0a198056030d76"/>
      </w:tblPr>
      <w:tblGrid>
        <w:gridCol w:w="2912"/>
        <w:gridCol w:w="119"/>
        <w:gridCol w:w="1021"/>
        <w:gridCol w:w="119"/>
        <w:gridCol w:w="1021"/>
        <w:gridCol w:w="119"/>
        <w:gridCol w:w="1021"/>
        <w:gridCol w:w="119"/>
        <w:gridCol w:w="1021"/>
        <w:gridCol w:w="119"/>
        <w:gridCol w:w="1021"/>
        <w:gridCol w:w="119"/>
        <w:gridCol w:w="1021"/>
      </w:tblGrid>
      <w:tr w:rsidR="00A81042" w14:paraId="6056A232" w14:textId="77777777" w:rsidTr="00AC6DC8">
        <w:tc>
          <w:tcPr>
            <w:tcW w:w="9752" w:type="dxa"/>
            <w:gridSpan w:val="13"/>
            <w:noWrap/>
            <w:vAlign w:val="bottom"/>
          </w:tcPr>
          <w:p w14:paraId="4CA13AB9" w14:textId="77777777" w:rsidR="00A81042" w:rsidRDefault="00A81042" w:rsidP="00286A1E">
            <w:pPr>
              <w:pStyle w:val="TTitleText"/>
            </w:pPr>
            <w:bookmarkStart w:id="1" w:name="SNEID_3c00ec5e54e644f88a0a198056030d76"/>
            <w:r>
              <w:t>Division performance – 1st quarter</w:t>
            </w:r>
          </w:p>
        </w:tc>
      </w:tr>
      <w:tr w:rsidR="00A81042" w14:paraId="16D654A7" w14:textId="77777777" w:rsidTr="00AC6DC8">
        <w:tc>
          <w:tcPr>
            <w:tcW w:w="2912" w:type="dxa"/>
            <w:tcBorders>
              <w:top w:val="single" w:sz="8" w:space="0" w:color="000000"/>
            </w:tcBorders>
            <w:noWrap/>
            <w:vAlign w:val="bottom"/>
          </w:tcPr>
          <w:p w14:paraId="769953F1" w14:textId="77777777" w:rsidR="00A81042" w:rsidRDefault="00A81042" w:rsidP="00286A1E">
            <w:pPr>
              <w:pStyle w:val="TDummy"/>
              <w:keepNext/>
            </w:pPr>
          </w:p>
        </w:tc>
        <w:tc>
          <w:tcPr>
            <w:tcW w:w="119" w:type="dxa"/>
            <w:tcBorders>
              <w:top w:val="single" w:sz="8" w:space="0" w:color="000000"/>
            </w:tcBorders>
            <w:noWrap/>
            <w:vAlign w:val="bottom"/>
          </w:tcPr>
          <w:p w14:paraId="73364773" w14:textId="77777777" w:rsidR="00A81042" w:rsidRDefault="00A81042" w:rsidP="00286A1E">
            <w:pPr>
              <w:pStyle w:val="TDummy"/>
              <w:keepNext/>
            </w:pPr>
          </w:p>
        </w:tc>
        <w:tc>
          <w:tcPr>
            <w:tcW w:w="1021" w:type="dxa"/>
            <w:tcBorders>
              <w:top w:val="single" w:sz="8" w:space="0" w:color="000000"/>
            </w:tcBorders>
            <w:noWrap/>
            <w:vAlign w:val="bottom"/>
          </w:tcPr>
          <w:p w14:paraId="045FED35" w14:textId="77777777" w:rsidR="00A81042" w:rsidRDefault="00A81042" w:rsidP="00286A1E">
            <w:pPr>
              <w:pStyle w:val="TDummy"/>
              <w:keepNext/>
            </w:pPr>
          </w:p>
        </w:tc>
        <w:tc>
          <w:tcPr>
            <w:tcW w:w="119" w:type="dxa"/>
            <w:tcBorders>
              <w:top w:val="single" w:sz="8" w:space="0" w:color="000000"/>
            </w:tcBorders>
            <w:noWrap/>
            <w:vAlign w:val="bottom"/>
          </w:tcPr>
          <w:p w14:paraId="6F1BC96A" w14:textId="77777777" w:rsidR="00A81042" w:rsidRDefault="00A81042" w:rsidP="00286A1E">
            <w:pPr>
              <w:pStyle w:val="TDummy"/>
              <w:keepNext/>
            </w:pPr>
          </w:p>
        </w:tc>
        <w:tc>
          <w:tcPr>
            <w:tcW w:w="1021" w:type="dxa"/>
            <w:tcBorders>
              <w:top w:val="single" w:sz="8" w:space="0" w:color="000000"/>
            </w:tcBorders>
            <w:noWrap/>
            <w:vAlign w:val="bottom"/>
          </w:tcPr>
          <w:p w14:paraId="180AEC6F" w14:textId="77777777" w:rsidR="00A81042" w:rsidRDefault="00A81042" w:rsidP="00286A1E">
            <w:pPr>
              <w:pStyle w:val="TDummy"/>
              <w:keepNext/>
            </w:pPr>
          </w:p>
        </w:tc>
        <w:tc>
          <w:tcPr>
            <w:tcW w:w="119" w:type="dxa"/>
            <w:tcBorders>
              <w:top w:val="single" w:sz="8" w:space="0" w:color="000000"/>
            </w:tcBorders>
            <w:noWrap/>
            <w:vAlign w:val="bottom"/>
          </w:tcPr>
          <w:p w14:paraId="761D1ACA" w14:textId="77777777" w:rsidR="00A81042" w:rsidRDefault="00A81042" w:rsidP="00286A1E">
            <w:pPr>
              <w:pStyle w:val="TDummy"/>
              <w:keepNext/>
            </w:pPr>
          </w:p>
        </w:tc>
        <w:tc>
          <w:tcPr>
            <w:tcW w:w="1021" w:type="dxa"/>
            <w:tcBorders>
              <w:top w:val="single" w:sz="8" w:space="0" w:color="000000"/>
            </w:tcBorders>
            <w:noWrap/>
            <w:vAlign w:val="bottom"/>
          </w:tcPr>
          <w:p w14:paraId="5599A7A0" w14:textId="77777777" w:rsidR="00A81042" w:rsidRDefault="00A81042" w:rsidP="00286A1E">
            <w:pPr>
              <w:pStyle w:val="TDummy"/>
              <w:keepNext/>
            </w:pPr>
          </w:p>
        </w:tc>
        <w:tc>
          <w:tcPr>
            <w:tcW w:w="119" w:type="dxa"/>
            <w:tcBorders>
              <w:top w:val="single" w:sz="8" w:space="0" w:color="000000"/>
            </w:tcBorders>
            <w:noWrap/>
            <w:vAlign w:val="bottom"/>
          </w:tcPr>
          <w:p w14:paraId="02C082DD" w14:textId="77777777" w:rsidR="00A81042" w:rsidRDefault="00A81042" w:rsidP="00286A1E">
            <w:pPr>
              <w:pStyle w:val="TDummy"/>
              <w:keepNext/>
            </w:pPr>
          </w:p>
        </w:tc>
        <w:tc>
          <w:tcPr>
            <w:tcW w:w="1021" w:type="dxa"/>
            <w:tcBorders>
              <w:top w:val="single" w:sz="8" w:space="0" w:color="000000"/>
            </w:tcBorders>
            <w:noWrap/>
            <w:vAlign w:val="bottom"/>
          </w:tcPr>
          <w:p w14:paraId="2E6914AE" w14:textId="77777777" w:rsidR="00A81042" w:rsidRDefault="00A81042" w:rsidP="00286A1E">
            <w:pPr>
              <w:pStyle w:val="TDummy"/>
              <w:keepNext/>
            </w:pPr>
          </w:p>
        </w:tc>
        <w:tc>
          <w:tcPr>
            <w:tcW w:w="119" w:type="dxa"/>
            <w:tcBorders>
              <w:top w:val="single" w:sz="8" w:space="0" w:color="000000"/>
            </w:tcBorders>
            <w:noWrap/>
            <w:vAlign w:val="bottom"/>
          </w:tcPr>
          <w:p w14:paraId="104B1A21" w14:textId="77777777" w:rsidR="00A81042" w:rsidRDefault="00A81042" w:rsidP="00286A1E">
            <w:pPr>
              <w:pStyle w:val="TDummy"/>
              <w:keepNext/>
            </w:pPr>
          </w:p>
        </w:tc>
        <w:tc>
          <w:tcPr>
            <w:tcW w:w="1021" w:type="dxa"/>
            <w:tcBorders>
              <w:top w:val="single" w:sz="8" w:space="0" w:color="000000"/>
            </w:tcBorders>
            <w:noWrap/>
            <w:vAlign w:val="bottom"/>
          </w:tcPr>
          <w:p w14:paraId="2C360FF9" w14:textId="77777777" w:rsidR="00A81042" w:rsidRDefault="00A81042" w:rsidP="00286A1E">
            <w:pPr>
              <w:pStyle w:val="TDummy"/>
              <w:keepNext/>
            </w:pPr>
          </w:p>
        </w:tc>
        <w:tc>
          <w:tcPr>
            <w:tcW w:w="119" w:type="dxa"/>
            <w:tcBorders>
              <w:top w:val="single" w:sz="8" w:space="0" w:color="000000"/>
            </w:tcBorders>
            <w:noWrap/>
            <w:vAlign w:val="bottom"/>
          </w:tcPr>
          <w:p w14:paraId="310F8ED6" w14:textId="77777777" w:rsidR="00A81042" w:rsidRDefault="00A81042" w:rsidP="00286A1E">
            <w:pPr>
              <w:pStyle w:val="TDummy"/>
              <w:keepNext/>
            </w:pPr>
          </w:p>
        </w:tc>
        <w:tc>
          <w:tcPr>
            <w:tcW w:w="1021" w:type="dxa"/>
            <w:tcBorders>
              <w:top w:val="single" w:sz="8" w:space="0" w:color="000000"/>
            </w:tcBorders>
            <w:noWrap/>
            <w:vAlign w:val="bottom"/>
          </w:tcPr>
          <w:p w14:paraId="3CE7773E" w14:textId="77777777" w:rsidR="00A81042" w:rsidRDefault="00A81042" w:rsidP="00286A1E">
            <w:pPr>
              <w:pStyle w:val="TDummy"/>
              <w:keepNext/>
            </w:pPr>
          </w:p>
        </w:tc>
      </w:tr>
      <w:tr w:rsidR="00A81042" w14:paraId="7AF7923D" w14:textId="77777777" w:rsidTr="00AC6DC8">
        <w:tc>
          <w:tcPr>
            <w:tcW w:w="2912" w:type="dxa"/>
            <w:shd w:val="clear" w:color="000000" w:fill="FFFFFF"/>
            <w:noWrap/>
            <w:vAlign w:val="bottom"/>
          </w:tcPr>
          <w:p w14:paraId="377A36F4" w14:textId="77777777" w:rsidR="00A81042" w:rsidRDefault="00A81042" w:rsidP="00286A1E">
            <w:pPr>
              <w:pStyle w:val="THeadfirstNumber"/>
            </w:pPr>
            <w:bookmarkStart w:id="2" w:name="RANGE!B25:N25"/>
            <w:bookmarkStart w:id="3" w:name="RANGE!B25"/>
            <w:bookmarkEnd w:id="2"/>
            <w:bookmarkEnd w:id="3"/>
          </w:p>
        </w:tc>
        <w:tc>
          <w:tcPr>
            <w:tcW w:w="119" w:type="dxa"/>
            <w:noWrap/>
            <w:vAlign w:val="bottom"/>
          </w:tcPr>
          <w:p w14:paraId="669AEF87" w14:textId="77777777" w:rsidR="00A81042" w:rsidRDefault="00A81042" w:rsidP="00286A1E">
            <w:pPr>
              <w:pStyle w:val="THeadfirstNumber"/>
            </w:pPr>
          </w:p>
        </w:tc>
        <w:tc>
          <w:tcPr>
            <w:tcW w:w="3301" w:type="dxa"/>
            <w:gridSpan w:val="5"/>
            <w:tcBorders>
              <w:bottom w:val="single" w:sz="4" w:space="0" w:color="A59C94"/>
            </w:tcBorders>
            <w:shd w:val="clear" w:color="000000" w:fill="FFFFFF"/>
            <w:vAlign w:val="bottom"/>
          </w:tcPr>
          <w:p w14:paraId="60E3F36B" w14:textId="77777777" w:rsidR="00A81042" w:rsidRDefault="00A81042" w:rsidP="00286A1E">
            <w:pPr>
              <w:pStyle w:val="THeadfirstNumber"/>
            </w:pPr>
            <w:r>
              <w:t>Sales</w:t>
            </w:r>
          </w:p>
        </w:tc>
        <w:tc>
          <w:tcPr>
            <w:tcW w:w="119" w:type="dxa"/>
            <w:vAlign w:val="bottom"/>
          </w:tcPr>
          <w:p w14:paraId="23FE46DC" w14:textId="77777777" w:rsidR="00A81042" w:rsidRDefault="00A81042" w:rsidP="00286A1E">
            <w:pPr>
              <w:pStyle w:val="THeadfirstNumber"/>
            </w:pPr>
          </w:p>
        </w:tc>
        <w:tc>
          <w:tcPr>
            <w:tcW w:w="3301" w:type="dxa"/>
            <w:gridSpan w:val="5"/>
            <w:tcBorders>
              <w:bottom w:val="single" w:sz="4" w:space="0" w:color="A59C94"/>
            </w:tcBorders>
            <w:shd w:val="clear" w:color="000000" w:fill="FFFFFF"/>
            <w:vAlign w:val="bottom"/>
          </w:tcPr>
          <w:p w14:paraId="6CF12A7B" w14:textId="77777777" w:rsidR="00A81042" w:rsidRDefault="00A81042" w:rsidP="00286A1E">
            <w:pPr>
              <w:pStyle w:val="THeadfirstNumber"/>
            </w:pPr>
            <w:proofErr w:type="spellStart"/>
            <w:r>
              <w:t>Adjusted</w:t>
            </w:r>
            <w:proofErr w:type="spellEnd"/>
            <w:r>
              <w:t xml:space="preserve"> EBITDA</w:t>
            </w:r>
          </w:p>
        </w:tc>
      </w:tr>
      <w:tr w:rsidR="00A81042" w14:paraId="24216EF3" w14:textId="77777777" w:rsidTr="00AC6DC8">
        <w:tc>
          <w:tcPr>
            <w:tcW w:w="2912" w:type="dxa"/>
            <w:tcBorders>
              <w:bottom w:val="single" w:sz="4" w:space="0" w:color="000000"/>
            </w:tcBorders>
            <w:shd w:val="clear" w:color="000000" w:fill="FFFFFF"/>
            <w:noWrap/>
            <w:vAlign w:val="bottom"/>
          </w:tcPr>
          <w:p w14:paraId="06B21B2F" w14:textId="77777777" w:rsidR="00A81042" w:rsidRDefault="00A81042" w:rsidP="00286A1E">
            <w:pPr>
              <w:pStyle w:val="THeadlastText"/>
            </w:pPr>
            <w:bookmarkStart w:id="4" w:name="RANGE!B26:N26"/>
            <w:bookmarkEnd w:id="4"/>
            <w:r>
              <w:t xml:space="preserve">in € </w:t>
            </w:r>
            <w:proofErr w:type="spellStart"/>
            <w:r>
              <w:t>million</w:t>
            </w:r>
            <w:proofErr w:type="spellEnd"/>
          </w:p>
        </w:tc>
        <w:tc>
          <w:tcPr>
            <w:tcW w:w="119" w:type="dxa"/>
            <w:noWrap/>
            <w:vAlign w:val="bottom"/>
          </w:tcPr>
          <w:p w14:paraId="79C998A3" w14:textId="77777777" w:rsidR="00A81042" w:rsidRDefault="00A81042" w:rsidP="00286A1E">
            <w:pPr>
              <w:pStyle w:val="THeadlastNumber"/>
            </w:pPr>
          </w:p>
        </w:tc>
        <w:tc>
          <w:tcPr>
            <w:tcW w:w="1021" w:type="dxa"/>
            <w:tcBorders>
              <w:top w:val="single" w:sz="4" w:space="0" w:color="A59C94"/>
              <w:bottom w:val="single" w:sz="4" w:space="0" w:color="000000"/>
            </w:tcBorders>
            <w:shd w:val="clear" w:color="000000" w:fill="FFFFFF"/>
            <w:vAlign w:val="bottom"/>
          </w:tcPr>
          <w:p w14:paraId="45F198C1" w14:textId="77777777" w:rsidR="00A81042" w:rsidRDefault="00A81042" w:rsidP="00286A1E">
            <w:pPr>
              <w:pStyle w:val="THeadlastNumber"/>
            </w:pPr>
            <w:r>
              <w:t>2022</w:t>
            </w:r>
          </w:p>
        </w:tc>
        <w:tc>
          <w:tcPr>
            <w:tcW w:w="119" w:type="dxa"/>
            <w:vAlign w:val="bottom"/>
          </w:tcPr>
          <w:p w14:paraId="607E018C" w14:textId="77777777" w:rsidR="00A81042" w:rsidRDefault="00A81042" w:rsidP="00286A1E">
            <w:pPr>
              <w:pStyle w:val="THeadlastNumber"/>
            </w:pPr>
          </w:p>
        </w:tc>
        <w:tc>
          <w:tcPr>
            <w:tcW w:w="1021" w:type="dxa"/>
            <w:tcBorders>
              <w:top w:val="single" w:sz="4" w:space="0" w:color="A59C94"/>
              <w:bottom w:val="single" w:sz="4" w:space="0" w:color="000000"/>
            </w:tcBorders>
            <w:shd w:val="clear" w:color="000000" w:fill="FFFFFF"/>
            <w:vAlign w:val="bottom"/>
          </w:tcPr>
          <w:p w14:paraId="5D0E451A" w14:textId="77777777" w:rsidR="00A81042" w:rsidRDefault="00A81042" w:rsidP="00286A1E">
            <w:pPr>
              <w:pStyle w:val="THeadlastNumberbold"/>
            </w:pPr>
            <w:bookmarkStart w:id="5" w:name="RANGE!F26:F33"/>
            <w:bookmarkEnd w:id="5"/>
            <w:r>
              <w:t>2023</w:t>
            </w:r>
          </w:p>
        </w:tc>
        <w:tc>
          <w:tcPr>
            <w:tcW w:w="119" w:type="dxa"/>
            <w:vAlign w:val="bottom"/>
          </w:tcPr>
          <w:p w14:paraId="077DF035" w14:textId="77777777" w:rsidR="00A81042" w:rsidRDefault="00A81042" w:rsidP="00286A1E">
            <w:pPr>
              <w:pStyle w:val="THeadlastNumber"/>
            </w:pPr>
          </w:p>
        </w:tc>
        <w:tc>
          <w:tcPr>
            <w:tcW w:w="1021" w:type="dxa"/>
            <w:tcBorders>
              <w:top w:val="single" w:sz="4" w:space="0" w:color="A59C94"/>
              <w:bottom w:val="single" w:sz="4" w:space="0" w:color="000000"/>
            </w:tcBorders>
            <w:shd w:val="clear" w:color="000000" w:fill="FFFFFF"/>
            <w:vAlign w:val="bottom"/>
          </w:tcPr>
          <w:p w14:paraId="0574DB1A" w14:textId="77777777" w:rsidR="00A81042" w:rsidRDefault="00A81042" w:rsidP="00286A1E">
            <w:pPr>
              <w:pStyle w:val="THeaddifferenceNumber"/>
              <w:keepNext/>
            </w:pPr>
            <w:bookmarkStart w:id="6" w:name="RANGE!H26:H33"/>
            <w:bookmarkEnd w:id="6"/>
            <w:r>
              <w:t>Change in %</w:t>
            </w:r>
          </w:p>
        </w:tc>
        <w:tc>
          <w:tcPr>
            <w:tcW w:w="119" w:type="dxa"/>
            <w:vAlign w:val="bottom"/>
          </w:tcPr>
          <w:p w14:paraId="6F06309C" w14:textId="77777777" w:rsidR="00A81042" w:rsidRDefault="00A81042" w:rsidP="00286A1E">
            <w:pPr>
              <w:pStyle w:val="THeadlastNumber"/>
            </w:pPr>
          </w:p>
        </w:tc>
        <w:tc>
          <w:tcPr>
            <w:tcW w:w="1021" w:type="dxa"/>
            <w:tcBorders>
              <w:top w:val="single" w:sz="4" w:space="0" w:color="A59C94"/>
              <w:bottom w:val="single" w:sz="4" w:space="0" w:color="000000"/>
            </w:tcBorders>
            <w:shd w:val="clear" w:color="000000" w:fill="FFFFFF"/>
            <w:vAlign w:val="bottom"/>
          </w:tcPr>
          <w:p w14:paraId="5B83CB67" w14:textId="77777777" w:rsidR="00A81042" w:rsidRDefault="00A81042" w:rsidP="00286A1E">
            <w:pPr>
              <w:pStyle w:val="THeadlastNumber"/>
            </w:pPr>
            <w:r>
              <w:t>2022</w:t>
            </w:r>
          </w:p>
        </w:tc>
        <w:tc>
          <w:tcPr>
            <w:tcW w:w="119" w:type="dxa"/>
            <w:vAlign w:val="bottom"/>
          </w:tcPr>
          <w:p w14:paraId="6A1F1CA3" w14:textId="77777777" w:rsidR="00A81042" w:rsidRDefault="00A81042" w:rsidP="00286A1E">
            <w:pPr>
              <w:pStyle w:val="THeadlastNumber"/>
            </w:pPr>
          </w:p>
        </w:tc>
        <w:tc>
          <w:tcPr>
            <w:tcW w:w="1021" w:type="dxa"/>
            <w:tcBorders>
              <w:top w:val="single" w:sz="4" w:space="0" w:color="A59C94"/>
              <w:bottom w:val="single" w:sz="4" w:space="0" w:color="000000"/>
            </w:tcBorders>
            <w:shd w:val="clear" w:color="000000" w:fill="FFFFFF"/>
            <w:vAlign w:val="bottom"/>
          </w:tcPr>
          <w:p w14:paraId="469A7A79" w14:textId="77777777" w:rsidR="00A81042" w:rsidRDefault="00A81042" w:rsidP="00286A1E">
            <w:pPr>
              <w:pStyle w:val="THeadlastNumberbold"/>
            </w:pPr>
            <w:bookmarkStart w:id="7" w:name="RANGE!L26:L33"/>
            <w:bookmarkEnd w:id="7"/>
            <w:r>
              <w:t>2023</w:t>
            </w:r>
          </w:p>
        </w:tc>
        <w:tc>
          <w:tcPr>
            <w:tcW w:w="119" w:type="dxa"/>
            <w:vAlign w:val="bottom"/>
          </w:tcPr>
          <w:p w14:paraId="2F5944F5" w14:textId="77777777" w:rsidR="00A81042" w:rsidRDefault="00A81042" w:rsidP="00286A1E">
            <w:pPr>
              <w:pStyle w:val="THeadlastNumber"/>
            </w:pPr>
          </w:p>
        </w:tc>
        <w:tc>
          <w:tcPr>
            <w:tcW w:w="1021" w:type="dxa"/>
            <w:tcBorders>
              <w:top w:val="single" w:sz="4" w:space="0" w:color="A59C94"/>
              <w:bottom w:val="single" w:sz="4" w:space="0" w:color="000000"/>
            </w:tcBorders>
            <w:shd w:val="clear" w:color="000000" w:fill="FFFFFF"/>
            <w:vAlign w:val="bottom"/>
          </w:tcPr>
          <w:p w14:paraId="0EB72C0C" w14:textId="77777777" w:rsidR="00A81042" w:rsidRDefault="00A81042" w:rsidP="00286A1E">
            <w:pPr>
              <w:pStyle w:val="THeaddifferenceNumber"/>
              <w:keepNext/>
            </w:pPr>
            <w:bookmarkStart w:id="8" w:name="RANGE!N26:N33"/>
            <w:bookmarkEnd w:id="8"/>
            <w:r>
              <w:t>Change in %</w:t>
            </w:r>
          </w:p>
        </w:tc>
      </w:tr>
      <w:tr w:rsidR="00A81042" w14:paraId="15C7572A" w14:textId="77777777" w:rsidTr="00AC6DC8">
        <w:tc>
          <w:tcPr>
            <w:tcW w:w="2912" w:type="dxa"/>
            <w:tcBorders>
              <w:top w:val="single" w:sz="4" w:space="0" w:color="000000"/>
              <w:bottom w:val="single" w:sz="4" w:space="0" w:color="A59C94"/>
            </w:tcBorders>
            <w:noWrap/>
            <w:vAlign w:val="bottom"/>
          </w:tcPr>
          <w:p w14:paraId="31AA28A9" w14:textId="77777777" w:rsidR="00A81042" w:rsidRDefault="00A81042" w:rsidP="00286A1E">
            <w:pPr>
              <w:pStyle w:val="TBodynormalText"/>
            </w:pPr>
            <w:r>
              <w:t>Specialty Additives</w:t>
            </w:r>
          </w:p>
        </w:tc>
        <w:tc>
          <w:tcPr>
            <w:tcW w:w="119" w:type="dxa"/>
            <w:noWrap/>
            <w:vAlign w:val="bottom"/>
          </w:tcPr>
          <w:p w14:paraId="67E6A0B3" w14:textId="77777777" w:rsidR="00A81042" w:rsidRDefault="00A81042" w:rsidP="00286A1E">
            <w:pPr>
              <w:pStyle w:val="TBodynormalNumber"/>
              <w:keepNext/>
            </w:pPr>
          </w:p>
        </w:tc>
        <w:tc>
          <w:tcPr>
            <w:tcW w:w="1021" w:type="dxa"/>
            <w:tcBorders>
              <w:top w:val="single" w:sz="4" w:space="0" w:color="000000"/>
              <w:bottom w:val="single" w:sz="4" w:space="0" w:color="A59C94"/>
            </w:tcBorders>
            <w:noWrap/>
            <w:vAlign w:val="bottom"/>
          </w:tcPr>
          <w:p w14:paraId="15AFF3E8" w14:textId="77777777" w:rsidR="00A81042" w:rsidRDefault="00A81042" w:rsidP="00286A1E">
            <w:pPr>
              <w:pStyle w:val="TBodynormalNumber"/>
              <w:keepNext/>
            </w:pPr>
            <w:bookmarkStart w:id="9" w:name="SNAMD_e6413ae544e244da910ca049fba665cd"/>
            <w:r>
              <w:t>1,049</w:t>
            </w:r>
            <w:bookmarkEnd w:id="9"/>
          </w:p>
        </w:tc>
        <w:tc>
          <w:tcPr>
            <w:tcW w:w="119" w:type="dxa"/>
            <w:noWrap/>
            <w:vAlign w:val="bottom"/>
          </w:tcPr>
          <w:p w14:paraId="1A2CCEF2" w14:textId="77777777" w:rsidR="00A81042" w:rsidRDefault="00A81042" w:rsidP="00286A1E">
            <w:pPr>
              <w:pStyle w:val="TBodynormalNumber"/>
              <w:keepNext/>
            </w:pPr>
          </w:p>
        </w:tc>
        <w:tc>
          <w:tcPr>
            <w:tcW w:w="1021" w:type="dxa"/>
            <w:tcBorders>
              <w:top w:val="single" w:sz="4" w:space="0" w:color="000000"/>
              <w:bottom w:val="single" w:sz="4" w:space="0" w:color="A59C94"/>
            </w:tcBorders>
            <w:shd w:val="clear" w:color="000000" w:fill="DAD5C9"/>
            <w:noWrap/>
            <w:vAlign w:val="bottom"/>
          </w:tcPr>
          <w:p w14:paraId="440BCE37" w14:textId="77777777" w:rsidR="00A81042" w:rsidRDefault="00A81042" w:rsidP="00286A1E">
            <w:pPr>
              <w:pStyle w:val="TBodynormalNumber"/>
              <w:keepNext/>
            </w:pPr>
            <w:bookmarkStart w:id="10" w:name="SNAMD_d867c1fae43f40e790f98d17b1bfac2e"/>
            <w:r>
              <w:t>921</w:t>
            </w:r>
            <w:bookmarkEnd w:id="10"/>
          </w:p>
        </w:tc>
        <w:tc>
          <w:tcPr>
            <w:tcW w:w="119" w:type="dxa"/>
            <w:noWrap/>
            <w:vAlign w:val="bottom"/>
          </w:tcPr>
          <w:p w14:paraId="13F2E595" w14:textId="77777777" w:rsidR="00A81042" w:rsidRDefault="00A81042" w:rsidP="00286A1E">
            <w:pPr>
              <w:pStyle w:val="TBodynormalNumber"/>
              <w:keepNext/>
            </w:pPr>
          </w:p>
        </w:tc>
        <w:tc>
          <w:tcPr>
            <w:tcW w:w="1021" w:type="dxa"/>
            <w:tcBorders>
              <w:top w:val="single" w:sz="4" w:space="0" w:color="000000"/>
              <w:bottom w:val="single" w:sz="4" w:space="0" w:color="A59C94"/>
            </w:tcBorders>
            <w:noWrap/>
            <w:vAlign w:val="bottom"/>
          </w:tcPr>
          <w:p w14:paraId="685E312F" w14:textId="77777777" w:rsidR="00A81042" w:rsidRDefault="00A81042" w:rsidP="00286A1E">
            <w:pPr>
              <w:pStyle w:val="TBodynormalNumber"/>
              <w:keepNext/>
            </w:pPr>
            <w:r>
              <w:t>-12</w:t>
            </w:r>
          </w:p>
        </w:tc>
        <w:tc>
          <w:tcPr>
            <w:tcW w:w="119" w:type="dxa"/>
            <w:noWrap/>
            <w:vAlign w:val="bottom"/>
          </w:tcPr>
          <w:p w14:paraId="0091D0CA" w14:textId="77777777" w:rsidR="00A81042" w:rsidRDefault="00A81042" w:rsidP="00286A1E">
            <w:pPr>
              <w:pStyle w:val="TBodynormalNumber"/>
              <w:keepNext/>
            </w:pPr>
          </w:p>
        </w:tc>
        <w:tc>
          <w:tcPr>
            <w:tcW w:w="1021" w:type="dxa"/>
            <w:tcBorders>
              <w:top w:val="single" w:sz="4" w:space="0" w:color="000000"/>
              <w:bottom w:val="single" w:sz="4" w:space="0" w:color="A59C94"/>
            </w:tcBorders>
            <w:noWrap/>
            <w:vAlign w:val="bottom"/>
          </w:tcPr>
          <w:p w14:paraId="75037A65" w14:textId="77777777" w:rsidR="00A81042" w:rsidRDefault="00A81042" w:rsidP="00286A1E">
            <w:pPr>
              <w:pStyle w:val="TBodynormalNumber"/>
              <w:keepNext/>
            </w:pPr>
            <w:r>
              <w:t>252</w:t>
            </w:r>
          </w:p>
        </w:tc>
        <w:tc>
          <w:tcPr>
            <w:tcW w:w="119" w:type="dxa"/>
            <w:noWrap/>
            <w:vAlign w:val="bottom"/>
          </w:tcPr>
          <w:p w14:paraId="217B6A8F" w14:textId="77777777" w:rsidR="00A81042" w:rsidRDefault="00A81042" w:rsidP="00286A1E">
            <w:pPr>
              <w:pStyle w:val="TBodynormalNumber"/>
              <w:keepNext/>
            </w:pPr>
          </w:p>
        </w:tc>
        <w:tc>
          <w:tcPr>
            <w:tcW w:w="1021" w:type="dxa"/>
            <w:tcBorders>
              <w:top w:val="single" w:sz="4" w:space="0" w:color="000000"/>
              <w:bottom w:val="single" w:sz="4" w:space="0" w:color="A59C94"/>
            </w:tcBorders>
            <w:shd w:val="clear" w:color="000000" w:fill="DAD5C9"/>
            <w:noWrap/>
            <w:vAlign w:val="bottom"/>
          </w:tcPr>
          <w:p w14:paraId="16B3A454" w14:textId="77777777" w:rsidR="00A81042" w:rsidRDefault="00A81042" w:rsidP="00286A1E">
            <w:pPr>
              <w:pStyle w:val="TBodynormalNumber"/>
              <w:keepNext/>
            </w:pPr>
            <w:r>
              <w:t>168</w:t>
            </w:r>
          </w:p>
        </w:tc>
        <w:tc>
          <w:tcPr>
            <w:tcW w:w="119" w:type="dxa"/>
            <w:noWrap/>
            <w:vAlign w:val="bottom"/>
          </w:tcPr>
          <w:p w14:paraId="04B3DCB9" w14:textId="77777777" w:rsidR="00A81042" w:rsidRDefault="00A81042" w:rsidP="00286A1E">
            <w:pPr>
              <w:pStyle w:val="TBodynormalNumber"/>
              <w:keepNext/>
            </w:pPr>
          </w:p>
        </w:tc>
        <w:tc>
          <w:tcPr>
            <w:tcW w:w="1021" w:type="dxa"/>
            <w:tcBorders>
              <w:top w:val="single" w:sz="4" w:space="0" w:color="000000"/>
              <w:bottom w:val="single" w:sz="4" w:space="0" w:color="A59C94"/>
            </w:tcBorders>
            <w:noWrap/>
            <w:vAlign w:val="bottom"/>
          </w:tcPr>
          <w:p w14:paraId="03274D26" w14:textId="77777777" w:rsidR="00A81042" w:rsidRDefault="00A81042" w:rsidP="00286A1E">
            <w:pPr>
              <w:pStyle w:val="TBodynormalNumber"/>
              <w:keepNext/>
            </w:pPr>
            <w:r>
              <w:t>-33</w:t>
            </w:r>
          </w:p>
        </w:tc>
      </w:tr>
      <w:tr w:rsidR="00A81042" w14:paraId="3E46C1A5" w14:textId="77777777" w:rsidTr="00AC6DC8">
        <w:tc>
          <w:tcPr>
            <w:tcW w:w="2912" w:type="dxa"/>
            <w:tcBorders>
              <w:top w:val="single" w:sz="4" w:space="0" w:color="A59C94"/>
              <w:bottom w:val="single" w:sz="4" w:space="0" w:color="A59C94"/>
            </w:tcBorders>
            <w:noWrap/>
            <w:vAlign w:val="bottom"/>
          </w:tcPr>
          <w:p w14:paraId="1B67AE1E" w14:textId="77777777" w:rsidR="00A81042" w:rsidRDefault="00A81042" w:rsidP="00286A1E">
            <w:pPr>
              <w:pStyle w:val="TBodynormalText"/>
            </w:pPr>
            <w:r>
              <w:t>Nutrition &amp; Care</w:t>
            </w:r>
          </w:p>
        </w:tc>
        <w:tc>
          <w:tcPr>
            <w:tcW w:w="119" w:type="dxa"/>
            <w:noWrap/>
            <w:vAlign w:val="bottom"/>
          </w:tcPr>
          <w:p w14:paraId="738F86CB" w14:textId="77777777" w:rsidR="00A81042" w:rsidRDefault="00A81042" w:rsidP="00286A1E">
            <w:pPr>
              <w:pStyle w:val="TBodynormalNumber"/>
              <w:keepNext/>
            </w:pPr>
          </w:p>
        </w:tc>
        <w:tc>
          <w:tcPr>
            <w:tcW w:w="1021" w:type="dxa"/>
            <w:tcBorders>
              <w:top w:val="single" w:sz="4" w:space="0" w:color="A59C94"/>
              <w:bottom w:val="single" w:sz="4" w:space="0" w:color="A59C94"/>
            </w:tcBorders>
            <w:noWrap/>
            <w:vAlign w:val="bottom"/>
          </w:tcPr>
          <w:p w14:paraId="6433080A" w14:textId="77777777" w:rsidR="00A81042" w:rsidRDefault="00A81042" w:rsidP="00286A1E">
            <w:pPr>
              <w:pStyle w:val="TBodynormalNumber"/>
              <w:keepNext/>
            </w:pPr>
            <w:bookmarkStart w:id="11" w:name="SNAMD_c6898640d97245acada087be14a7de32"/>
            <w:r>
              <w:t>1,038</w:t>
            </w:r>
            <w:bookmarkEnd w:id="11"/>
          </w:p>
        </w:tc>
        <w:tc>
          <w:tcPr>
            <w:tcW w:w="119" w:type="dxa"/>
            <w:noWrap/>
            <w:vAlign w:val="bottom"/>
          </w:tcPr>
          <w:p w14:paraId="14C84FDC" w14:textId="77777777" w:rsidR="00A81042" w:rsidRDefault="00A81042" w:rsidP="00286A1E">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63AC77CC" w14:textId="77777777" w:rsidR="00A81042" w:rsidRDefault="00A81042" w:rsidP="00286A1E">
            <w:pPr>
              <w:pStyle w:val="TBodynormalNumber"/>
              <w:keepNext/>
            </w:pPr>
            <w:bookmarkStart w:id="12" w:name="SNAMD_c222bec0aa9e4ab3b2ad2ef9a29e9f41"/>
            <w:r>
              <w:t>886</w:t>
            </w:r>
            <w:bookmarkEnd w:id="12"/>
          </w:p>
        </w:tc>
        <w:tc>
          <w:tcPr>
            <w:tcW w:w="119" w:type="dxa"/>
            <w:noWrap/>
            <w:vAlign w:val="bottom"/>
          </w:tcPr>
          <w:p w14:paraId="6A7CB4E2" w14:textId="77777777" w:rsidR="00A81042" w:rsidRDefault="00A81042" w:rsidP="00286A1E">
            <w:pPr>
              <w:pStyle w:val="TBodynormalNumber"/>
              <w:keepNext/>
            </w:pPr>
          </w:p>
        </w:tc>
        <w:tc>
          <w:tcPr>
            <w:tcW w:w="1021" w:type="dxa"/>
            <w:tcBorders>
              <w:top w:val="single" w:sz="4" w:space="0" w:color="A59C94"/>
              <w:bottom w:val="single" w:sz="4" w:space="0" w:color="A59C94"/>
            </w:tcBorders>
            <w:noWrap/>
            <w:vAlign w:val="bottom"/>
          </w:tcPr>
          <w:p w14:paraId="4D3431E5" w14:textId="77777777" w:rsidR="00A81042" w:rsidRDefault="00A81042" w:rsidP="00286A1E">
            <w:pPr>
              <w:pStyle w:val="TBodynormalNumber"/>
              <w:keepNext/>
            </w:pPr>
            <w:r>
              <w:t>-15</w:t>
            </w:r>
          </w:p>
        </w:tc>
        <w:tc>
          <w:tcPr>
            <w:tcW w:w="119" w:type="dxa"/>
            <w:noWrap/>
            <w:vAlign w:val="bottom"/>
          </w:tcPr>
          <w:p w14:paraId="666AF854" w14:textId="77777777" w:rsidR="00A81042" w:rsidRDefault="00A81042" w:rsidP="00286A1E">
            <w:pPr>
              <w:pStyle w:val="TBodynormalNumber"/>
              <w:keepNext/>
            </w:pPr>
          </w:p>
        </w:tc>
        <w:tc>
          <w:tcPr>
            <w:tcW w:w="1021" w:type="dxa"/>
            <w:tcBorders>
              <w:top w:val="single" w:sz="4" w:space="0" w:color="A59C94"/>
              <w:bottom w:val="single" w:sz="4" w:space="0" w:color="A59C94"/>
            </w:tcBorders>
            <w:noWrap/>
            <w:vAlign w:val="bottom"/>
          </w:tcPr>
          <w:p w14:paraId="30C59C10" w14:textId="77777777" w:rsidR="00A81042" w:rsidRDefault="00A81042" w:rsidP="00286A1E">
            <w:pPr>
              <w:pStyle w:val="TBodynormalNumber"/>
              <w:keepNext/>
            </w:pPr>
            <w:r>
              <w:t>222</w:t>
            </w:r>
          </w:p>
        </w:tc>
        <w:tc>
          <w:tcPr>
            <w:tcW w:w="119" w:type="dxa"/>
            <w:noWrap/>
            <w:vAlign w:val="bottom"/>
          </w:tcPr>
          <w:p w14:paraId="2800DAB8" w14:textId="77777777" w:rsidR="00A81042" w:rsidRDefault="00A81042" w:rsidP="00286A1E">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43D39491" w14:textId="77777777" w:rsidR="00A81042" w:rsidRDefault="00A81042" w:rsidP="00286A1E">
            <w:pPr>
              <w:pStyle w:val="TBodynormalNumber"/>
              <w:keepNext/>
            </w:pPr>
            <w:r>
              <w:t>76</w:t>
            </w:r>
          </w:p>
        </w:tc>
        <w:tc>
          <w:tcPr>
            <w:tcW w:w="119" w:type="dxa"/>
            <w:noWrap/>
            <w:vAlign w:val="bottom"/>
          </w:tcPr>
          <w:p w14:paraId="26F762B5" w14:textId="77777777" w:rsidR="00A81042" w:rsidRDefault="00A81042" w:rsidP="00286A1E">
            <w:pPr>
              <w:pStyle w:val="TBodynormalNumber"/>
              <w:keepNext/>
            </w:pPr>
          </w:p>
        </w:tc>
        <w:tc>
          <w:tcPr>
            <w:tcW w:w="1021" w:type="dxa"/>
            <w:tcBorders>
              <w:top w:val="single" w:sz="4" w:space="0" w:color="A59C94"/>
              <w:bottom w:val="single" w:sz="4" w:space="0" w:color="A59C94"/>
            </w:tcBorders>
            <w:noWrap/>
            <w:vAlign w:val="bottom"/>
          </w:tcPr>
          <w:p w14:paraId="7B928009" w14:textId="77777777" w:rsidR="00A81042" w:rsidRDefault="00A81042" w:rsidP="00286A1E">
            <w:pPr>
              <w:pStyle w:val="TBodynormalNumber"/>
              <w:keepNext/>
            </w:pPr>
            <w:r>
              <w:t>-66</w:t>
            </w:r>
          </w:p>
        </w:tc>
      </w:tr>
      <w:tr w:rsidR="00A81042" w14:paraId="4644D55F" w14:textId="77777777" w:rsidTr="00AC6DC8">
        <w:tc>
          <w:tcPr>
            <w:tcW w:w="2912" w:type="dxa"/>
            <w:tcBorders>
              <w:top w:val="single" w:sz="4" w:space="0" w:color="A59C94"/>
              <w:bottom w:val="single" w:sz="4" w:space="0" w:color="A59C94"/>
            </w:tcBorders>
            <w:noWrap/>
            <w:vAlign w:val="bottom"/>
          </w:tcPr>
          <w:p w14:paraId="3B7FB1D4" w14:textId="77777777" w:rsidR="00A81042" w:rsidRDefault="00A81042" w:rsidP="00286A1E">
            <w:pPr>
              <w:pStyle w:val="TBodynormalText"/>
            </w:pPr>
            <w:r>
              <w:t xml:space="preserve">Smart </w:t>
            </w:r>
            <w:proofErr w:type="spellStart"/>
            <w:r>
              <w:t>Materials</w:t>
            </w:r>
            <w:r>
              <w:rPr>
                <w:vertAlign w:val="superscript"/>
              </w:rPr>
              <w:t>a</w:t>
            </w:r>
            <w:proofErr w:type="spellEnd"/>
          </w:p>
        </w:tc>
        <w:tc>
          <w:tcPr>
            <w:tcW w:w="119" w:type="dxa"/>
            <w:noWrap/>
            <w:vAlign w:val="bottom"/>
          </w:tcPr>
          <w:p w14:paraId="2CD5F885" w14:textId="77777777" w:rsidR="00A81042" w:rsidRDefault="00A81042" w:rsidP="00286A1E">
            <w:pPr>
              <w:pStyle w:val="TBodynormalNumber"/>
              <w:keepNext/>
            </w:pPr>
          </w:p>
        </w:tc>
        <w:tc>
          <w:tcPr>
            <w:tcW w:w="1021" w:type="dxa"/>
            <w:tcBorders>
              <w:top w:val="single" w:sz="4" w:space="0" w:color="A59C94"/>
              <w:bottom w:val="single" w:sz="4" w:space="0" w:color="A59C94"/>
            </w:tcBorders>
            <w:noWrap/>
            <w:vAlign w:val="bottom"/>
          </w:tcPr>
          <w:p w14:paraId="27ABCC60" w14:textId="77777777" w:rsidR="00A81042" w:rsidRDefault="00A81042" w:rsidP="00286A1E">
            <w:pPr>
              <w:pStyle w:val="TBodynormalNumber"/>
              <w:keepNext/>
            </w:pPr>
            <w:r>
              <w:t>1,284</w:t>
            </w:r>
          </w:p>
        </w:tc>
        <w:tc>
          <w:tcPr>
            <w:tcW w:w="119" w:type="dxa"/>
            <w:noWrap/>
            <w:vAlign w:val="bottom"/>
          </w:tcPr>
          <w:p w14:paraId="04CC5259" w14:textId="77777777" w:rsidR="00A81042" w:rsidRDefault="00A81042" w:rsidP="00286A1E">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2D7FE125" w14:textId="77777777" w:rsidR="00A81042" w:rsidRDefault="00A81042" w:rsidP="00286A1E">
            <w:pPr>
              <w:pStyle w:val="TBodynormalNumber"/>
              <w:keepNext/>
            </w:pPr>
            <w:r>
              <w:t>1,188</w:t>
            </w:r>
          </w:p>
        </w:tc>
        <w:tc>
          <w:tcPr>
            <w:tcW w:w="119" w:type="dxa"/>
            <w:noWrap/>
            <w:vAlign w:val="bottom"/>
          </w:tcPr>
          <w:p w14:paraId="1DED26DA" w14:textId="77777777" w:rsidR="00A81042" w:rsidRDefault="00A81042" w:rsidP="00286A1E">
            <w:pPr>
              <w:pStyle w:val="TBodynormalNumber"/>
              <w:keepNext/>
            </w:pPr>
          </w:p>
        </w:tc>
        <w:tc>
          <w:tcPr>
            <w:tcW w:w="1021" w:type="dxa"/>
            <w:tcBorders>
              <w:top w:val="single" w:sz="4" w:space="0" w:color="A59C94"/>
              <w:bottom w:val="single" w:sz="4" w:space="0" w:color="A59C94"/>
            </w:tcBorders>
            <w:noWrap/>
            <w:vAlign w:val="bottom"/>
          </w:tcPr>
          <w:p w14:paraId="2DF84DF1" w14:textId="77777777" w:rsidR="00A81042" w:rsidRDefault="00A81042" w:rsidP="00286A1E">
            <w:pPr>
              <w:pStyle w:val="TBodynormalNumber"/>
              <w:keepNext/>
            </w:pPr>
            <w:r>
              <w:t>-7</w:t>
            </w:r>
          </w:p>
        </w:tc>
        <w:tc>
          <w:tcPr>
            <w:tcW w:w="119" w:type="dxa"/>
            <w:noWrap/>
            <w:vAlign w:val="bottom"/>
          </w:tcPr>
          <w:p w14:paraId="29D2DABD" w14:textId="77777777" w:rsidR="00A81042" w:rsidRDefault="00A81042" w:rsidP="00286A1E">
            <w:pPr>
              <w:pStyle w:val="TBodynormalNumber"/>
              <w:keepNext/>
            </w:pPr>
          </w:p>
        </w:tc>
        <w:tc>
          <w:tcPr>
            <w:tcW w:w="1021" w:type="dxa"/>
            <w:tcBorders>
              <w:top w:val="single" w:sz="4" w:space="0" w:color="A59C94"/>
              <w:bottom w:val="single" w:sz="4" w:space="0" w:color="A59C94"/>
            </w:tcBorders>
            <w:noWrap/>
            <w:vAlign w:val="bottom"/>
          </w:tcPr>
          <w:p w14:paraId="191E4361" w14:textId="77777777" w:rsidR="00A81042" w:rsidRDefault="00A81042" w:rsidP="00286A1E">
            <w:pPr>
              <w:pStyle w:val="TBodynormalNumber"/>
              <w:keepNext/>
            </w:pPr>
            <w:r>
              <w:t>212</w:t>
            </w:r>
          </w:p>
        </w:tc>
        <w:tc>
          <w:tcPr>
            <w:tcW w:w="119" w:type="dxa"/>
            <w:noWrap/>
            <w:vAlign w:val="bottom"/>
          </w:tcPr>
          <w:p w14:paraId="390B94FD" w14:textId="77777777" w:rsidR="00A81042" w:rsidRDefault="00A81042" w:rsidP="00286A1E">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0C5F82F5" w14:textId="77777777" w:rsidR="00A81042" w:rsidRDefault="00A81042" w:rsidP="00286A1E">
            <w:pPr>
              <w:pStyle w:val="TBodynormalNumber"/>
              <w:keepNext/>
            </w:pPr>
            <w:r>
              <w:t>164</w:t>
            </w:r>
          </w:p>
        </w:tc>
        <w:tc>
          <w:tcPr>
            <w:tcW w:w="119" w:type="dxa"/>
            <w:noWrap/>
            <w:vAlign w:val="bottom"/>
          </w:tcPr>
          <w:p w14:paraId="472FAAB3" w14:textId="77777777" w:rsidR="00A81042" w:rsidRDefault="00A81042" w:rsidP="00286A1E">
            <w:pPr>
              <w:pStyle w:val="TBodynormalNumber"/>
              <w:keepNext/>
            </w:pPr>
          </w:p>
        </w:tc>
        <w:tc>
          <w:tcPr>
            <w:tcW w:w="1021" w:type="dxa"/>
            <w:tcBorders>
              <w:top w:val="single" w:sz="4" w:space="0" w:color="A59C94"/>
              <w:bottom w:val="single" w:sz="4" w:space="0" w:color="A59C94"/>
            </w:tcBorders>
            <w:noWrap/>
            <w:vAlign w:val="bottom"/>
          </w:tcPr>
          <w:p w14:paraId="0AB469A0" w14:textId="77777777" w:rsidR="00A81042" w:rsidRDefault="00A81042" w:rsidP="00286A1E">
            <w:pPr>
              <w:pStyle w:val="TBodynormalNumber"/>
              <w:keepNext/>
            </w:pPr>
            <w:r>
              <w:t>-23</w:t>
            </w:r>
          </w:p>
        </w:tc>
      </w:tr>
      <w:tr w:rsidR="00A81042" w14:paraId="624D62CF" w14:textId="77777777" w:rsidTr="00AC6DC8">
        <w:tc>
          <w:tcPr>
            <w:tcW w:w="2912" w:type="dxa"/>
            <w:tcBorders>
              <w:top w:val="single" w:sz="4" w:space="0" w:color="A59C94"/>
              <w:bottom w:val="single" w:sz="4" w:space="0" w:color="A59C94"/>
            </w:tcBorders>
            <w:noWrap/>
            <w:vAlign w:val="bottom"/>
          </w:tcPr>
          <w:p w14:paraId="59BA8AD5" w14:textId="77777777" w:rsidR="00A81042" w:rsidRDefault="00A81042" w:rsidP="00286A1E">
            <w:pPr>
              <w:pStyle w:val="TBodynormalText"/>
            </w:pPr>
            <w:r>
              <w:t xml:space="preserve">Performance </w:t>
            </w:r>
            <w:proofErr w:type="spellStart"/>
            <w:r>
              <w:t>Materials</w:t>
            </w:r>
            <w:r>
              <w:rPr>
                <w:vertAlign w:val="superscript"/>
              </w:rPr>
              <w:t>a</w:t>
            </w:r>
            <w:proofErr w:type="spellEnd"/>
          </w:p>
        </w:tc>
        <w:tc>
          <w:tcPr>
            <w:tcW w:w="119" w:type="dxa"/>
            <w:noWrap/>
            <w:vAlign w:val="bottom"/>
          </w:tcPr>
          <w:p w14:paraId="646CE7BE" w14:textId="77777777" w:rsidR="00A81042" w:rsidRDefault="00A81042" w:rsidP="00286A1E">
            <w:pPr>
              <w:pStyle w:val="TBodynormalNumber"/>
              <w:keepNext/>
            </w:pPr>
          </w:p>
        </w:tc>
        <w:tc>
          <w:tcPr>
            <w:tcW w:w="1021" w:type="dxa"/>
            <w:tcBorders>
              <w:top w:val="single" w:sz="4" w:space="0" w:color="A59C94"/>
              <w:bottom w:val="single" w:sz="4" w:space="0" w:color="A59C94"/>
            </w:tcBorders>
            <w:noWrap/>
            <w:vAlign w:val="bottom"/>
          </w:tcPr>
          <w:p w14:paraId="4103401C" w14:textId="77777777" w:rsidR="00A81042" w:rsidRDefault="00A81042" w:rsidP="00286A1E">
            <w:pPr>
              <w:pStyle w:val="TBodynormalNumber"/>
              <w:keepNext/>
            </w:pPr>
            <w:r>
              <w:t>844</w:t>
            </w:r>
          </w:p>
        </w:tc>
        <w:tc>
          <w:tcPr>
            <w:tcW w:w="119" w:type="dxa"/>
            <w:noWrap/>
            <w:vAlign w:val="bottom"/>
          </w:tcPr>
          <w:p w14:paraId="34BF5514" w14:textId="77777777" w:rsidR="00A81042" w:rsidRDefault="00A81042" w:rsidP="00286A1E">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2B2FB11D" w14:textId="77777777" w:rsidR="00A81042" w:rsidRDefault="00A81042" w:rsidP="00286A1E">
            <w:pPr>
              <w:pStyle w:val="TBodynormalNumber"/>
              <w:keepNext/>
            </w:pPr>
            <w:r>
              <w:t>707</w:t>
            </w:r>
          </w:p>
        </w:tc>
        <w:tc>
          <w:tcPr>
            <w:tcW w:w="119" w:type="dxa"/>
            <w:noWrap/>
            <w:vAlign w:val="bottom"/>
          </w:tcPr>
          <w:p w14:paraId="5FAA7EFF" w14:textId="77777777" w:rsidR="00A81042" w:rsidRDefault="00A81042" w:rsidP="00286A1E">
            <w:pPr>
              <w:pStyle w:val="TBodynormalNumber"/>
              <w:keepNext/>
            </w:pPr>
          </w:p>
        </w:tc>
        <w:tc>
          <w:tcPr>
            <w:tcW w:w="1021" w:type="dxa"/>
            <w:tcBorders>
              <w:top w:val="single" w:sz="4" w:space="0" w:color="A59C94"/>
              <w:bottom w:val="single" w:sz="4" w:space="0" w:color="A59C94"/>
            </w:tcBorders>
            <w:noWrap/>
            <w:vAlign w:val="bottom"/>
          </w:tcPr>
          <w:p w14:paraId="2AD6F832" w14:textId="77777777" w:rsidR="00A81042" w:rsidRDefault="00A81042" w:rsidP="00286A1E">
            <w:pPr>
              <w:pStyle w:val="TBodynormalNumber"/>
              <w:keepNext/>
            </w:pPr>
            <w:r>
              <w:t>-16</w:t>
            </w:r>
          </w:p>
        </w:tc>
        <w:tc>
          <w:tcPr>
            <w:tcW w:w="119" w:type="dxa"/>
            <w:noWrap/>
            <w:vAlign w:val="bottom"/>
          </w:tcPr>
          <w:p w14:paraId="13FC5DCC" w14:textId="77777777" w:rsidR="00A81042" w:rsidRDefault="00A81042" w:rsidP="00286A1E">
            <w:pPr>
              <w:pStyle w:val="TBodynormalNumber"/>
              <w:keepNext/>
            </w:pPr>
          </w:p>
        </w:tc>
        <w:tc>
          <w:tcPr>
            <w:tcW w:w="1021" w:type="dxa"/>
            <w:tcBorders>
              <w:top w:val="single" w:sz="4" w:space="0" w:color="A59C94"/>
              <w:bottom w:val="single" w:sz="4" w:space="0" w:color="A59C94"/>
            </w:tcBorders>
            <w:noWrap/>
            <w:vAlign w:val="bottom"/>
          </w:tcPr>
          <w:p w14:paraId="53A72776" w14:textId="77777777" w:rsidR="00A81042" w:rsidRDefault="00A81042" w:rsidP="00286A1E">
            <w:pPr>
              <w:pStyle w:val="TBodynormalNumber"/>
              <w:keepNext/>
            </w:pPr>
            <w:r>
              <w:t>82</w:t>
            </w:r>
          </w:p>
        </w:tc>
        <w:tc>
          <w:tcPr>
            <w:tcW w:w="119" w:type="dxa"/>
            <w:noWrap/>
            <w:vAlign w:val="bottom"/>
          </w:tcPr>
          <w:p w14:paraId="4EA1B73A" w14:textId="77777777" w:rsidR="00A81042" w:rsidRDefault="00A81042" w:rsidP="00286A1E">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2CFF1259" w14:textId="77777777" w:rsidR="00A81042" w:rsidRDefault="00A81042" w:rsidP="00286A1E">
            <w:pPr>
              <w:pStyle w:val="TBodynormalNumber"/>
              <w:keepNext/>
            </w:pPr>
            <w:r>
              <w:t>37</w:t>
            </w:r>
          </w:p>
        </w:tc>
        <w:tc>
          <w:tcPr>
            <w:tcW w:w="119" w:type="dxa"/>
            <w:noWrap/>
            <w:vAlign w:val="bottom"/>
          </w:tcPr>
          <w:p w14:paraId="506FB7D9" w14:textId="77777777" w:rsidR="00A81042" w:rsidRDefault="00A81042" w:rsidP="00286A1E">
            <w:pPr>
              <w:pStyle w:val="TBodynormalNumber"/>
              <w:keepNext/>
            </w:pPr>
          </w:p>
        </w:tc>
        <w:tc>
          <w:tcPr>
            <w:tcW w:w="1021" w:type="dxa"/>
            <w:tcBorders>
              <w:top w:val="single" w:sz="4" w:space="0" w:color="A59C94"/>
              <w:bottom w:val="single" w:sz="4" w:space="0" w:color="A59C94"/>
            </w:tcBorders>
            <w:noWrap/>
            <w:vAlign w:val="bottom"/>
          </w:tcPr>
          <w:p w14:paraId="68ECDFAA" w14:textId="77777777" w:rsidR="00A81042" w:rsidRDefault="00A81042" w:rsidP="00286A1E">
            <w:pPr>
              <w:pStyle w:val="TBodynormalNumber"/>
              <w:keepNext/>
            </w:pPr>
            <w:r>
              <w:t>-55</w:t>
            </w:r>
          </w:p>
        </w:tc>
      </w:tr>
      <w:tr w:rsidR="00A81042" w14:paraId="22AE399E" w14:textId="77777777" w:rsidTr="00AC6DC8">
        <w:tc>
          <w:tcPr>
            <w:tcW w:w="2912" w:type="dxa"/>
            <w:tcBorders>
              <w:top w:val="single" w:sz="4" w:space="0" w:color="A59C94"/>
              <w:bottom w:val="single" w:sz="4" w:space="0" w:color="A59C94"/>
            </w:tcBorders>
            <w:noWrap/>
            <w:vAlign w:val="bottom"/>
          </w:tcPr>
          <w:p w14:paraId="4DD4882C" w14:textId="77777777" w:rsidR="00A81042" w:rsidRDefault="00A81042" w:rsidP="00286A1E">
            <w:pPr>
              <w:pStyle w:val="TBodynormalText"/>
            </w:pPr>
            <w:r>
              <w:t>Technology &amp; Infrastructure</w:t>
            </w:r>
          </w:p>
        </w:tc>
        <w:tc>
          <w:tcPr>
            <w:tcW w:w="119" w:type="dxa"/>
            <w:noWrap/>
            <w:vAlign w:val="bottom"/>
          </w:tcPr>
          <w:p w14:paraId="6D78EC2E" w14:textId="77777777" w:rsidR="00A81042" w:rsidRDefault="00A81042" w:rsidP="00286A1E">
            <w:pPr>
              <w:pStyle w:val="TBodynormalNumber"/>
              <w:keepNext/>
            </w:pPr>
          </w:p>
        </w:tc>
        <w:tc>
          <w:tcPr>
            <w:tcW w:w="1021" w:type="dxa"/>
            <w:tcBorders>
              <w:top w:val="single" w:sz="4" w:space="0" w:color="A59C94"/>
              <w:bottom w:val="single" w:sz="4" w:space="0" w:color="A59C94"/>
            </w:tcBorders>
            <w:noWrap/>
            <w:vAlign w:val="bottom"/>
          </w:tcPr>
          <w:p w14:paraId="530985A3" w14:textId="77777777" w:rsidR="00A81042" w:rsidRDefault="00A81042" w:rsidP="00286A1E">
            <w:pPr>
              <w:pStyle w:val="TBodynormalNumber"/>
              <w:keepNext/>
            </w:pPr>
            <w:r>
              <w:t>271</w:t>
            </w:r>
          </w:p>
        </w:tc>
        <w:tc>
          <w:tcPr>
            <w:tcW w:w="119" w:type="dxa"/>
            <w:noWrap/>
            <w:vAlign w:val="bottom"/>
          </w:tcPr>
          <w:p w14:paraId="2F58B1D5" w14:textId="77777777" w:rsidR="00A81042" w:rsidRDefault="00A81042" w:rsidP="00286A1E">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78AAF644" w14:textId="77777777" w:rsidR="00A81042" w:rsidRDefault="00A81042" w:rsidP="00286A1E">
            <w:pPr>
              <w:pStyle w:val="TBodynormalNumber"/>
              <w:keepNext/>
            </w:pPr>
            <w:r>
              <w:t>292</w:t>
            </w:r>
          </w:p>
        </w:tc>
        <w:tc>
          <w:tcPr>
            <w:tcW w:w="119" w:type="dxa"/>
            <w:noWrap/>
            <w:vAlign w:val="bottom"/>
          </w:tcPr>
          <w:p w14:paraId="51B69041" w14:textId="77777777" w:rsidR="00A81042" w:rsidRDefault="00A81042" w:rsidP="00286A1E">
            <w:pPr>
              <w:pStyle w:val="TBodynormalNumber"/>
              <w:keepNext/>
            </w:pPr>
          </w:p>
        </w:tc>
        <w:tc>
          <w:tcPr>
            <w:tcW w:w="1021" w:type="dxa"/>
            <w:tcBorders>
              <w:top w:val="single" w:sz="4" w:space="0" w:color="A59C94"/>
              <w:bottom w:val="single" w:sz="4" w:space="0" w:color="A59C94"/>
            </w:tcBorders>
            <w:noWrap/>
            <w:vAlign w:val="bottom"/>
          </w:tcPr>
          <w:p w14:paraId="63C8E9B3" w14:textId="77777777" w:rsidR="00A81042" w:rsidRDefault="00A81042" w:rsidP="00286A1E">
            <w:pPr>
              <w:pStyle w:val="TBodynormalNumber"/>
              <w:keepNext/>
            </w:pPr>
            <w:r>
              <w:t>8</w:t>
            </w:r>
          </w:p>
        </w:tc>
        <w:tc>
          <w:tcPr>
            <w:tcW w:w="119" w:type="dxa"/>
            <w:noWrap/>
            <w:vAlign w:val="bottom"/>
          </w:tcPr>
          <w:p w14:paraId="2DBA5AEF" w14:textId="77777777" w:rsidR="00A81042" w:rsidRDefault="00A81042" w:rsidP="00286A1E">
            <w:pPr>
              <w:pStyle w:val="TBodynormalNumber"/>
              <w:keepNext/>
            </w:pPr>
          </w:p>
        </w:tc>
        <w:tc>
          <w:tcPr>
            <w:tcW w:w="1021" w:type="dxa"/>
            <w:tcBorders>
              <w:top w:val="single" w:sz="4" w:space="0" w:color="A59C94"/>
              <w:bottom w:val="single" w:sz="4" w:space="0" w:color="A59C94"/>
            </w:tcBorders>
            <w:noWrap/>
            <w:vAlign w:val="bottom"/>
          </w:tcPr>
          <w:p w14:paraId="613F53AC" w14:textId="77777777" w:rsidR="00A81042" w:rsidRDefault="00A81042" w:rsidP="00286A1E">
            <w:pPr>
              <w:pStyle w:val="TBodynormalNumber"/>
              <w:keepNext/>
            </w:pPr>
            <w:r>
              <w:t>35</w:t>
            </w:r>
          </w:p>
        </w:tc>
        <w:tc>
          <w:tcPr>
            <w:tcW w:w="119" w:type="dxa"/>
            <w:noWrap/>
            <w:vAlign w:val="bottom"/>
          </w:tcPr>
          <w:p w14:paraId="5579C6F3" w14:textId="77777777" w:rsidR="00A81042" w:rsidRDefault="00A81042" w:rsidP="00286A1E">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3BD22D79" w14:textId="77777777" w:rsidR="00A81042" w:rsidRDefault="00A81042" w:rsidP="00286A1E">
            <w:pPr>
              <w:pStyle w:val="TBodynormalNumber"/>
              <w:keepNext/>
            </w:pPr>
            <w:r>
              <w:t>34</w:t>
            </w:r>
          </w:p>
        </w:tc>
        <w:tc>
          <w:tcPr>
            <w:tcW w:w="119" w:type="dxa"/>
            <w:noWrap/>
            <w:vAlign w:val="bottom"/>
          </w:tcPr>
          <w:p w14:paraId="09274298" w14:textId="77777777" w:rsidR="00A81042" w:rsidRDefault="00A81042" w:rsidP="00286A1E">
            <w:pPr>
              <w:pStyle w:val="TBodynormalNumber"/>
              <w:keepNext/>
            </w:pPr>
          </w:p>
        </w:tc>
        <w:tc>
          <w:tcPr>
            <w:tcW w:w="1021" w:type="dxa"/>
            <w:tcBorders>
              <w:top w:val="single" w:sz="4" w:space="0" w:color="A59C94"/>
              <w:bottom w:val="single" w:sz="4" w:space="0" w:color="A59C94"/>
            </w:tcBorders>
            <w:noWrap/>
            <w:vAlign w:val="bottom"/>
          </w:tcPr>
          <w:p w14:paraId="42326735" w14:textId="77777777" w:rsidR="00A81042" w:rsidRDefault="00A81042" w:rsidP="00286A1E">
            <w:pPr>
              <w:pStyle w:val="TBodynormalNumber"/>
              <w:keepNext/>
            </w:pPr>
            <w:r>
              <w:t>-3</w:t>
            </w:r>
          </w:p>
        </w:tc>
      </w:tr>
      <w:tr w:rsidR="00A81042" w14:paraId="027DA29D" w14:textId="77777777" w:rsidTr="00AC6DC8">
        <w:tc>
          <w:tcPr>
            <w:tcW w:w="2912" w:type="dxa"/>
            <w:tcBorders>
              <w:top w:val="single" w:sz="4" w:space="0" w:color="A59C94"/>
              <w:bottom w:val="single" w:sz="4" w:space="0" w:color="A59C94"/>
            </w:tcBorders>
            <w:noWrap/>
            <w:vAlign w:val="bottom"/>
          </w:tcPr>
          <w:p w14:paraId="10E52251" w14:textId="77777777" w:rsidR="00A81042" w:rsidRPr="00F77A01" w:rsidRDefault="00A81042" w:rsidP="00286A1E">
            <w:pPr>
              <w:pStyle w:val="TBodynormalText"/>
              <w:rPr>
                <w:lang w:val="en-US"/>
              </w:rPr>
            </w:pPr>
            <w:r w:rsidRPr="00513F30">
              <w:rPr>
                <w:lang w:val="en-US"/>
              </w:rPr>
              <w:t>Enabling Functions, Other Activities, Consolidation</w:t>
            </w:r>
          </w:p>
        </w:tc>
        <w:tc>
          <w:tcPr>
            <w:tcW w:w="119" w:type="dxa"/>
            <w:noWrap/>
            <w:vAlign w:val="bottom"/>
          </w:tcPr>
          <w:p w14:paraId="41622E94" w14:textId="77777777" w:rsidR="00A81042" w:rsidRPr="00F77A01" w:rsidRDefault="00A81042" w:rsidP="00286A1E">
            <w:pPr>
              <w:pStyle w:val="TBodynormalNumber"/>
              <w:keepNext/>
              <w:rPr>
                <w:lang w:val="en-US"/>
              </w:rPr>
            </w:pPr>
          </w:p>
        </w:tc>
        <w:tc>
          <w:tcPr>
            <w:tcW w:w="1021" w:type="dxa"/>
            <w:tcBorders>
              <w:top w:val="single" w:sz="4" w:space="0" w:color="A59C94"/>
              <w:bottom w:val="single" w:sz="4" w:space="0" w:color="A59C94"/>
            </w:tcBorders>
            <w:noWrap/>
            <w:vAlign w:val="bottom"/>
          </w:tcPr>
          <w:p w14:paraId="6EA1C399" w14:textId="77777777" w:rsidR="00A81042" w:rsidRDefault="00A81042" w:rsidP="00286A1E">
            <w:pPr>
              <w:pStyle w:val="TBodynormalNumber"/>
              <w:keepNext/>
            </w:pPr>
            <w:r>
              <w:t>12</w:t>
            </w:r>
          </w:p>
        </w:tc>
        <w:tc>
          <w:tcPr>
            <w:tcW w:w="119" w:type="dxa"/>
            <w:noWrap/>
            <w:vAlign w:val="bottom"/>
          </w:tcPr>
          <w:p w14:paraId="4ED9AAA2" w14:textId="77777777" w:rsidR="00A81042" w:rsidRDefault="00A81042" w:rsidP="00286A1E">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0F73F1FB" w14:textId="77777777" w:rsidR="00A81042" w:rsidRDefault="00A81042" w:rsidP="00286A1E">
            <w:pPr>
              <w:pStyle w:val="TBodynormalNumber"/>
              <w:keepNext/>
            </w:pPr>
            <w:r>
              <w:t>11</w:t>
            </w:r>
          </w:p>
        </w:tc>
        <w:tc>
          <w:tcPr>
            <w:tcW w:w="119" w:type="dxa"/>
            <w:noWrap/>
            <w:vAlign w:val="bottom"/>
          </w:tcPr>
          <w:p w14:paraId="6E16D796" w14:textId="77777777" w:rsidR="00A81042" w:rsidRDefault="00A81042" w:rsidP="00286A1E">
            <w:pPr>
              <w:pStyle w:val="TBodynormalNumber"/>
              <w:keepNext/>
            </w:pPr>
          </w:p>
        </w:tc>
        <w:tc>
          <w:tcPr>
            <w:tcW w:w="1021" w:type="dxa"/>
            <w:tcBorders>
              <w:top w:val="single" w:sz="4" w:space="0" w:color="A59C94"/>
              <w:bottom w:val="single" w:sz="4" w:space="0" w:color="A59C94"/>
            </w:tcBorders>
            <w:noWrap/>
            <w:vAlign w:val="bottom"/>
          </w:tcPr>
          <w:p w14:paraId="7D59988A" w14:textId="77777777" w:rsidR="00A81042" w:rsidRDefault="00A81042" w:rsidP="00286A1E">
            <w:pPr>
              <w:pStyle w:val="TBodynormalNumber"/>
              <w:keepNext/>
            </w:pPr>
            <w:r>
              <w:t>-8</w:t>
            </w:r>
          </w:p>
        </w:tc>
        <w:tc>
          <w:tcPr>
            <w:tcW w:w="119" w:type="dxa"/>
            <w:noWrap/>
            <w:vAlign w:val="bottom"/>
          </w:tcPr>
          <w:p w14:paraId="713DDA7E" w14:textId="77777777" w:rsidR="00A81042" w:rsidRDefault="00A81042" w:rsidP="00286A1E">
            <w:pPr>
              <w:pStyle w:val="TBodynormalNumber"/>
              <w:keepNext/>
            </w:pPr>
          </w:p>
        </w:tc>
        <w:tc>
          <w:tcPr>
            <w:tcW w:w="1021" w:type="dxa"/>
            <w:tcBorders>
              <w:top w:val="single" w:sz="4" w:space="0" w:color="A59C94"/>
              <w:bottom w:val="single" w:sz="4" w:space="0" w:color="A59C94"/>
            </w:tcBorders>
            <w:noWrap/>
            <w:vAlign w:val="bottom"/>
          </w:tcPr>
          <w:p w14:paraId="6CF4176C" w14:textId="77777777" w:rsidR="00A81042" w:rsidRDefault="00A81042" w:rsidP="00286A1E">
            <w:pPr>
              <w:pStyle w:val="TBodynormalNumber"/>
              <w:keepNext/>
            </w:pPr>
            <w:r>
              <w:t>-68</w:t>
            </w:r>
          </w:p>
        </w:tc>
        <w:tc>
          <w:tcPr>
            <w:tcW w:w="119" w:type="dxa"/>
            <w:noWrap/>
            <w:vAlign w:val="bottom"/>
          </w:tcPr>
          <w:p w14:paraId="6B33699E" w14:textId="77777777" w:rsidR="00A81042" w:rsidRDefault="00A81042" w:rsidP="00286A1E">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2E67B515" w14:textId="77777777" w:rsidR="00A81042" w:rsidRDefault="00A81042" w:rsidP="00286A1E">
            <w:pPr>
              <w:pStyle w:val="TBodynormalNumber"/>
              <w:keepNext/>
            </w:pPr>
            <w:r>
              <w:t>-70</w:t>
            </w:r>
          </w:p>
        </w:tc>
        <w:tc>
          <w:tcPr>
            <w:tcW w:w="119" w:type="dxa"/>
            <w:noWrap/>
            <w:vAlign w:val="bottom"/>
          </w:tcPr>
          <w:p w14:paraId="5B9AA2A5" w14:textId="77777777" w:rsidR="00A81042" w:rsidRDefault="00A81042" w:rsidP="00286A1E">
            <w:pPr>
              <w:pStyle w:val="TBodynormalNumber"/>
              <w:keepNext/>
            </w:pPr>
          </w:p>
        </w:tc>
        <w:tc>
          <w:tcPr>
            <w:tcW w:w="1021" w:type="dxa"/>
            <w:tcBorders>
              <w:top w:val="single" w:sz="4" w:space="0" w:color="A59C94"/>
              <w:bottom w:val="single" w:sz="4" w:space="0" w:color="A59C94"/>
            </w:tcBorders>
            <w:noWrap/>
            <w:vAlign w:val="bottom"/>
          </w:tcPr>
          <w:p w14:paraId="565E80BC" w14:textId="77777777" w:rsidR="00A81042" w:rsidRDefault="00A81042" w:rsidP="00286A1E">
            <w:pPr>
              <w:pStyle w:val="TBodynormalNumber"/>
              <w:keepNext/>
            </w:pPr>
            <w:r>
              <w:t>-3</w:t>
            </w:r>
          </w:p>
        </w:tc>
      </w:tr>
      <w:tr w:rsidR="00A81042" w14:paraId="122FA611" w14:textId="77777777" w:rsidTr="00AC6DC8">
        <w:tc>
          <w:tcPr>
            <w:tcW w:w="2912" w:type="dxa"/>
            <w:tcBorders>
              <w:top w:val="single" w:sz="4" w:space="0" w:color="A59C94"/>
              <w:bottom w:val="single" w:sz="16" w:space="0" w:color="991D85"/>
            </w:tcBorders>
            <w:noWrap/>
            <w:vAlign w:val="bottom"/>
          </w:tcPr>
          <w:p w14:paraId="28D40D3F" w14:textId="77777777" w:rsidR="00A81042" w:rsidRDefault="00A81042" w:rsidP="00286A1E">
            <w:pPr>
              <w:pStyle w:val="TBodytotalText"/>
            </w:pPr>
            <w:bookmarkStart w:id="13" w:name="RANGE!B33:N33"/>
            <w:bookmarkEnd w:id="13"/>
            <w:r>
              <w:t>Evonik Group</w:t>
            </w:r>
          </w:p>
        </w:tc>
        <w:tc>
          <w:tcPr>
            <w:tcW w:w="119" w:type="dxa"/>
            <w:tcBorders>
              <w:bottom w:val="single" w:sz="16" w:space="0" w:color="991D85"/>
            </w:tcBorders>
            <w:noWrap/>
            <w:vAlign w:val="bottom"/>
          </w:tcPr>
          <w:p w14:paraId="6A0CE3CE" w14:textId="77777777" w:rsidR="00A81042" w:rsidRDefault="00A81042" w:rsidP="00286A1E">
            <w:pPr>
              <w:pStyle w:val="TBodytotalNumber"/>
            </w:pPr>
          </w:p>
        </w:tc>
        <w:tc>
          <w:tcPr>
            <w:tcW w:w="1021" w:type="dxa"/>
            <w:tcBorders>
              <w:top w:val="single" w:sz="4" w:space="0" w:color="A59C94"/>
              <w:bottom w:val="single" w:sz="16" w:space="0" w:color="991D85"/>
            </w:tcBorders>
            <w:noWrap/>
            <w:vAlign w:val="bottom"/>
          </w:tcPr>
          <w:p w14:paraId="0B8C5657" w14:textId="77777777" w:rsidR="00A81042" w:rsidRDefault="00A81042" w:rsidP="00286A1E">
            <w:pPr>
              <w:pStyle w:val="TBodytotalNumber"/>
            </w:pPr>
            <w:r>
              <w:t>4,498</w:t>
            </w:r>
          </w:p>
        </w:tc>
        <w:tc>
          <w:tcPr>
            <w:tcW w:w="119" w:type="dxa"/>
            <w:tcBorders>
              <w:bottom w:val="single" w:sz="16" w:space="0" w:color="991D85"/>
            </w:tcBorders>
            <w:noWrap/>
            <w:vAlign w:val="bottom"/>
          </w:tcPr>
          <w:p w14:paraId="21D90ECA" w14:textId="77777777" w:rsidR="00A81042" w:rsidRDefault="00A81042" w:rsidP="00286A1E">
            <w:pPr>
              <w:pStyle w:val="TBodytotalNumber"/>
            </w:pPr>
          </w:p>
        </w:tc>
        <w:tc>
          <w:tcPr>
            <w:tcW w:w="1021" w:type="dxa"/>
            <w:tcBorders>
              <w:top w:val="single" w:sz="4" w:space="0" w:color="A59C94"/>
              <w:bottom w:val="single" w:sz="16" w:space="0" w:color="991D85"/>
            </w:tcBorders>
            <w:shd w:val="clear" w:color="000000" w:fill="DAD5C9"/>
            <w:noWrap/>
            <w:vAlign w:val="bottom"/>
          </w:tcPr>
          <w:p w14:paraId="1F19244A" w14:textId="77777777" w:rsidR="00A81042" w:rsidRDefault="00A81042" w:rsidP="00286A1E">
            <w:pPr>
              <w:pStyle w:val="TBodytotalNumber"/>
            </w:pPr>
            <w:r>
              <w:t>4,005</w:t>
            </w:r>
          </w:p>
        </w:tc>
        <w:tc>
          <w:tcPr>
            <w:tcW w:w="119" w:type="dxa"/>
            <w:tcBorders>
              <w:bottom w:val="single" w:sz="16" w:space="0" w:color="991D85"/>
            </w:tcBorders>
            <w:noWrap/>
            <w:vAlign w:val="bottom"/>
          </w:tcPr>
          <w:p w14:paraId="2291FA9C" w14:textId="77777777" w:rsidR="00A81042" w:rsidRDefault="00A81042" w:rsidP="00286A1E">
            <w:pPr>
              <w:pStyle w:val="TBodytotalNumber"/>
            </w:pPr>
          </w:p>
        </w:tc>
        <w:tc>
          <w:tcPr>
            <w:tcW w:w="1021" w:type="dxa"/>
            <w:tcBorders>
              <w:top w:val="single" w:sz="4" w:space="0" w:color="A59C94"/>
              <w:bottom w:val="single" w:sz="16" w:space="0" w:color="991D85"/>
            </w:tcBorders>
            <w:noWrap/>
            <w:vAlign w:val="bottom"/>
          </w:tcPr>
          <w:p w14:paraId="5547F056" w14:textId="77777777" w:rsidR="00A81042" w:rsidRDefault="00A81042" w:rsidP="00286A1E">
            <w:pPr>
              <w:pStyle w:val="TBodytotalNumber"/>
            </w:pPr>
            <w:r>
              <w:t>-11</w:t>
            </w:r>
          </w:p>
        </w:tc>
        <w:tc>
          <w:tcPr>
            <w:tcW w:w="119" w:type="dxa"/>
            <w:tcBorders>
              <w:bottom w:val="single" w:sz="16" w:space="0" w:color="991D85"/>
            </w:tcBorders>
            <w:noWrap/>
            <w:vAlign w:val="bottom"/>
          </w:tcPr>
          <w:p w14:paraId="43DBFFE3" w14:textId="77777777" w:rsidR="00A81042" w:rsidRDefault="00A81042" w:rsidP="00286A1E">
            <w:pPr>
              <w:pStyle w:val="TBodytotalNumber"/>
            </w:pPr>
          </w:p>
        </w:tc>
        <w:tc>
          <w:tcPr>
            <w:tcW w:w="1021" w:type="dxa"/>
            <w:tcBorders>
              <w:top w:val="single" w:sz="4" w:space="0" w:color="A59C94"/>
              <w:bottom w:val="single" w:sz="16" w:space="0" w:color="991D85"/>
            </w:tcBorders>
            <w:noWrap/>
            <w:vAlign w:val="bottom"/>
          </w:tcPr>
          <w:p w14:paraId="69F48FD6" w14:textId="77777777" w:rsidR="00A81042" w:rsidRDefault="00A81042" w:rsidP="00286A1E">
            <w:pPr>
              <w:pStyle w:val="TBodytotalNumber"/>
            </w:pPr>
            <w:r>
              <w:t>735</w:t>
            </w:r>
          </w:p>
        </w:tc>
        <w:tc>
          <w:tcPr>
            <w:tcW w:w="119" w:type="dxa"/>
            <w:tcBorders>
              <w:bottom w:val="single" w:sz="16" w:space="0" w:color="991D85"/>
            </w:tcBorders>
            <w:noWrap/>
            <w:vAlign w:val="bottom"/>
          </w:tcPr>
          <w:p w14:paraId="663F05EB" w14:textId="77777777" w:rsidR="00A81042" w:rsidRDefault="00A81042" w:rsidP="00286A1E">
            <w:pPr>
              <w:pStyle w:val="TBodytotalNumber"/>
            </w:pPr>
          </w:p>
        </w:tc>
        <w:tc>
          <w:tcPr>
            <w:tcW w:w="1021" w:type="dxa"/>
            <w:tcBorders>
              <w:top w:val="single" w:sz="4" w:space="0" w:color="A59C94"/>
              <w:bottom w:val="single" w:sz="16" w:space="0" w:color="991D85"/>
            </w:tcBorders>
            <w:shd w:val="clear" w:color="000000" w:fill="DAD5C9"/>
            <w:noWrap/>
            <w:vAlign w:val="bottom"/>
          </w:tcPr>
          <w:p w14:paraId="1AD2E7E8" w14:textId="77777777" w:rsidR="00A81042" w:rsidRDefault="00A81042" w:rsidP="00286A1E">
            <w:pPr>
              <w:pStyle w:val="TBodytotalNumber"/>
            </w:pPr>
            <w:r>
              <w:t>409</w:t>
            </w:r>
          </w:p>
        </w:tc>
        <w:tc>
          <w:tcPr>
            <w:tcW w:w="119" w:type="dxa"/>
            <w:tcBorders>
              <w:bottom w:val="single" w:sz="16" w:space="0" w:color="991D85"/>
            </w:tcBorders>
            <w:noWrap/>
            <w:vAlign w:val="bottom"/>
          </w:tcPr>
          <w:p w14:paraId="28177976" w14:textId="77777777" w:rsidR="00A81042" w:rsidRDefault="00A81042" w:rsidP="00286A1E">
            <w:pPr>
              <w:pStyle w:val="TBodytotalNumber"/>
            </w:pPr>
          </w:p>
        </w:tc>
        <w:tc>
          <w:tcPr>
            <w:tcW w:w="1021" w:type="dxa"/>
            <w:tcBorders>
              <w:top w:val="single" w:sz="4" w:space="0" w:color="A59C94"/>
              <w:bottom w:val="single" w:sz="16" w:space="0" w:color="991D85"/>
            </w:tcBorders>
            <w:noWrap/>
            <w:vAlign w:val="bottom"/>
          </w:tcPr>
          <w:p w14:paraId="279B76F7" w14:textId="77777777" w:rsidR="00A81042" w:rsidRDefault="00A81042" w:rsidP="00286A1E">
            <w:pPr>
              <w:pStyle w:val="TBodytotalNumber"/>
            </w:pPr>
            <w:r>
              <w:t>-44</w:t>
            </w:r>
          </w:p>
        </w:tc>
      </w:tr>
    </w:tbl>
    <w:bookmarkEnd w:id="1"/>
    <w:p w14:paraId="000BE34E" w14:textId="77777777" w:rsidR="00AC6DC8" w:rsidRPr="000F7540" w:rsidRDefault="00AC6DC8" w:rsidP="00AC6DC8">
      <w:pPr>
        <w:pStyle w:val="SNEvonikTabellenfu"/>
      </w:pPr>
      <w:r w:rsidRPr="000F7540">
        <w:rPr>
          <w:vertAlign w:val="superscript"/>
        </w:rPr>
        <w:t>a</w:t>
      </w:r>
      <w:r w:rsidRPr="000F7540">
        <w:t xml:space="preserve"> Prior-year figures re</w:t>
      </w:r>
      <w:r>
        <w:t>stated.</w:t>
      </w:r>
    </w:p>
    <w:p w14:paraId="5E9D4C7A" w14:textId="77777777" w:rsidR="00A81042" w:rsidRDefault="00A81042" w:rsidP="0043547E">
      <w:pPr>
        <w:rPr>
          <w:lang w:val="en-US"/>
        </w:rPr>
      </w:pPr>
    </w:p>
    <w:tbl>
      <w:tblPr>
        <w:tblW w:w="9752" w:type="dxa"/>
        <w:tblLayout w:type="fixed"/>
        <w:tblCellMar>
          <w:left w:w="0" w:type="dxa"/>
          <w:right w:w="0" w:type="dxa"/>
        </w:tblCellMar>
        <w:tblLook w:val="04A0" w:firstRow="1" w:lastRow="0" w:firstColumn="1" w:lastColumn="0" w:noHBand="0" w:noVBand="1"/>
        <w:tblCaption w:val="Pressemitteilung - Tabelle en!outarea_mitarbeiter"/>
        <w:tblDescription w:val="SNEID_ff49204d453a430193fb198056f74b99"/>
      </w:tblPr>
      <w:tblGrid>
        <w:gridCol w:w="7472"/>
        <w:gridCol w:w="119"/>
        <w:gridCol w:w="1021"/>
        <w:gridCol w:w="119"/>
        <w:gridCol w:w="1021"/>
      </w:tblGrid>
      <w:tr w:rsidR="0049665B" w14:paraId="094C5B3C" w14:textId="77777777" w:rsidTr="00286A1E">
        <w:tc>
          <w:tcPr>
            <w:tcW w:w="7472" w:type="dxa"/>
            <w:noWrap/>
            <w:vAlign w:val="bottom"/>
          </w:tcPr>
          <w:p w14:paraId="773B99BC" w14:textId="77777777" w:rsidR="0049665B" w:rsidRDefault="0049665B" w:rsidP="00286A1E">
            <w:pPr>
              <w:pStyle w:val="TTitleText"/>
            </w:pPr>
            <w:bookmarkStart w:id="14" w:name="SNEID_ff49204d453a430193fb198056f74b99"/>
            <w:r>
              <w:t>Employees by division</w:t>
            </w:r>
          </w:p>
        </w:tc>
        <w:tc>
          <w:tcPr>
            <w:tcW w:w="119" w:type="dxa"/>
            <w:noWrap/>
            <w:vAlign w:val="bottom"/>
          </w:tcPr>
          <w:p w14:paraId="4485A972" w14:textId="77777777" w:rsidR="0049665B" w:rsidRDefault="0049665B" w:rsidP="00286A1E">
            <w:pPr>
              <w:pStyle w:val="TTitleText"/>
            </w:pPr>
          </w:p>
        </w:tc>
        <w:tc>
          <w:tcPr>
            <w:tcW w:w="1021" w:type="dxa"/>
            <w:noWrap/>
            <w:vAlign w:val="bottom"/>
          </w:tcPr>
          <w:p w14:paraId="56C266D6" w14:textId="77777777" w:rsidR="0049665B" w:rsidRDefault="0049665B" w:rsidP="00286A1E">
            <w:pPr>
              <w:pStyle w:val="TTitleText"/>
            </w:pPr>
          </w:p>
        </w:tc>
        <w:tc>
          <w:tcPr>
            <w:tcW w:w="119" w:type="dxa"/>
            <w:noWrap/>
            <w:vAlign w:val="bottom"/>
          </w:tcPr>
          <w:p w14:paraId="7AEFF336" w14:textId="77777777" w:rsidR="0049665B" w:rsidRDefault="0049665B" w:rsidP="00286A1E">
            <w:pPr>
              <w:pStyle w:val="TTitleText"/>
            </w:pPr>
          </w:p>
        </w:tc>
        <w:tc>
          <w:tcPr>
            <w:tcW w:w="1021" w:type="dxa"/>
            <w:noWrap/>
            <w:vAlign w:val="bottom"/>
          </w:tcPr>
          <w:p w14:paraId="625245CB" w14:textId="77777777" w:rsidR="0049665B" w:rsidRDefault="0049665B" w:rsidP="00286A1E">
            <w:pPr>
              <w:pStyle w:val="TTitleText"/>
            </w:pPr>
          </w:p>
        </w:tc>
      </w:tr>
      <w:tr w:rsidR="0049665B" w14:paraId="6D95E678" w14:textId="77777777" w:rsidTr="00286A1E">
        <w:tc>
          <w:tcPr>
            <w:tcW w:w="7472" w:type="dxa"/>
            <w:tcBorders>
              <w:top w:val="single" w:sz="8" w:space="0" w:color="000000"/>
            </w:tcBorders>
            <w:noWrap/>
            <w:vAlign w:val="bottom"/>
          </w:tcPr>
          <w:p w14:paraId="5154C225" w14:textId="77777777" w:rsidR="0049665B" w:rsidRDefault="0049665B" w:rsidP="00286A1E">
            <w:pPr>
              <w:pStyle w:val="TDummy"/>
              <w:keepNext/>
            </w:pPr>
          </w:p>
        </w:tc>
        <w:tc>
          <w:tcPr>
            <w:tcW w:w="119" w:type="dxa"/>
            <w:tcBorders>
              <w:top w:val="single" w:sz="8" w:space="0" w:color="000000"/>
            </w:tcBorders>
            <w:noWrap/>
            <w:vAlign w:val="bottom"/>
          </w:tcPr>
          <w:p w14:paraId="3BA8EBDE" w14:textId="77777777" w:rsidR="0049665B" w:rsidRDefault="0049665B" w:rsidP="00286A1E">
            <w:pPr>
              <w:pStyle w:val="TDummy"/>
              <w:keepNext/>
            </w:pPr>
          </w:p>
        </w:tc>
        <w:tc>
          <w:tcPr>
            <w:tcW w:w="1021" w:type="dxa"/>
            <w:tcBorders>
              <w:top w:val="single" w:sz="8" w:space="0" w:color="000000"/>
            </w:tcBorders>
            <w:noWrap/>
            <w:vAlign w:val="bottom"/>
          </w:tcPr>
          <w:p w14:paraId="5A6D891A" w14:textId="77777777" w:rsidR="0049665B" w:rsidRDefault="0049665B" w:rsidP="00286A1E">
            <w:pPr>
              <w:pStyle w:val="TDummy"/>
              <w:keepNext/>
            </w:pPr>
          </w:p>
        </w:tc>
        <w:tc>
          <w:tcPr>
            <w:tcW w:w="119" w:type="dxa"/>
            <w:tcBorders>
              <w:top w:val="single" w:sz="8" w:space="0" w:color="000000"/>
            </w:tcBorders>
            <w:noWrap/>
            <w:vAlign w:val="bottom"/>
          </w:tcPr>
          <w:p w14:paraId="3731820A" w14:textId="77777777" w:rsidR="0049665B" w:rsidRDefault="0049665B" w:rsidP="00286A1E">
            <w:pPr>
              <w:pStyle w:val="TDummy"/>
              <w:keepNext/>
            </w:pPr>
          </w:p>
        </w:tc>
        <w:tc>
          <w:tcPr>
            <w:tcW w:w="1021" w:type="dxa"/>
            <w:tcBorders>
              <w:top w:val="single" w:sz="8" w:space="0" w:color="000000"/>
            </w:tcBorders>
            <w:noWrap/>
            <w:vAlign w:val="bottom"/>
          </w:tcPr>
          <w:p w14:paraId="01567A13" w14:textId="77777777" w:rsidR="0049665B" w:rsidRDefault="0049665B" w:rsidP="00286A1E">
            <w:pPr>
              <w:pStyle w:val="TDummy"/>
              <w:keepNext/>
            </w:pPr>
          </w:p>
        </w:tc>
      </w:tr>
      <w:tr w:rsidR="0049665B" w14:paraId="620C2F39" w14:textId="77777777" w:rsidTr="00286A1E">
        <w:tc>
          <w:tcPr>
            <w:tcW w:w="7472" w:type="dxa"/>
            <w:tcBorders>
              <w:bottom w:val="single" w:sz="4" w:space="0" w:color="000000"/>
            </w:tcBorders>
            <w:shd w:val="clear" w:color="000000" w:fill="FFFFFF"/>
            <w:noWrap/>
            <w:vAlign w:val="bottom"/>
          </w:tcPr>
          <w:p w14:paraId="2AB772F2" w14:textId="77777777" w:rsidR="0049665B" w:rsidRDefault="0049665B" w:rsidP="00286A1E">
            <w:pPr>
              <w:pStyle w:val="THeadsingleText"/>
            </w:pPr>
            <w:bookmarkStart w:id="15" w:name="RANGE!B51:F51"/>
            <w:bookmarkEnd w:id="15"/>
          </w:p>
        </w:tc>
        <w:tc>
          <w:tcPr>
            <w:tcW w:w="119" w:type="dxa"/>
            <w:noWrap/>
            <w:vAlign w:val="bottom"/>
          </w:tcPr>
          <w:p w14:paraId="5AC17BC3" w14:textId="77777777" w:rsidR="0049665B" w:rsidRDefault="0049665B" w:rsidP="00286A1E">
            <w:pPr>
              <w:pStyle w:val="THeadsingleNumber"/>
            </w:pPr>
          </w:p>
        </w:tc>
        <w:tc>
          <w:tcPr>
            <w:tcW w:w="1021" w:type="dxa"/>
            <w:tcBorders>
              <w:bottom w:val="single" w:sz="4" w:space="0" w:color="000000"/>
            </w:tcBorders>
            <w:shd w:val="clear" w:color="000000" w:fill="FFFFFF"/>
            <w:vAlign w:val="bottom"/>
          </w:tcPr>
          <w:p w14:paraId="4BB5DD7A" w14:textId="77777777" w:rsidR="0049665B" w:rsidRDefault="0049665B" w:rsidP="00286A1E">
            <w:pPr>
              <w:pStyle w:val="THeadsingleNumber"/>
            </w:pPr>
            <w:proofErr w:type="spellStart"/>
            <w:r>
              <w:t>Dec</w:t>
            </w:r>
            <w:proofErr w:type="spellEnd"/>
            <w:r>
              <w:t>. 31, 2022</w:t>
            </w:r>
          </w:p>
        </w:tc>
        <w:tc>
          <w:tcPr>
            <w:tcW w:w="119" w:type="dxa"/>
            <w:vAlign w:val="bottom"/>
          </w:tcPr>
          <w:p w14:paraId="1AFE71E8" w14:textId="77777777" w:rsidR="0049665B" w:rsidRDefault="0049665B" w:rsidP="00286A1E">
            <w:pPr>
              <w:pStyle w:val="THeadsingleNumber"/>
            </w:pPr>
          </w:p>
        </w:tc>
        <w:tc>
          <w:tcPr>
            <w:tcW w:w="1021" w:type="dxa"/>
            <w:tcBorders>
              <w:bottom w:val="single" w:sz="4" w:space="0" w:color="000000"/>
            </w:tcBorders>
            <w:shd w:val="clear" w:color="000000" w:fill="FFFFFF"/>
            <w:vAlign w:val="bottom"/>
          </w:tcPr>
          <w:p w14:paraId="2E6489EE" w14:textId="77777777" w:rsidR="0049665B" w:rsidRDefault="0049665B" w:rsidP="00286A1E">
            <w:pPr>
              <w:pStyle w:val="THeadsingleNumberbold"/>
            </w:pPr>
            <w:bookmarkStart w:id="16" w:name="RANGE!F51:F60"/>
            <w:bookmarkEnd w:id="16"/>
            <w:r>
              <w:t>Mar. 31, 2023</w:t>
            </w:r>
          </w:p>
        </w:tc>
      </w:tr>
      <w:tr w:rsidR="0049665B" w14:paraId="5B608B03" w14:textId="77777777" w:rsidTr="00286A1E">
        <w:tc>
          <w:tcPr>
            <w:tcW w:w="7472" w:type="dxa"/>
            <w:tcBorders>
              <w:top w:val="single" w:sz="4" w:space="0" w:color="000000"/>
              <w:bottom w:val="single" w:sz="4" w:space="0" w:color="A59C94"/>
            </w:tcBorders>
            <w:noWrap/>
            <w:vAlign w:val="bottom"/>
          </w:tcPr>
          <w:p w14:paraId="087C8DA7" w14:textId="77777777" w:rsidR="0049665B" w:rsidRDefault="0049665B" w:rsidP="00286A1E">
            <w:pPr>
              <w:pStyle w:val="TBodynormalText"/>
            </w:pPr>
            <w:r>
              <w:t>Specialty Additives</w:t>
            </w:r>
          </w:p>
        </w:tc>
        <w:tc>
          <w:tcPr>
            <w:tcW w:w="119" w:type="dxa"/>
            <w:noWrap/>
            <w:vAlign w:val="bottom"/>
          </w:tcPr>
          <w:p w14:paraId="2D530162" w14:textId="77777777" w:rsidR="0049665B" w:rsidRDefault="0049665B" w:rsidP="00286A1E">
            <w:pPr>
              <w:pStyle w:val="TBodynormalNumber"/>
              <w:keepNext/>
            </w:pPr>
          </w:p>
        </w:tc>
        <w:tc>
          <w:tcPr>
            <w:tcW w:w="1021" w:type="dxa"/>
            <w:tcBorders>
              <w:top w:val="single" w:sz="4" w:space="0" w:color="000000"/>
              <w:bottom w:val="single" w:sz="4" w:space="0" w:color="A59C94"/>
            </w:tcBorders>
            <w:noWrap/>
            <w:vAlign w:val="bottom"/>
          </w:tcPr>
          <w:p w14:paraId="6468CB8A" w14:textId="77777777" w:rsidR="0049665B" w:rsidRDefault="0049665B" w:rsidP="00286A1E">
            <w:pPr>
              <w:pStyle w:val="TBodynormalNumber"/>
              <w:keepNext/>
            </w:pPr>
            <w:r>
              <w:t>3,824</w:t>
            </w:r>
          </w:p>
        </w:tc>
        <w:tc>
          <w:tcPr>
            <w:tcW w:w="119" w:type="dxa"/>
            <w:noWrap/>
            <w:vAlign w:val="bottom"/>
          </w:tcPr>
          <w:p w14:paraId="23555D27" w14:textId="77777777" w:rsidR="0049665B" w:rsidRDefault="0049665B" w:rsidP="00286A1E">
            <w:pPr>
              <w:pStyle w:val="TBodynormalNumber"/>
              <w:keepNext/>
            </w:pPr>
          </w:p>
        </w:tc>
        <w:tc>
          <w:tcPr>
            <w:tcW w:w="1021" w:type="dxa"/>
            <w:tcBorders>
              <w:top w:val="single" w:sz="4" w:space="0" w:color="000000"/>
              <w:bottom w:val="single" w:sz="4" w:space="0" w:color="A59C94"/>
            </w:tcBorders>
            <w:shd w:val="clear" w:color="000000" w:fill="DAD5C9"/>
            <w:noWrap/>
            <w:vAlign w:val="bottom"/>
          </w:tcPr>
          <w:p w14:paraId="1CE369DA" w14:textId="77777777" w:rsidR="0049665B" w:rsidRDefault="0049665B" w:rsidP="00286A1E">
            <w:pPr>
              <w:pStyle w:val="TBodynormalNumber"/>
              <w:keepNext/>
            </w:pPr>
            <w:r>
              <w:t>3,556</w:t>
            </w:r>
          </w:p>
        </w:tc>
      </w:tr>
      <w:tr w:rsidR="0049665B" w14:paraId="1989332F" w14:textId="77777777" w:rsidTr="00286A1E">
        <w:tc>
          <w:tcPr>
            <w:tcW w:w="7472" w:type="dxa"/>
            <w:tcBorders>
              <w:top w:val="single" w:sz="4" w:space="0" w:color="A59C94"/>
              <w:bottom w:val="single" w:sz="4" w:space="0" w:color="A59C94"/>
            </w:tcBorders>
            <w:noWrap/>
            <w:vAlign w:val="bottom"/>
          </w:tcPr>
          <w:p w14:paraId="21C1E27C" w14:textId="77777777" w:rsidR="0049665B" w:rsidRDefault="0049665B" w:rsidP="00286A1E">
            <w:pPr>
              <w:pStyle w:val="TBodynormalText"/>
            </w:pPr>
            <w:r>
              <w:t>Nutrition &amp; Care</w:t>
            </w:r>
          </w:p>
        </w:tc>
        <w:tc>
          <w:tcPr>
            <w:tcW w:w="119" w:type="dxa"/>
            <w:noWrap/>
            <w:vAlign w:val="bottom"/>
          </w:tcPr>
          <w:p w14:paraId="261A7435" w14:textId="77777777" w:rsidR="0049665B" w:rsidRDefault="0049665B" w:rsidP="00286A1E">
            <w:pPr>
              <w:pStyle w:val="TBodynormalNumber"/>
              <w:keepNext/>
            </w:pPr>
          </w:p>
        </w:tc>
        <w:tc>
          <w:tcPr>
            <w:tcW w:w="1021" w:type="dxa"/>
            <w:tcBorders>
              <w:top w:val="single" w:sz="4" w:space="0" w:color="A59C94"/>
              <w:bottom w:val="single" w:sz="4" w:space="0" w:color="A59C94"/>
            </w:tcBorders>
            <w:noWrap/>
            <w:vAlign w:val="bottom"/>
          </w:tcPr>
          <w:p w14:paraId="5FE8E1D4" w14:textId="77777777" w:rsidR="0049665B" w:rsidRDefault="0049665B" w:rsidP="00286A1E">
            <w:pPr>
              <w:pStyle w:val="TBodynormalNumber"/>
              <w:keepNext/>
            </w:pPr>
            <w:r>
              <w:t>5,690</w:t>
            </w:r>
          </w:p>
        </w:tc>
        <w:tc>
          <w:tcPr>
            <w:tcW w:w="119" w:type="dxa"/>
            <w:noWrap/>
            <w:vAlign w:val="bottom"/>
          </w:tcPr>
          <w:p w14:paraId="042C7449" w14:textId="77777777" w:rsidR="0049665B" w:rsidRDefault="0049665B" w:rsidP="00286A1E">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3875C812" w14:textId="77777777" w:rsidR="0049665B" w:rsidRDefault="0049665B" w:rsidP="00286A1E">
            <w:pPr>
              <w:pStyle w:val="TBodynormalNumber"/>
              <w:keepNext/>
            </w:pPr>
            <w:r>
              <w:t>5,745</w:t>
            </w:r>
          </w:p>
        </w:tc>
      </w:tr>
      <w:tr w:rsidR="0049665B" w14:paraId="75E0F33E" w14:textId="77777777" w:rsidTr="00286A1E">
        <w:tc>
          <w:tcPr>
            <w:tcW w:w="7472" w:type="dxa"/>
            <w:tcBorders>
              <w:top w:val="single" w:sz="4" w:space="0" w:color="A59C94"/>
              <w:bottom w:val="single" w:sz="4" w:space="0" w:color="A59C94"/>
            </w:tcBorders>
            <w:noWrap/>
            <w:vAlign w:val="bottom"/>
          </w:tcPr>
          <w:p w14:paraId="3F7D40FB" w14:textId="77777777" w:rsidR="0049665B" w:rsidRDefault="0049665B" w:rsidP="00286A1E">
            <w:pPr>
              <w:pStyle w:val="TBodynormalText"/>
            </w:pPr>
            <w:r>
              <w:t xml:space="preserve">Smart </w:t>
            </w:r>
            <w:proofErr w:type="spellStart"/>
            <w:r>
              <w:t>Materials</w:t>
            </w:r>
            <w:r>
              <w:rPr>
                <w:vertAlign w:val="superscript"/>
              </w:rPr>
              <w:t>a</w:t>
            </w:r>
            <w:proofErr w:type="spellEnd"/>
          </w:p>
        </w:tc>
        <w:tc>
          <w:tcPr>
            <w:tcW w:w="119" w:type="dxa"/>
            <w:noWrap/>
            <w:vAlign w:val="bottom"/>
          </w:tcPr>
          <w:p w14:paraId="4332ABC9" w14:textId="77777777" w:rsidR="0049665B" w:rsidRDefault="0049665B" w:rsidP="00286A1E">
            <w:pPr>
              <w:pStyle w:val="TBodynormalNumber"/>
              <w:keepNext/>
            </w:pPr>
          </w:p>
        </w:tc>
        <w:tc>
          <w:tcPr>
            <w:tcW w:w="1021" w:type="dxa"/>
            <w:tcBorders>
              <w:top w:val="single" w:sz="4" w:space="0" w:color="A59C94"/>
              <w:bottom w:val="single" w:sz="4" w:space="0" w:color="A59C94"/>
            </w:tcBorders>
            <w:noWrap/>
            <w:vAlign w:val="bottom"/>
          </w:tcPr>
          <w:p w14:paraId="09F50641" w14:textId="77777777" w:rsidR="0049665B" w:rsidRDefault="0049665B" w:rsidP="00286A1E">
            <w:pPr>
              <w:pStyle w:val="TBodynormalNumber"/>
              <w:keepNext/>
            </w:pPr>
            <w:r>
              <w:t>8,011</w:t>
            </w:r>
          </w:p>
        </w:tc>
        <w:tc>
          <w:tcPr>
            <w:tcW w:w="119" w:type="dxa"/>
            <w:noWrap/>
            <w:vAlign w:val="bottom"/>
          </w:tcPr>
          <w:p w14:paraId="17FDA2FD" w14:textId="77777777" w:rsidR="0049665B" w:rsidRDefault="0049665B" w:rsidP="00286A1E">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7862804D" w14:textId="77777777" w:rsidR="0049665B" w:rsidRDefault="0049665B" w:rsidP="00286A1E">
            <w:pPr>
              <w:pStyle w:val="TBodynormalNumber"/>
              <w:keepNext/>
            </w:pPr>
            <w:r>
              <w:t>8,095</w:t>
            </w:r>
          </w:p>
        </w:tc>
      </w:tr>
      <w:tr w:rsidR="0049665B" w14:paraId="5CAEE186" w14:textId="77777777" w:rsidTr="00286A1E">
        <w:tc>
          <w:tcPr>
            <w:tcW w:w="7472" w:type="dxa"/>
            <w:tcBorders>
              <w:top w:val="single" w:sz="4" w:space="0" w:color="A59C94"/>
              <w:bottom w:val="single" w:sz="4" w:space="0" w:color="A59C94"/>
            </w:tcBorders>
            <w:noWrap/>
            <w:vAlign w:val="bottom"/>
          </w:tcPr>
          <w:p w14:paraId="51E099AB" w14:textId="77777777" w:rsidR="0049665B" w:rsidRDefault="0049665B" w:rsidP="00286A1E">
            <w:pPr>
              <w:pStyle w:val="TBodynormalText"/>
            </w:pPr>
            <w:r>
              <w:t xml:space="preserve">Performance </w:t>
            </w:r>
            <w:proofErr w:type="spellStart"/>
            <w:r>
              <w:t>Materials</w:t>
            </w:r>
            <w:r>
              <w:rPr>
                <w:vertAlign w:val="superscript"/>
              </w:rPr>
              <w:t>a</w:t>
            </w:r>
            <w:proofErr w:type="spellEnd"/>
          </w:p>
        </w:tc>
        <w:tc>
          <w:tcPr>
            <w:tcW w:w="119" w:type="dxa"/>
            <w:noWrap/>
            <w:vAlign w:val="bottom"/>
          </w:tcPr>
          <w:p w14:paraId="3074109C" w14:textId="77777777" w:rsidR="0049665B" w:rsidRDefault="0049665B" w:rsidP="00286A1E">
            <w:pPr>
              <w:pStyle w:val="TBodynormalNumber"/>
              <w:keepNext/>
            </w:pPr>
          </w:p>
        </w:tc>
        <w:tc>
          <w:tcPr>
            <w:tcW w:w="1021" w:type="dxa"/>
            <w:tcBorders>
              <w:top w:val="single" w:sz="4" w:space="0" w:color="A59C94"/>
              <w:bottom w:val="single" w:sz="4" w:space="0" w:color="A59C94"/>
            </w:tcBorders>
            <w:noWrap/>
            <w:vAlign w:val="bottom"/>
          </w:tcPr>
          <w:p w14:paraId="6FAE0231" w14:textId="77777777" w:rsidR="0049665B" w:rsidRDefault="0049665B" w:rsidP="00286A1E">
            <w:pPr>
              <w:pStyle w:val="TBodynormalNumber"/>
              <w:keepNext/>
            </w:pPr>
            <w:r>
              <w:t>1,951</w:t>
            </w:r>
          </w:p>
        </w:tc>
        <w:tc>
          <w:tcPr>
            <w:tcW w:w="119" w:type="dxa"/>
            <w:noWrap/>
            <w:vAlign w:val="bottom"/>
          </w:tcPr>
          <w:p w14:paraId="0197039F" w14:textId="77777777" w:rsidR="0049665B" w:rsidRDefault="0049665B" w:rsidP="00286A1E">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19729AF1" w14:textId="77777777" w:rsidR="0049665B" w:rsidRDefault="0049665B" w:rsidP="00286A1E">
            <w:pPr>
              <w:pStyle w:val="TBodynormalNumber"/>
              <w:keepNext/>
            </w:pPr>
            <w:r>
              <w:t>2,240</w:t>
            </w:r>
          </w:p>
        </w:tc>
      </w:tr>
      <w:tr w:rsidR="0049665B" w14:paraId="389BCC9E" w14:textId="77777777" w:rsidTr="00286A1E">
        <w:tc>
          <w:tcPr>
            <w:tcW w:w="7472" w:type="dxa"/>
            <w:tcBorders>
              <w:top w:val="single" w:sz="4" w:space="0" w:color="A59C94"/>
              <w:bottom w:val="single" w:sz="4" w:space="0" w:color="A59C94"/>
            </w:tcBorders>
            <w:noWrap/>
            <w:vAlign w:val="bottom"/>
          </w:tcPr>
          <w:p w14:paraId="3C0EAC15" w14:textId="77777777" w:rsidR="0049665B" w:rsidRDefault="0049665B" w:rsidP="00286A1E">
            <w:pPr>
              <w:pStyle w:val="TBodynormalText"/>
            </w:pPr>
            <w:r>
              <w:t>Technology &amp; Infrastructure</w:t>
            </w:r>
          </w:p>
        </w:tc>
        <w:tc>
          <w:tcPr>
            <w:tcW w:w="119" w:type="dxa"/>
            <w:noWrap/>
            <w:vAlign w:val="bottom"/>
          </w:tcPr>
          <w:p w14:paraId="19EC6E0F" w14:textId="77777777" w:rsidR="0049665B" w:rsidRDefault="0049665B" w:rsidP="00286A1E">
            <w:pPr>
              <w:pStyle w:val="TBodynormalNumber"/>
              <w:keepNext/>
            </w:pPr>
          </w:p>
        </w:tc>
        <w:tc>
          <w:tcPr>
            <w:tcW w:w="1021" w:type="dxa"/>
            <w:tcBorders>
              <w:top w:val="single" w:sz="4" w:space="0" w:color="A59C94"/>
              <w:bottom w:val="single" w:sz="4" w:space="0" w:color="A59C94"/>
            </w:tcBorders>
            <w:noWrap/>
            <w:vAlign w:val="bottom"/>
          </w:tcPr>
          <w:p w14:paraId="1E46F36B" w14:textId="77777777" w:rsidR="0049665B" w:rsidRDefault="0049665B" w:rsidP="00286A1E">
            <w:pPr>
              <w:pStyle w:val="TBodynormalNumber"/>
              <w:keepNext/>
            </w:pPr>
            <w:r>
              <w:t>8,367</w:t>
            </w:r>
          </w:p>
        </w:tc>
        <w:tc>
          <w:tcPr>
            <w:tcW w:w="119" w:type="dxa"/>
            <w:noWrap/>
            <w:vAlign w:val="bottom"/>
          </w:tcPr>
          <w:p w14:paraId="22F50BAA" w14:textId="77777777" w:rsidR="0049665B" w:rsidRDefault="0049665B" w:rsidP="00286A1E">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2DCD50A6" w14:textId="77777777" w:rsidR="0049665B" w:rsidRDefault="0049665B" w:rsidP="00286A1E">
            <w:pPr>
              <w:pStyle w:val="TBodynormalNumber"/>
              <w:keepNext/>
            </w:pPr>
            <w:r>
              <w:t>8,041</w:t>
            </w:r>
          </w:p>
        </w:tc>
      </w:tr>
      <w:tr w:rsidR="0049665B" w14:paraId="262D9AF5" w14:textId="77777777" w:rsidTr="00286A1E">
        <w:tc>
          <w:tcPr>
            <w:tcW w:w="7472" w:type="dxa"/>
            <w:tcBorders>
              <w:top w:val="single" w:sz="4" w:space="0" w:color="A59C94"/>
              <w:bottom w:val="single" w:sz="4" w:space="0" w:color="A59C94"/>
            </w:tcBorders>
            <w:noWrap/>
            <w:vAlign w:val="bottom"/>
          </w:tcPr>
          <w:p w14:paraId="4C059AD8" w14:textId="77777777" w:rsidR="0049665B" w:rsidRPr="009303F4" w:rsidRDefault="0049665B" w:rsidP="00286A1E">
            <w:pPr>
              <w:pStyle w:val="TBodynormalText"/>
              <w:rPr>
                <w:lang w:val="en-US"/>
              </w:rPr>
            </w:pPr>
            <w:r w:rsidRPr="00513F30">
              <w:rPr>
                <w:lang w:val="en-US"/>
              </w:rPr>
              <w:t>Enabling Functions, Other Activities, Consolidation</w:t>
            </w:r>
          </w:p>
        </w:tc>
        <w:tc>
          <w:tcPr>
            <w:tcW w:w="119" w:type="dxa"/>
            <w:noWrap/>
            <w:vAlign w:val="bottom"/>
          </w:tcPr>
          <w:p w14:paraId="0E123B52" w14:textId="77777777" w:rsidR="0049665B" w:rsidRPr="009303F4" w:rsidRDefault="0049665B" w:rsidP="00286A1E">
            <w:pPr>
              <w:pStyle w:val="TBodynormalNumber"/>
              <w:keepNext/>
              <w:rPr>
                <w:lang w:val="en-US"/>
              </w:rPr>
            </w:pPr>
          </w:p>
        </w:tc>
        <w:tc>
          <w:tcPr>
            <w:tcW w:w="1021" w:type="dxa"/>
            <w:tcBorders>
              <w:top w:val="single" w:sz="4" w:space="0" w:color="A59C94"/>
              <w:bottom w:val="single" w:sz="4" w:space="0" w:color="A59C94"/>
            </w:tcBorders>
            <w:noWrap/>
            <w:vAlign w:val="bottom"/>
          </w:tcPr>
          <w:p w14:paraId="6C7A6D03" w14:textId="77777777" w:rsidR="0049665B" w:rsidRDefault="0049665B" w:rsidP="00286A1E">
            <w:pPr>
              <w:pStyle w:val="TBodynormalNumber"/>
              <w:keepNext/>
            </w:pPr>
            <w:r>
              <w:t>6,186</w:t>
            </w:r>
          </w:p>
        </w:tc>
        <w:tc>
          <w:tcPr>
            <w:tcW w:w="119" w:type="dxa"/>
            <w:noWrap/>
            <w:vAlign w:val="bottom"/>
          </w:tcPr>
          <w:p w14:paraId="2FB4FD15" w14:textId="77777777" w:rsidR="0049665B" w:rsidRDefault="0049665B" w:rsidP="00286A1E">
            <w:pPr>
              <w:pStyle w:val="TBodynormalNumber"/>
              <w:keepNext/>
            </w:pPr>
          </w:p>
        </w:tc>
        <w:tc>
          <w:tcPr>
            <w:tcW w:w="1021" w:type="dxa"/>
            <w:tcBorders>
              <w:top w:val="single" w:sz="4" w:space="0" w:color="A59C94"/>
              <w:bottom w:val="single" w:sz="4" w:space="0" w:color="A59C94"/>
            </w:tcBorders>
            <w:shd w:val="clear" w:color="000000" w:fill="DAD5C9"/>
            <w:noWrap/>
            <w:vAlign w:val="bottom"/>
          </w:tcPr>
          <w:p w14:paraId="4D5DE52C" w14:textId="77777777" w:rsidR="0049665B" w:rsidRDefault="0049665B" w:rsidP="00286A1E">
            <w:pPr>
              <w:pStyle w:val="TBodynormalNumber"/>
              <w:keepNext/>
            </w:pPr>
            <w:r>
              <w:t>6,241</w:t>
            </w:r>
          </w:p>
        </w:tc>
      </w:tr>
      <w:tr w:rsidR="0049665B" w14:paraId="3AB54E73" w14:textId="77777777" w:rsidTr="00286A1E">
        <w:tc>
          <w:tcPr>
            <w:tcW w:w="7472" w:type="dxa"/>
            <w:tcBorders>
              <w:top w:val="single" w:sz="4" w:space="0" w:color="A59C94"/>
              <w:bottom w:val="single" w:sz="16" w:space="0" w:color="991D85"/>
            </w:tcBorders>
            <w:noWrap/>
            <w:vAlign w:val="bottom"/>
          </w:tcPr>
          <w:p w14:paraId="3E9E77E7" w14:textId="77777777" w:rsidR="0049665B" w:rsidRDefault="0049665B" w:rsidP="00286A1E">
            <w:pPr>
              <w:pStyle w:val="TBodytotalText"/>
            </w:pPr>
            <w:bookmarkStart w:id="17" w:name="RANGE!B60:F60"/>
            <w:bookmarkEnd w:id="17"/>
            <w:r>
              <w:t>Evonik Group</w:t>
            </w:r>
          </w:p>
        </w:tc>
        <w:tc>
          <w:tcPr>
            <w:tcW w:w="119" w:type="dxa"/>
            <w:tcBorders>
              <w:bottom w:val="single" w:sz="16" w:space="0" w:color="991D85"/>
            </w:tcBorders>
            <w:noWrap/>
            <w:vAlign w:val="bottom"/>
          </w:tcPr>
          <w:p w14:paraId="606ABD05" w14:textId="77777777" w:rsidR="0049665B" w:rsidRDefault="0049665B" w:rsidP="00286A1E">
            <w:pPr>
              <w:pStyle w:val="TBodytotalNumber"/>
            </w:pPr>
          </w:p>
        </w:tc>
        <w:tc>
          <w:tcPr>
            <w:tcW w:w="1021" w:type="dxa"/>
            <w:tcBorders>
              <w:top w:val="single" w:sz="4" w:space="0" w:color="A59C94"/>
              <w:bottom w:val="single" w:sz="16" w:space="0" w:color="991D85"/>
            </w:tcBorders>
            <w:noWrap/>
            <w:vAlign w:val="bottom"/>
          </w:tcPr>
          <w:p w14:paraId="79E25C6D" w14:textId="77777777" w:rsidR="0049665B" w:rsidRDefault="0049665B" w:rsidP="00286A1E">
            <w:pPr>
              <w:pStyle w:val="TBodytotalNumber"/>
            </w:pPr>
            <w:r>
              <w:t>34,029</w:t>
            </w:r>
          </w:p>
        </w:tc>
        <w:tc>
          <w:tcPr>
            <w:tcW w:w="119" w:type="dxa"/>
            <w:tcBorders>
              <w:bottom w:val="single" w:sz="16" w:space="0" w:color="991D85"/>
            </w:tcBorders>
            <w:noWrap/>
            <w:vAlign w:val="bottom"/>
          </w:tcPr>
          <w:p w14:paraId="7C00CC36" w14:textId="77777777" w:rsidR="0049665B" w:rsidRDefault="0049665B" w:rsidP="00286A1E">
            <w:pPr>
              <w:pStyle w:val="TBodytotalNumber"/>
            </w:pPr>
          </w:p>
        </w:tc>
        <w:tc>
          <w:tcPr>
            <w:tcW w:w="1021" w:type="dxa"/>
            <w:tcBorders>
              <w:top w:val="single" w:sz="4" w:space="0" w:color="A59C94"/>
              <w:bottom w:val="single" w:sz="16" w:space="0" w:color="991D85"/>
            </w:tcBorders>
            <w:shd w:val="clear" w:color="000000" w:fill="DAD5C9"/>
            <w:noWrap/>
            <w:vAlign w:val="bottom"/>
          </w:tcPr>
          <w:p w14:paraId="45A73551" w14:textId="77777777" w:rsidR="0049665B" w:rsidRDefault="0049665B" w:rsidP="00286A1E">
            <w:pPr>
              <w:pStyle w:val="TBodytotalNumber"/>
            </w:pPr>
            <w:r>
              <w:t>33,918</w:t>
            </w:r>
          </w:p>
        </w:tc>
      </w:tr>
    </w:tbl>
    <w:bookmarkEnd w:id="14"/>
    <w:p w14:paraId="4087F290" w14:textId="77777777" w:rsidR="00AC6DC8" w:rsidRPr="000F7540" w:rsidRDefault="00AC6DC8" w:rsidP="00AC6DC8">
      <w:pPr>
        <w:pStyle w:val="SNEvonikTabellenfu"/>
      </w:pPr>
      <w:r w:rsidRPr="000F7540">
        <w:rPr>
          <w:vertAlign w:val="superscript"/>
        </w:rPr>
        <w:t>a</w:t>
      </w:r>
      <w:r w:rsidRPr="000F7540">
        <w:t xml:space="preserve"> Prior-year figures re</w:t>
      </w:r>
      <w:r>
        <w:t>stated.</w:t>
      </w:r>
    </w:p>
    <w:p w14:paraId="6E5C8AF1" w14:textId="77777777" w:rsidR="0049665B" w:rsidRPr="000D39F8" w:rsidRDefault="0049665B" w:rsidP="0043547E">
      <w:pPr>
        <w:rPr>
          <w:lang w:val="en-US"/>
        </w:rPr>
      </w:pPr>
    </w:p>
    <w:p w14:paraId="4F75C4D8" w14:textId="77777777" w:rsidR="00C142D6" w:rsidRPr="000D39F8" w:rsidRDefault="00C142D6" w:rsidP="00C142D6">
      <w:pPr>
        <w:rPr>
          <w:lang w:val="en-US"/>
        </w:rPr>
      </w:pPr>
      <w:bookmarkStart w:id="18" w:name="SNWID_6c28a25f61a34939b81e1e62de012fa8"/>
      <w:r w:rsidRPr="000D39F8">
        <w:rPr>
          <w:lang w:val="en-US"/>
        </w:rPr>
        <w:t xml:space="preserve">   </w:t>
      </w:r>
    </w:p>
    <w:p w14:paraId="740D7DEA" w14:textId="4CA158DF" w:rsidR="00C142D6" w:rsidRPr="000D39F8" w:rsidRDefault="00C142D6" w:rsidP="00C142D6">
      <w:pPr>
        <w:rPr>
          <w:lang w:val="en-US"/>
        </w:rPr>
      </w:pPr>
    </w:p>
    <w:p w14:paraId="2A9EC8DC" w14:textId="77777777" w:rsidR="00C142D6" w:rsidRPr="000D39F8" w:rsidRDefault="00C142D6" w:rsidP="00C142D6">
      <w:pPr>
        <w:rPr>
          <w:lang w:val="en-US"/>
        </w:rPr>
      </w:pPr>
      <w:bookmarkStart w:id="19" w:name="RANGE!B37:N47"/>
      <w:bookmarkEnd w:id="19"/>
    </w:p>
    <w:p w14:paraId="66F8F821" w14:textId="77777777" w:rsidR="00C142D6" w:rsidRPr="000D39F8" w:rsidRDefault="00C142D6" w:rsidP="00C142D6">
      <w:pPr>
        <w:rPr>
          <w:lang w:val="en-US"/>
        </w:rPr>
      </w:pPr>
      <w:bookmarkStart w:id="20" w:name="RANGE!B51:F62"/>
      <w:bookmarkEnd w:id="20"/>
    </w:p>
    <w:bookmarkEnd w:id="18"/>
    <w:p w14:paraId="77B07852" w14:textId="5BDE8A7E" w:rsidR="00282723" w:rsidRPr="000D39F8" w:rsidRDefault="00282723" w:rsidP="0006177F">
      <w:pPr>
        <w:rPr>
          <w:lang w:val="en-US"/>
        </w:rPr>
      </w:pPr>
    </w:p>
    <w:p w14:paraId="46D36D5B" w14:textId="77777777" w:rsidR="00110DE8" w:rsidRDefault="00110DE8" w:rsidP="006E04EA">
      <w:pPr>
        <w:spacing w:line="220" w:lineRule="exact"/>
        <w:outlineLvl w:val="0"/>
        <w:rPr>
          <w:b/>
          <w:bCs/>
          <w:color w:val="000000"/>
          <w:sz w:val="18"/>
          <w:szCs w:val="18"/>
          <w:lang w:val="en-US"/>
        </w:rPr>
      </w:pPr>
    </w:p>
    <w:p w14:paraId="206914F1" w14:textId="77777777" w:rsidR="00321EE4" w:rsidRDefault="00321EE4" w:rsidP="006E04EA">
      <w:pPr>
        <w:spacing w:line="220" w:lineRule="exact"/>
        <w:outlineLvl w:val="0"/>
        <w:rPr>
          <w:b/>
          <w:bCs/>
          <w:color w:val="000000"/>
          <w:sz w:val="18"/>
          <w:szCs w:val="18"/>
          <w:lang w:val="en-US"/>
        </w:rPr>
      </w:pPr>
    </w:p>
    <w:p w14:paraId="240FE051" w14:textId="77777777" w:rsidR="00321EE4" w:rsidRDefault="00321EE4" w:rsidP="006E04EA">
      <w:pPr>
        <w:spacing w:line="220" w:lineRule="exact"/>
        <w:outlineLvl w:val="0"/>
        <w:rPr>
          <w:b/>
          <w:bCs/>
          <w:color w:val="000000"/>
          <w:sz w:val="18"/>
          <w:szCs w:val="18"/>
          <w:lang w:val="en-US"/>
        </w:rPr>
      </w:pPr>
    </w:p>
    <w:p w14:paraId="4C7C85D4" w14:textId="77777777" w:rsidR="00321EE4" w:rsidRDefault="00321EE4" w:rsidP="006E04EA">
      <w:pPr>
        <w:spacing w:line="220" w:lineRule="exact"/>
        <w:outlineLvl w:val="0"/>
        <w:rPr>
          <w:b/>
          <w:bCs/>
          <w:color w:val="000000"/>
          <w:sz w:val="18"/>
          <w:szCs w:val="18"/>
          <w:lang w:val="en-US"/>
        </w:rPr>
      </w:pPr>
    </w:p>
    <w:p w14:paraId="53EB9247" w14:textId="77777777" w:rsidR="00321EE4" w:rsidRDefault="00321EE4" w:rsidP="006E04EA">
      <w:pPr>
        <w:spacing w:line="220" w:lineRule="exact"/>
        <w:outlineLvl w:val="0"/>
        <w:rPr>
          <w:b/>
          <w:bCs/>
          <w:color w:val="000000"/>
          <w:sz w:val="18"/>
          <w:szCs w:val="18"/>
          <w:lang w:val="en-US"/>
        </w:rPr>
      </w:pPr>
    </w:p>
    <w:p w14:paraId="2CB31B40" w14:textId="77777777" w:rsidR="00321EE4" w:rsidRDefault="00321EE4" w:rsidP="006E04EA">
      <w:pPr>
        <w:spacing w:line="220" w:lineRule="exact"/>
        <w:outlineLvl w:val="0"/>
        <w:rPr>
          <w:b/>
          <w:bCs/>
          <w:color w:val="000000"/>
          <w:sz w:val="18"/>
          <w:szCs w:val="18"/>
          <w:lang w:val="en-US"/>
        </w:rPr>
      </w:pPr>
    </w:p>
    <w:p w14:paraId="3A737EBE" w14:textId="77777777" w:rsidR="00321EE4" w:rsidRDefault="00321EE4" w:rsidP="006E04EA">
      <w:pPr>
        <w:spacing w:line="220" w:lineRule="exact"/>
        <w:outlineLvl w:val="0"/>
        <w:rPr>
          <w:b/>
          <w:bCs/>
          <w:color w:val="000000"/>
          <w:sz w:val="18"/>
          <w:szCs w:val="18"/>
          <w:lang w:val="en-US"/>
        </w:rPr>
      </w:pPr>
    </w:p>
    <w:p w14:paraId="44AC37FE" w14:textId="77777777" w:rsidR="00321EE4" w:rsidRDefault="00321EE4" w:rsidP="006E04EA">
      <w:pPr>
        <w:spacing w:line="220" w:lineRule="exact"/>
        <w:outlineLvl w:val="0"/>
        <w:rPr>
          <w:b/>
          <w:bCs/>
          <w:color w:val="000000"/>
          <w:sz w:val="18"/>
          <w:szCs w:val="18"/>
          <w:lang w:val="en-US"/>
        </w:rPr>
      </w:pPr>
    </w:p>
    <w:p w14:paraId="25EA4684" w14:textId="77777777" w:rsidR="00321EE4" w:rsidRDefault="00321EE4" w:rsidP="006E04EA">
      <w:pPr>
        <w:spacing w:line="220" w:lineRule="exact"/>
        <w:outlineLvl w:val="0"/>
        <w:rPr>
          <w:b/>
          <w:bCs/>
          <w:color w:val="000000"/>
          <w:sz w:val="18"/>
          <w:szCs w:val="18"/>
          <w:lang w:val="en-US"/>
        </w:rPr>
      </w:pPr>
    </w:p>
    <w:p w14:paraId="41657D9C" w14:textId="77777777" w:rsidR="00321EE4" w:rsidRDefault="00321EE4" w:rsidP="006E04EA">
      <w:pPr>
        <w:spacing w:line="220" w:lineRule="exact"/>
        <w:outlineLvl w:val="0"/>
        <w:rPr>
          <w:b/>
          <w:bCs/>
          <w:color w:val="000000"/>
          <w:sz w:val="18"/>
          <w:szCs w:val="18"/>
          <w:lang w:val="en-US"/>
        </w:rPr>
      </w:pPr>
    </w:p>
    <w:p w14:paraId="608D2DE2" w14:textId="5D305673" w:rsidR="00321EE4" w:rsidRDefault="00321EE4" w:rsidP="006E04EA">
      <w:pPr>
        <w:spacing w:line="220" w:lineRule="exact"/>
        <w:outlineLvl w:val="0"/>
        <w:rPr>
          <w:b/>
          <w:bCs/>
          <w:color w:val="000000"/>
          <w:sz w:val="18"/>
          <w:szCs w:val="18"/>
          <w:lang w:val="en-US"/>
        </w:rPr>
      </w:pPr>
      <w:r w:rsidRPr="00321EE4">
        <w:rPr>
          <w:lang w:val="en-US"/>
        </w:rPr>
        <w:drawing>
          <wp:inline distT="0" distB="0" distL="0" distR="0" wp14:anchorId="22715AA9" wp14:editId="5F65F6A4">
            <wp:extent cx="7757375" cy="26162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758206" cy="2616480"/>
                    </a:xfrm>
                    <a:prstGeom prst="rect">
                      <a:avLst/>
                    </a:prstGeom>
                  </pic:spPr>
                </pic:pic>
              </a:graphicData>
            </a:graphic>
          </wp:inline>
        </w:drawing>
      </w:r>
    </w:p>
    <w:p w14:paraId="0664BF3A" w14:textId="77777777" w:rsidR="00321EE4" w:rsidRDefault="00321EE4" w:rsidP="006E04EA">
      <w:pPr>
        <w:spacing w:line="220" w:lineRule="exact"/>
        <w:outlineLvl w:val="0"/>
        <w:rPr>
          <w:b/>
          <w:bCs/>
          <w:color w:val="000000"/>
          <w:sz w:val="18"/>
          <w:szCs w:val="18"/>
          <w:lang w:val="en-US"/>
        </w:rPr>
      </w:pPr>
    </w:p>
    <w:p w14:paraId="05CAD850" w14:textId="77777777" w:rsidR="00321EE4" w:rsidRDefault="00321EE4" w:rsidP="006E04EA">
      <w:pPr>
        <w:spacing w:line="220" w:lineRule="exact"/>
        <w:outlineLvl w:val="0"/>
        <w:rPr>
          <w:b/>
          <w:bCs/>
          <w:color w:val="000000"/>
          <w:sz w:val="18"/>
          <w:szCs w:val="18"/>
          <w:lang w:val="en-US"/>
        </w:rPr>
      </w:pPr>
    </w:p>
    <w:p w14:paraId="10D8A01F" w14:textId="77777777" w:rsidR="00321EE4" w:rsidRDefault="00321EE4" w:rsidP="006E04EA">
      <w:pPr>
        <w:spacing w:line="220" w:lineRule="exact"/>
        <w:outlineLvl w:val="0"/>
        <w:rPr>
          <w:b/>
          <w:bCs/>
          <w:color w:val="000000"/>
          <w:sz w:val="18"/>
          <w:szCs w:val="18"/>
          <w:lang w:val="en-US"/>
        </w:rPr>
      </w:pPr>
    </w:p>
    <w:p w14:paraId="0CC9F02E" w14:textId="77777777" w:rsidR="00321EE4" w:rsidRDefault="00321EE4" w:rsidP="006E04EA">
      <w:pPr>
        <w:spacing w:line="220" w:lineRule="exact"/>
        <w:outlineLvl w:val="0"/>
        <w:rPr>
          <w:b/>
          <w:bCs/>
          <w:color w:val="000000"/>
          <w:sz w:val="18"/>
          <w:szCs w:val="18"/>
          <w:lang w:val="en-US"/>
        </w:rPr>
      </w:pPr>
    </w:p>
    <w:p w14:paraId="09DEB25B" w14:textId="77777777" w:rsidR="00321EE4" w:rsidRDefault="00321EE4" w:rsidP="006E04EA">
      <w:pPr>
        <w:spacing w:line="220" w:lineRule="exact"/>
        <w:outlineLvl w:val="0"/>
        <w:rPr>
          <w:b/>
          <w:bCs/>
          <w:color w:val="000000"/>
          <w:sz w:val="18"/>
          <w:szCs w:val="18"/>
          <w:lang w:val="en-US"/>
        </w:rPr>
      </w:pPr>
    </w:p>
    <w:p w14:paraId="53C0192F" w14:textId="77777777" w:rsidR="00321EE4" w:rsidRDefault="00321EE4" w:rsidP="006E04EA">
      <w:pPr>
        <w:spacing w:line="220" w:lineRule="exact"/>
        <w:outlineLvl w:val="0"/>
        <w:rPr>
          <w:b/>
          <w:bCs/>
          <w:color w:val="000000"/>
          <w:sz w:val="18"/>
          <w:szCs w:val="18"/>
          <w:lang w:val="en-US"/>
        </w:rPr>
      </w:pPr>
    </w:p>
    <w:p w14:paraId="1F3CE6AF" w14:textId="77777777" w:rsidR="00321EE4" w:rsidRDefault="00321EE4" w:rsidP="006E04EA">
      <w:pPr>
        <w:spacing w:line="220" w:lineRule="exact"/>
        <w:outlineLvl w:val="0"/>
        <w:rPr>
          <w:b/>
          <w:bCs/>
          <w:color w:val="000000"/>
          <w:sz w:val="18"/>
          <w:szCs w:val="18"/>
          <w:lang w:val="en-US"/>
        </w:rPr>
      </w:pPr>
    </w:p>
    <w:p w14:paraId="589495A6" w14:textId="77777777" w:rsidR="00321EE4" w:rsidRDefault="00321EE4" w:rsidP="006E04EA">
      <w:pPr>
        <w:spacing w:line="220" w:lineRule="exact"/>
        <w:outlineLvl w:val="0"/>
        <w:rPr>
          <w:b/>
          <w:bCs/>
          <w:color w:val="000000"/>
          <w:sz w:val="18"/>
          <w:szCs w:val="18"/>
          <w:lang w:val="en-US"/>
        </w:rPr>
      </w:pPr>
    </w:p>
    <w:p w14:paraId="7CAAD97D" w14:textId="77777777" w:rsidR="00321EE4" w:rsidRDefault="00321EE4" w:rsidP="006E04EA">
      <w:pPr>
        <w:spacing w:line="220" w:lineRule="exact"/>
        <w:outlineLvl w:val="0"/>
        <w:rPr>
          <w:b/>
          <w:bCs/>
          <w:color w:val="000000"/>
          <w:sz w:val="18"/>
          <w:szCs w:val="18"/>
          <w:lang w:val="en-US"/>
        </w:rPr>
      </w:pPr>
    </w:p>
    <w:p w14:paraId="14038899" w14:textId="77777777" w:rsidR="00321EE4" w:rsidRDefault="00321EE4" w:rsidP="006E04EA">
      <w:pPr>
        <w:spacing w:line="220" w:lineRule="exact"/>
        <w:outlineLvl w:val="0"/>
        <w:rPr>
          <w:b/>
          <w:bCs/>
          <w:color w:val="000000"/>
          <w:sz w:val="18"/>
          <w:szCs w:val="18"/>
          <w:lang w:val="en-US"/>
        </w:rPr>
      </w:pPr>
    </w:p>
    <w:p w14:paraId="0E810EAE" w14:textId="77777777" w:rsidR="00321EE4" w:rsidRDefault="00321EE4" w:rsidP="006E04EA">
      <w:pPr>
        <w:spacing w:line="220" w:lineRule="exact"/>
        <w:outlineLvl w:val="0"/>
        <w:rPr>
          <w:b/>
          <w:bCs/>
          <w:color w:val="000000"/>
          <w:sz w:val="18"/>
          <w:szCs w:val="18"/>
          <w:lang w:val="en-US"/>
        </w:rPr>
      </w:pPr>
    </w:p>
    <w:p w14:paraId="5795AEBC" w14:textId="77777777" w:rsidR="00321EE4" w:rsidRDefault="00321EE4" w:rsidP="006E04EA">
      <w:pPr>
        <w:spacing w:line="220" w:lineRule="exact"/>
        <w:outlineLvl w:val="0"/>
        <w:rPr>
          <w:b/>
          <w:bCs/>
          <w:color w:val="000000"/>
          <w:sz w:val="18"/>
          <w:szCs w:val="18"/>
          <w:lang w:val="en-US"/>
        </w:rPr>
      </w:pPr>
    </w:p>
    <w:p w14:paraId="31E0EACE" w14:textId="77777777" w:rsidR="002175F2" w:rsidRDefault="002175F2" w:rsidP="006E04EA">
      <w:pPr>
        <w:spacing w:line="220" w:lineRule="exact"/>
        <w:outlineLvl w:val="0"/>
        <w:rPr>
          <w:b/>
          <w:bCs/>
          <w:color w:val="000000"/>
          <w:sz w:val="18"/>
          <w:szCs w:val="18"/>
          <w:lang w:val="en-US"/>
        </w:rPr>
      </w:pPr>
    </w:p>
    <w:p w14:paraId="2A6227DE" w14:textId="0BAE1ED1" w:rsidR="006E04EA" w:rsidRDefault="006E04EA" w:rsidP="006E04EA">
      <w:pPr>
        <w:spacing w:line="220" w:lineRule="exact"/>
        <w:outlineLvl w:val="0"/>
        <w:rPr>
          <w:rFonts w:cs="Lucida Sans Unicode"/>
          <w:b/>
          <w:bCs/>
          <w:color w:val="000000"/>
          <w:sz w:val="18"/>
          <w:szCs w:val="18"/>
          <w:lang w:val="en-US"/>
        </w:rPr>
      </w:pPr>
      <w:r w:rsidRPr="006E04EA">
        <w:rPr>
          <w:b/>
          <w:bCs/>
          <w:color w:val="000000"/>
          <w:sz w:val="18"/>
          <w:szCs w:val="18"/>
          <w:lang w:val="en-US"/>
        </w:rPr>
        <w:t xml:space="preserve">Company information </w:t>
      </w:r>
    </w:p>
    <w:p w14:paraId="12A04751" w14:textId="06EA0BBD" w:rsidR="006E04EA" w:rsidRPr="006E04EA" w:rsidRDefault="006E04EA" w:rsidP="006E04EA">
      <w:pPr>
        <w:spacing w:line="220" w:lineRule="exact"/>
        <w:rPr>
          <w:sz w:val="18"/>
          <w:szCs w:val="18"/>
          <w:lang w:val="en-US"/>
        </w:rPr>
      </w:pPr>
      <w:r w:rsidRPr="006E04EA">
        <w:rPr>
          <w:sz w:val="18"/>
          <w:szCs w:val="18"/>
          <w:lang w:val="en-US"/>
        </w:rPr>
        <w:t>Evonik is one of the world leaders in specialty chemicals. The company is active in more than 100 countries around the world and generated sales of €1</w:t>
      </w:r>
      <w:r w:rsidR="00B74282">
        <w:rPr>
          <w:sz w:val="18"/>
          <w:szCs w:val="18"/>
          <w:lang w:val="en-US"/>
        </w:rPr>
        <w:t>8.5</w:t>
      </w:r>
      <w:r w:rsidRPr="006E04EA">
        <w:rPr>
          <w:sz w:val="18"/>
          <w:szCs w:val="18"/>
          <w:lang w:val="en-US"/>
        </w:rPr>
        <w:t xml:space="preserve"> billion and an operating profit (adjusted EBITDA) of €2.</w:t>
      </w:r>
      <w:r w:rsidR="00B74282">
        <w:rPr>
          <w:sz w:val="18"/>
          <w:szCs w:val="18"/>
          <w:lang w:val="en-US"/>
        </w:rPr>
        <w:t>49</w:t>
      </w:r>
      <w:r w:rsidRPr="006E04EA">
        <w:rPr>
          <w:sz w:val="18"/>
          <w:szCs w:val="18"/>
          <w:lang w:val="en-US"/>
        </w:rPr>
        <w:t xml:space="preserve"> billion in 202</w:t>
      </w:r>
      <w:r w:rsidR="00B74282">
        <w:rPr>
          <w:sz w:val="18"/>
          <w:szCs w:val="18"/>
          <w:lang w:val="en-US"/>
        </w:rPr>
        <w:t>2</w:t>
      </w:r>
      <w:r w:rsidRPr="006E04EA">
        <w:rPr>
          <w:sz w:val="18"/>
          <w:szCs w:val="18"/>
          <w:lang w:val="en-US"/>
        </w:rPr>
        <w:t>. Evonik goes far beyond chemistry to create innovative, profitable, and sustainable solutions for customers. About 3</w:t>
      </w:r>
      <w:r w:rsidR="00B74282">
        <w:rPr>
          <w:sz w:val="18"/>
          <w:szCs w:val="18"/>
          <w:lang w:val="en-US"/>
        </w:rPr>
        <w:t>4</w:t>
      </w:r>
      <w:r w:rsidRPr="006E04EA">
        <w:rPr>
          <w:sz w:val="18"/>
          <w:szCs w:val="18"/>
          <w:lang w:val="en-US"/>
        </w:rPr>
        <w:t>,000 employees work together for a common purpose: We want to improve life today and tomorrow.</w:t>
      </w:r>
    </w:p>
    <w:p w14:paraId="0BFC1D73" w14:textId="77777777" w:rsidR="003B0938" w:rsidRPr="006E04EA" w:rsidRDefault="003B0938" w:rsidP="003B0938">
      <w:pPr>
        <w:rPr>
          <w:sz w:val="18"/>
          <w:szCs w:val="18"/>
          <w:lang w:val="en-US"/>
        </w:rPr>
      </w:pPr>
    </w:p>
    <w:p w14:paraId="6D8DACED" w14:textId="77777777" w:rsidR="007C2596" w:rsidRPr="007C2596" w:rsidRDefault="007C2596" w:rsidP="007C2596">
      <w:pPr>
        <w:spacing w:line="220" w:lineRule="exact"/>
        <w:outlineLvl w:val="0"/>
        <w:rPr>
          <w:b/>
          <w:bCs/>
          <w:color w:val="000000"/>
          <w:sz w:val="18"/>
          <w:szCs w:val="18"/>
          <w:lang w:val="en-US"/>
        </w:rPr>
      </w:pPr>
      <w:r w:rsidRPr="007C2596">
        <w:rPr>
          <w:b/>
          <w:bCs/>
          <w:color w:val="000000"/>
          <w:sz w:val="18"/>
          <w:szCs w:val="18"/>
          <w:lang w:val="en-US"/>
        </w:rPr>
        <w:t>DISCLAIMER</w:t>
      </w:r>
    </w:p>
    <w:p w14:paraId="6F2FE267" w14:textId="77777777" w:rsidR="007C2596" w:rsidRPr="007C2596" w:rsidRDefault="007C2596" w:rsidP="007C2596">
      <w:pPr>
        <w:spacing w:line="220" w:lineRule="exact"/>
        <w:rPr>
          <w:sz w:val="18"/>
          <w:szCs w:val="18"/>
          <w:lang w:val="en-US"/>
        </w:rPr>
      </w:pPr>
      <w:r w:rsidRPr="007C2596">
        <w:rPr>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5B642EB" w14:textId="77777777" w:rsidR="000B1B97" w:rsidRPr="007C2596" w:rsidRDefault="000B1B97" w:rsidP="006E5B66">
      <w:pPr>
        <w:autoSpaceDE w:val="0"/>
        <w:autoSpaceDN w:val="0"/>
        <w:adjustRightInd w:val="0"/>
        <w:spacing w:line="220" w:lineRule="exact"/>
        <w:rPr>
          <w:rFonts w:cs="Lucida Sans Unicode"/>
          <w:sz w:val="18"/>
          <w:szCs w:val="18"/>
          <w:lang w:val="en-US"/>
        </w:rPr>
      </w:pPr>
    </w:p>
    <w:sectPr w:rsidR="000B1B97" w:rsidRPr="007C2596" w:rsidSect="00A712C6">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A63F3" w14:textId="77777777" w:rsidR="00C832EB" w:rsidRDefault="00C832EB" w:rsidP="00FD1184">
      <w:r>
        <w:separator/>
      </w:r>
    </w:p>
  </w:endnote>
  <w:endnote w:type="continuationSeparator" w:id="0">
    <w:p w14:paraId="700A5D3E" w14:textId="77777777" w:rsidR="00C832EB" w:rsidRDefault="00C832EB" w:rsidP="00FD1184">
      <w:r>
        <w:continuationSeparator/>
      </w:r>
    </w:p>
  </w:endnote>
  <w:endnote w:type="continuationNotice" w:id="1">
    <w:p w14:paraId="40B972F5" w14:textId="77777777" w:rsidR="00C832EB" w:rsidRDefault="00C832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vonik Prokyon Medium">
    <w:panose1 w:val="00000600000000000000"/>
    <w:charset w:val="00"/>
    <w:family w:val="modern"/>
    <w:notTrueType/>
    <w:pitch w:val="variable"/>
    <w:sig w:usb0="20000007" w:usb1="00000001" w:usb2="00000000" w:usb3="00000000" w:csb0="00000193" w:csb1="00000000"/>
  </w:font>
  <w:font w:name="Evonik Prokyon">
    <w:panose1 w:val="00000500000000000000"/>
    <w:charset w:val="00"/>
    <w:family w:val="modern"/>
    <w:notTrueType/>
    <w:pitch w:val="variable"/>
    <w:sig w:usb0="20000007" w:usb1="00000001" w:usb2="00000000" w:usb3="00000000" w:csb0="0000019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27B5" w14:textId="2B808232" w:rsidR="004B3707" w:rsidRDefault="004B3707">
    <w:pPr>
      <w:pStyle w:val="Rodap"/>
    </w:pPr>
  </w:p>
  <w:p w14:paraId="2893F790" w14:textId="77777777" w:rsidR="004B3707" w:rsidRDefault="004B3707">
    <w:pPr>
      <w:pStyle w:val="Rodap"/>
    </w:pPr>
    <w:r>
      <w:t xml:space="preserve">Seite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von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6880" w14:textId="35588D24" w:rsidR="004B3707" w:rsidRDefault="004B3707" w:rsidP="00316EC0">
    <w:pPr>
      <w:pStyle w:val="Rodap"/>
    </w:pPr>
  </w:p>
  <w:p w14:paraId="11E9B465" w14:textId="77777777" w:rsidR="004B3707" w:rsidRPr="005225EC" w:rsidRDefault="004B3707" w:rsidP="00316EC0">
    <w:pPr>
      <w:pStyle w:val="Rodap"/>
      <w:rPr>
        <w:szCs w:val="18"/>
      </w:rPr>
    </w:pPr>
    <w:r w:rsidRPr="005225EC">
      <w:rPr>
        <w:szCs w:val="18"/>
      </w:rPr>
      <w:t xml:space="preserve">Seite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sidRPr="005225EC">
      <w:rPr>
        <w:rStyle w:val="Nmerodepgina"/>
        <w:szCs w:val="18"/>
      </w:rPr>
      <w:t xml:space="preserve"> von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DCE16" w14:textId="77777777" w:rsidR="00C832EB" w:rsidRDefault="00C832EB" w:rsidP="00FD1184">
      <w:r>
        <w:separator/>
      </w:r>
    </w:p>
  </w:footnote>
  <w:footnote w:type="continuationSeparator" w:id="0">
    <w:p w14:paraId="4377BD44" w14:textId="77777777" w:rsidR="00C832EB" w:rsidRDefault="00C832EB" w:rsidP="00FD1184">
      <w:r>
        <w:continuationSeparator/>
      </w:r>
    </w:p>
  </w:footnote>
  <w:footnote w:type="continuationNotice" w:id="1">
    <w:p w14:paraId="431DCF6C" w14:textId="77777777" w:rsidR="00C832EB" w:rsidRDefault="00C832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16AF" w14:textId="6EEA962E" w:rsidR="004B3707" w:rsidRPr="006C35A6" w:rsidRDefault="00940BB9" w:rsidP="00316EC0">
    <w:pPr>
      <w:pStyle w:val="Cabealho"/>
      <w:spacing w:after="1880"/>
      <w:rPr>
        <w:sz w:val="2"/>
        <w:szCs w:val="2"/>
      </w:rPr>
    </w:pPr>
    <w:r w:rsidRPr="003F4CD0">
      <w:rPr>
        <w:noProof/>
        <w:sz w:val="2"/>
        <w:szCs w:val="2"/>
      </w:rPr>
      <w:drawing>
        <wp:anchor distT="0" distB="0" distL="114300" distR="114300" simplePos="0" relativeHeight="251658243" behindDoc="1" locked="0" layoutInCell="1" allowOverlap="1" wp14:anchorId="182CEA12" wp14:editId="6548D67F">
          <wp:simplePos x="0" y="0"/>
          <wp:positionH relativeFrom="column">
            <wp:posOffset>5080</wp:posOffset>
          </wp:positionH>
          <wp:positionV relativeFrom="paragraph">
            <wp:posOffset>122126</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707">
      <w:rPr>
        <w:noProof/>
        <w:sz w:val="2"/>
        <w:szCs w:val="2"/>
      </w:rPr>
      <w:drawing>
        <wp:anchor distT="0" distB="0" distL="114300" distR="114300" simplePos="0" relativeHeight="251658242" behindDoc="0" locked="0" layoutInCell="1" allowOverlap="1" wp14:anchorId="1F422BB8" wp14:editId="09CAC068">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F612" w14:textId="77777777" w:rsidR="004B3707" w:rsidRPr="006C35A6" w:rsidRDefault="004B3707">
    <w:pPr>
      <w:pStyle w:val="Cabealho"/>
      <w:rPr>
        <w:b/>
        <w:sz w:val="2"/>
        <w:szCs w:val="2"/>
      </w:rPr>
    </w:pPr>
    <w:r>
      <w:rPr>
        <w:noProof/>
      </w:rPr>
      <w:drawing>
        <wp:anchor distT="0" distB="0" distL="114300" distR="114300" simplePos="0" relativeHeight="251658241" behindDoc="0" locked="0" layoutInCell="1" allowOverlap="1" wp14:anchorId="6DF95F23" wp14:editId="12C3BEFF">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A830B15" wp14:editId="104D2BA7">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400075">
    <w:abstractNumId w:val="9"/>
  </w:num>
  <w:num w:numId="2" w16cid:durableId="300692035">
    <w:abstractNumId w:val="7"/>
  </w:num>
  <w:num w:numId="3" w16cid:durableId="490103107">
    <w:abstractNumId w:val="6"/>
  </w:num>
  <w:num w:numId="4" w16cid:durableId="181936223">
    <w:abstractNumId w:val="5"/>
  </w:num>
  <w:num w:numId="5" w16cid:durableId="1011837409">
    <w:abstractNumId w:val="4"/>
  </w:num>
  <w:num w:numId="6" w16cid:durableId="1993018280">
    <w:abstractNumId w:val="8"/>
  </w:num>
  <w:num w:numId="7" w16cid:durableId="1573544036">
    <w:abstractNumId w:val="3"/>
  </w:num>
  <w:num w:numId="8" w16cid:durableId="36321125">
    <w:abstractNumId w:val="2"/>
  </w:num>
  <w:num w:numId="9" w16cid:durableId="1623883170">
    <w:abstractNumId w:val="1"/>
  </w:num>
  <w:num w:numId="10" w16cid:durableId="793595561">
    <w:abstractNumId w:val="0"/>
  </w:num>
  <w:num w:numId="11" w16cid:durableId="897517110">
    <w:abstractNumId w:val="12"/>
  </w:num>
  <w:num w:numId="12" w16cid:durableId="984894978">
    <w:abstractNumId w:val="14"/>
  </w:num>
  <w:num w:numId="13" w16cid:durableId="135149581">
    <w:abstractNumId w:val="13"/>
  </w:num>
  <w:num w:numId="14" w16cid:durableId="862858659">
    <w:abstractNumId w:val="10"/>
  </w:num>
  <w:num w:numId="15" w16cid:durableId="930968612">
    <w:abstractNumId w:val="17"/>
  </w:num>
  <w:num w:numId="16" w16cid:durableId="621426073">
    <w:abstractNumId w:val="16"/>
  </w:num>
  <w:num w:numId="17" w16cid:durableId="117144046">
    <w:abstractNumId w:val="11"/>
  </w:num>
  <w:num w:numId="18" w16cid:durableId="878473402">
    <w:abstractNumId w:val="12"/>
  </w:num>
  <w:num w:numId="19" w16cid:durableId="926036060">
    <w:abstractNumId w:val="14"/>
  </w:num>
  <w:num w:numId="20" w16cid:durableId="1589924203">
    <w:abstractNumId w:val="13"/>
  </w:num>
  <w:num w:numId="21" w16cid:durableId="1772699307">
    <w:abstractNumId w:val="9"/>
  </w:num>
  <w:num w:numId="22" w16cid:durableId="707948623">
    <w:abstractNumId w:val="7"/>
  </w:num>
  <w:num w:numId="23" w16cid:durableId="1078482913">
    <w:abstractNumId w:val="6"/>
  </w:num>
  <w:num w:numId="24" w16cid:durableId="2014406696">
    <w:abstractNumId w:val="5"/>
  </w:num>
  <w:num w:numId="25" w16cid:durableId="106003410">
    <w:abstractNumId w:val="4"/>
  </w:num>
  <w:num w:numId="26" w16cid:durableId="2060399140">
    <w:abstractNumId w:val="8"/>
  </w:num>
  <w:num w:numId="27" w16cid:durableId="1671642904">
    <w:abstractNumId w:val="3"/>
  </w:num>
  <w:num w:numId="28" w16cid:durableId="991761136">
    <w:abstractNumId w:val="2"/>
  </w:num>
  <w:num w:numId="29" w16cid:durableId="1307972779">
    <w:abstractNumId w:val="1"/>
  </w:num>
  <w:num w:numId="30" w16cid:durableId="607277149">
    <w:abstractNumId w:val="0"/>
  </w:num>
  <w:num w:numId="31" w16cid:durableId="2132043174">
    <w:abstractNumId w:val="10"/>
  </w:num>
  <w:num w:numId="32" w16cid:durableId="20895745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de-DE" w:vendorID="64" w:dllVersion="0"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50F7"/>
    <w:rsid w:val="000060A3"/>
    <w:rsid w:val="00007459"/>
    <w:rsid w:val="00010615"/>
    <w:rsid w:val="00017FD6"/>
    <w:rsid w:val="00022955"/>
    <w:rsid w:val="00033332"/>
    <w:rsid w:val="00033B6F"/>
    <w:rsid w:val="00035360"/>
    <w:rsid w:val="00042660"/>
    <w:rsid w:val="00044EB8"/>
    <w:rsid w:val="00046D8D"/>
    <w:rsid w:val="000478DF"/>
    <w:rsid w:val="00047E57"/>
    <w:rsid w:val="00052D1E"/>
    <w:rsid w:val="00052FB1"/>
    <w:rsid w:val="0005492A"/>
    <w:rsid w:val="0006177F"/>
    <w:rsid w:val="0006608A"/>
    <w:rsid w:val="0006653B"/>
    <w:rsid w:val="0007047A"/>
    <w:rsid w:val="00070FC4"/>
    <w:rsid w:val="000731FD"/>
    <w:rsid w:val="00083287"/>
    <w:rsid w:val="00084555"/>
    <w:rsid w:val="000846DA"/>
    <w:rsid w:val="00084C9A"/>
    <w:rsid w:val="00085DD4"/>
    <w:rsid w:val="00086556"/>
    <w:rsid w:val="000902FA"/>
    <w:rsid w:val="00090E4A"/>
    <w:rsid w:val="00092F83"/>
    <w:rsid w:val="000A0DDB"/>
    <w:rsid w:val="000A7091"/>
    <w:rsid w:val="000B1B97"/>
    <w:rsid w:val="000B48F4"/>
    <w:rsid w:val="000B4D73"/>
    <w:rsid w:val="000D13BE"/>
    <w:rsid w:val="000D1DD8"/>
    <w:rsid w:val="000D39F8"/>
    <w:rsid w:val="000D4283"/>
    <w:rsid w:val="000E06AB"/>
    <w:rsid w:val="000E0F42"/>
    <w:rsid w:val="000E196A"/>
    <w:rsid w:val="000E3F88"/>
    <w:rsid w:val="000E67C3"/>
    <w:rsid w:val="000E790D"/>
    <w:rsid w:val="000F70A3"/>
    <w:rsid w:val="00102E05"/>
    <w:rsid w:val="0010786E"/>
    <w:rsid w:val="00110640"/>
    <w:rsid w:val="00110DE8"/>
    <w:rsid w:val="0011444D"/>
    <w:rsid w:val="00114820"/>
    <w:rsid w:val="00115DC2"/>
    <w:rsid w:val="001175D3"/>
    <w:rsid w:val="00124443"/>
    <w:rsid w:val="00130280"/>
    <w:rsid w:val="00130512"/>
    <w:rsid w:val="00133E0B"/>
    <w:rsid w:val="00140BFC"/>
    <w:rsid w:val="00141B2B"/>
    <w:rsid w:val="00152E73"/>
    <w:rsid w:val="001625AF"/>
    <w:rsid w:val="001631E8"/>
    <w:rsid w:val="00165932"/>
    <w:rsid w:val="00171327"/>
    <w:rsid w:val="0017414F"/>
    <w:rsid w:val="00174CFC"/>
    <w:rsid w:val="00175935"/>
    <w:rsid w:val="00186875"/>
    <w:rsid w:val="00190CD0"/>
    <w:rsid w:val="00196518"/>
    <w:rsid w:val="00197C9A"/>
    <w:rsid w:val="001B0B67"/>
    <w:rsid w:val="001B206A"/>
    <w:rsid w:val="001B21E0"/>
    <w:rsid w:val="001C49AE"/>
    <w:rsid w:val="001D0C92"/>
    <w:rsid w:val="001D3ECC"/>
    <w:rsid w:val="001D684D"/>
    <w:rsid w:val="001F00B7"/>
    <w:rsid w:val="001F0A5E"/>
    <w:rsid w:val="001F1C59"/>
    <w:rsid w:val="001F321B"/>
    <w:rsid w:val="001F45B7"/>
    <w:rsid w:val="001F7C26"/>
    <w:rsid w:val="00203AD4"/>
    <w:rsid w:val="00206E89"/>
    <w:rsid w:val="00212D4A"/>
    <w:rsid w:val="002159BA"/>
    <w:rsid w:val="002175F2"/>
    <w:rsid w:val="0022009A"/>
    <w:rsid w:val="002204B4"/>
    <w:rsid w:val="00221C32"/>
    <w:rsid w:val="0022399B"/>
    <w:rsid w:val="00224428"/>
    <w:rsid w:val="00224A9A"/>
    <w:rsid w:val="0023190B"/>
    <w:rsid w:val="0023466C"/>
    <w:rsid w:val="002366B2"/>
    <w:rsid w:val="00242A50"/>
    <w:rsid w:val="0024351A"/>
    <w:rsid w:val="0024351E"/>
    <w:rsid w:val="00245368"/>
    <w:rsid w:val="002465EB"/>
    <w:rsid w:val="00247D5A"/>
    <w:rsid w:val="00252307"/>
    <w:rsid w:val="002529E6"/>
    <w:rsid w:val="002530DF"/>
    <w:rsid w:val="00256484"/>
    <w:rsid w:val="00260CCD"/>
    <w:rsid w:val="00262EE6"/>
    <w:rsid w:val="0026645A"/>
    <w:rsid w:val="00266B39"/>
    <w:rsid w:val="0027405D"/>
    <w:rsid w:val="00275D17"/>
    <w:rsid w:val="00276C89"/>
    <w:rsid w:val="002771D9"/>
    <w:rsid w:val="002804AF"/>
    <w:rsid w:val="00282723"/>
    <w:rsid w:val="00287090"/>
    <w:rsid w:val="00290D43"/>
    <w:rsid w:val="00290F07"/>
    <w:rsid w:val="002922C1"/>
    <w:rsid w:val="00296571"/>
    <w:rsid w:val="002A2921"/>
    <w:rsid w:val="002A4D97"/>
    <w:rsid w:val="002A67F0"/>
    <w:rsid w:val="002B60A3"/>
    <w:rsid w:val="002B6293"/>
    <w:rsid w:val="002B62A3"/>
    <w:rsid w:val="002B645E"/>
    <w:rsid w:val="002B6B13"/>
    <w:rsid w:val="002C10C6"/>
    <w:rsid w:val="002C12A0"/>
    <w:rsid w:val="002D206A"/>
    <w:rsid w:val="002D2996"/>
    <w:rsid w:val="002D464B"/>
    <w:rsid w:val="002E698A"/>
    <w:rsid w:val="002F5BCB"/>
    <w:rsid w:val="00300C9D"/>
    <w:rsid w:val="00300F28"/>
    <w:rsid w:val="00301998"/>
    <w:rsid w:val="003067D4"/>
    <w:rsid w:val="003168FA"/>
    <w:rsid w:val="00316EC0"/>
    <w:rsid w:val="00317BB5"/>
    <w:rsid w:val="00321EE4"/>
    <w:rsid w:val="003402B9"/>
    <w:rsid w:val="003410B9"/>
    <w:rsid w:val="00341E39"/>
    <w:rsid w:val="003449DC"/>
    <w:rsid w:val="00344E3B"/>
    <w:rsid w:val="003508E4"/>
    <w:rsid w:val="003603CB"/>
    <w:rsid w:val="00366697"/>
    <w:rsid w:val="00367974"/>
    <w:rsid w:val="003742D9"/>
    <w:rsid w:val="00377238"/>
    <w:rsid w:val="00380845"/>
    <w:rsid w:val="00383023"/>
    <w:rsid w:val="00384C52"/>
    <w:rsid w:val="003935F4"/>
    <w:rsid w:val="00397877"/>
    <w:rsid w:val="003A023D"/>
    <w:rsid w:val="003A1BB1"/>
    <w:rsid w:val="003A390F"/>
    <w:rsid w:val="003A4CED"/>
    <w:rsid w:val="003B0938"/>
    <w:rsid w:val="003B46BD"/>
    <w:rsid w:val="003C0198"/>
    <w:rsid w:val="003C14F1"/>
    <w:rsid w:val="003D3C20"/>
    <w:rsid w:val="003D6E84"/>
    <w:rsid w:val="003E3A9B"/>
    <w:rsid w:val="003E4161"/>
    <w:rsid w:val="003F01FD"/>
    <w:rsid w:val="003F4BE4"/>
    <w:rsid w:val="003F5509"/>
    <w:rsid w:val="003F7122"/>
    <w:rsid w:val="004010A5"/>
    <w:rsid w:val="004016F5"/>
    <w:rsid w:val="00404D8B"/>
    <w:rsid w:val="004050DF"/>
    <w:rsid w:val="004060FC"/>
    <w:rsid w:val="004146D3"/>
    <w:rsid w:val="00415145"/>
    <w:rsid w:val="00422338"/>
    <w:rsid w:val="00425650"/>
    <w:rsid w:val="00432732"/>
    <w:rsid w:val="0043547E"/>
    <w:rsid w:val="00446271"/>
    <w:rsid w:val="0045469F"/>
    <w:rsid w:val="00476A8F"/>
    <w:rsid w:val="00476F6F"/>
    <w:rsid w:val="0047761E"/>
    <w:rsid w:val="0048125C"/>
    <w:rsid w:val="004815AA"/>
    <w:rsid w:val="004820F9"/>
    <w:rsid w:val="004870E2"/>
    <w:rsid w:val="00491B96"/>
    <w:rsid w:val="00491C7E"/>
    <w:rsid w:val="0049367A"/>
    <w:rsid w:val="004964A7"/>
    <w:rsid w:val="0049665B"/>
    <w:rsid w:val="004A28CF"/>
    <w:rsid w:val="004A5E45"/>
    <w:rsid w:val="004B3707"/>
    <w:rsid w:val="004C043A"/>
    <w:rsid w:val="004C28A5"/>
    <w:rsid w:val="004C520C"/>
    <w:rsid w:val="004C5E53"/>
    <w:rsid w:val="004E04B2"/>
    <w:rsid w:val="004E1DCE"/>
    <w:rsid w:val="004E27F6"/>
    <w:rsid w:val="004E3505"/>
    <w:rsid w:val="004F0B24"/>
    <w:rsid w:val="004F1444"/>
    <w:rsid w:val="004F6283"/>
    <w:rsid w:val="005020EF"/>
    <w:rsid w:val="00510ACF"/>
    <w:rsid w:val="00513D7D"/>
    <w:rsid w:val="00515029"/>
    <w:rsid w:val="005225B4"/>
    <w:rsid w:val="005225EC"/>
    <w:rsid w:val="00525847"/>
    <w:rsid w:val="005337DD"/>
    <w:rsid w:val="00537FE8"/>
    <w:rsid w:val="00540E64"/>
    <w:rsid w:val="00545F48"/>
    <w:rsid w:val="005501CB"/>
    <w:rsid w:val="00552ADA"/>
    <w:rsid w:val="005530E6"/>
    <w:rsid w:val="00554C5A"/>
    <w:rsid w:val="00555D3D"/>
    <w:rsid w:val="005708C9"/>
    <w:rsid w:val="0057548A"/>
    <w:rsid w:val="00582643"/>
    <w:rsid w:val="00582C0E"/>
    <w:rsid w:val="00583ACC"/>
    <w:rsid w:val="005871F1"/>
    <w:rsid w:val="00587C52"/>
    <w:rsid w:val="0059103C"/>
    <w:rsid w:val="00591774"/>
    <w:rsid w:val="00594DC3"/>
    <w:rsid w:val="005A119C"/>
    <w:rsid w:val="005A2DE0"/>
    <w:rsid w:val="005A2FCB"/>
    <w:rsid w:val="005A3561"/>
    <w:rsid w:val="005A55A9"/>
    <w:rsid w:val="005A73EC"/>
    <w:rsid w:val="005B3BD7"/>
    <w:rsid w:val="005B4DEE"/>
    <w:rsid w:val="005B7C4D"/>
    <w:rsid w:val="005D3E2C"/>
    <w:rsid w:val="005E0397"/>
    <w:rsid w:val="005E799F"/>
    <w:rsid w:val="005F14F3"/>
    <w:rsid w:val="005F234C"/>
    <w:rsid w:val="005F3548"/>
    <w:rsid w:val="005F3D4A"/>
    <w:rsid w:val="005F50D9"/>
    <w:rsid w:val="005F52C9"/>
    <w:rsid w:val="0060157D"/>
    <w:rsid w:val="00602954"/>
    <w:rsid w:val="00605C02"/>
    <w:rsid w:val="00606A38"/>
    <w:rsid w:val="00610B7C"/>
    <w:rsid w:val="00611C97"/>
    <w:rsid w:val="00623460"/>
    <w:rsid w:val="00625CA1"/>
    <w:rsid w:val="006260FB"/>
    <w:rsid w:val="00630DAD"/>
    <w:rsid w:val="00631FF2"/>
    <w:rsid w:val="0063241D"/>
    <w:rsid w:val="00636C35"/>
    <w:rsid w:val="00645F2F"/>
    <w:rsid w:val="006460A9"/>
    <w:rsid w:val="00647919"/>
    <w:rsid w:val="00651F1E"/>
    <w:rsid w:val="00652A75"/>
    <w:rsid w:val="00662D9E"/>
    <w:rsid w:val="00665007"/>
    <w:rsid w:val="006651E2"/>
    <w:rsid w:val="006729D2"/>
    <w:rsid w:val="00694B93"/>
    <w:rsid w:val="00695F5D"/>
    <w:rsid w:val="00696594"/>
    <w:rsid w:val="006A1832"/>
    <w:rsid w:val="006A37AB"/>
    <w:rsid w:val="006A3F03"/>
    <w:rsid w:val="006A49ED"/>
    <w:rsid w:val="006A581A"/>
    <w:rsid w:val="006A757E"/>
    <w:rsid w:val="006C35A6"/>
    <w:rsid w:val="006C388A"/>
    <w:rsid w:val="006C6B58"/>
    <w:rsid w:val="006C733A"/>
    <w:rsid w:val="006D2890"/>
    <w:rsid w:val="006D601A"/>
    <w:rsid w:val="006D6547"/>
    <w:rsid w:val="006E04EA"/>
    <w:rsid w:val="006E2710"/>
    <w:rsid w:val="006E27F5"/>
    <w:rsid w:val="006E2F15"/>
    <w:rsid w:val="006E383C"/>
    <w:rsid w:val="006E5B66"/>
    <w:rsid w:val="006F1B3F"/>
    <w:rsid w:val="006F2902"/>
    <w:rsid w:val="006F3AB9"/>
    <w:rsid w:val="006F5AC8"/>
    <w:rsid w:val="007068A1"/>
    <w:rsid w:val="00711E25"/>
    <w:rsid w:val="00716CC3"/>
    <w:rsid w:val="007170C2"/>
    <w:rsid w:val="00717EDA"/>
    <w:rsid w:val="0072366D"/>
    <w:rsid w:val="00731495"/>
    <w:rsid w:val="00736501"/>
    <w:rsid w:val="00742797"/>
    <w:rsid w:val="00744FA6"/>
    <w:rsid w:val="00751E3D"/>
    <w:rsid w:val="007601B0"/>
    <w:rsid w:val="00763004"/>
    <w:rsid w:val="00770879"/>
    <w:rsid w:val="00775D2E"/>
    <w:rsid w:val="007767FA"/>
    <w:rsid w:val="0078363B"/>
    <w:rsid w:val="00784360"/>
    <w:rsid w:val="00793C37"/>
    <w:rsid w:val="0079694B"/>
    <w:rsid w:val="007A0939"/>
    <w:rsid w:val="007A2C47"/>
    <w:rsid w:val="007C2596"/>
    <w:rsid w:val="007C3F8C"/>
    <w:rsid w:val="007C42FA"/>
    <w:rsid w:val="007E025C"/>
    <w:rsid w:val="007E1760"/>
    <w:rsid w:val="007E5A2B"/>
    <w:rsid w:val="007E615D"/>
    <w:rsid w:val="007E7C76"/>
    <w:rsid w:val="007F1506"/>
    <w:rsid w:val="007F200A"/>
    <w:rsid w:val="007F2B5C"/>
    <w:rsid w:val="007F50F8"/>
    <w:rsid w:val="00800AA9"/>
    <w:rsid w:val="008056AC"/>
    <w:rsid w:val="008107E3"/>
    <w:rsid w:val="00811FAB"/>
    <w:rsid w:val="00820548"/>
    <w:rsid w:val="0082192E"/>
    <w:rsid w:val="00824097"/>
    <w:rsid w:val="0082512E"/>
    <w:rsid w:val="00826AB1"/>
    <w:rsid w:val="00830DDC"/>
    <w:rsid w:val="00834C6F"/>
    <w:rsid w:val="00834E44"/>
    <w:rsid w:val="00836B9A"/>
    <w:rsid w:val="008420F0"/>
    <w:rsid w:val="00842C80"/>
    <w:rsid w:val="0084389E"/>
    <w:rsid w:val="00844390"/>
    <w:rsid w:val="00846E59"/>
    <w:rsid w:val="00851A49"/>
    <w:rsid w:val="008528B3"/>
    <w:rsid w:val="00855E52"/>
    <w:rsid w:val="00860A6B"/>
    <w:rsid w:val="008766FF"/>
    <w:rsid w:val="008813B2"/>
    <w:rsid w:val="00885442"/>
    <w:rsid w:val="00891733"/>
    <w:rsid w:val="008936C2"/>
    <w:rsid w:val="00894378"/>
    <w:rsid w:val="00896D71"/>
    <w:rsid w:val="008A0D35"/>
    <w:rsid w:val="008B03E0"/>
    <w:rsid w:val="008B576F"/>
    <w:rsid w:val="008B7AFE"/>
    <w:rsid w:val="008C00D3"/>
    <w:rsid w:val="008C06FF"/>
    <w:rsid w:val="008C2187"/>
    <w:rsid w:val="008D5A15"/>
    <w:rsid w:val="008D6543"/>
    <w:rsid w:val="008D70C3"/>
    <w:rsid w:val="008E6680"/>
    <w:rsid w:val="008E7921"/>
    <w:rsid w:val="008F1DDB"/>
    <w:rsid w:val="008F49C5"/>
    <w:rsid w:val="008F4A69"/>
    <w:rsid w:val="008F68F5"/>
    <w:rsid w:val="009031FF"/>
    <w:rsid w:val="009036F8"/>
    <w:rsid w:val="009045E1"/>
    <w:rsid w:val="00904D77"/>
    <w:rsid w:val="0090621C"/>
    <w:rsid w:val="00910214"/>
    <w:rsid w:val="00910E5E"/>
    <w:rsid w:val="00915982"/>
    <w:rsid w:val="00916C67"/>
    <w:rsid w:val="00921EF8"/>
    <w:rsid w:val="00922A0A"/>
    <w:rsid w:val="0092775B"/>
    <w:rsid w:val="00934DE5"/>
    <w:rsid w:val="00935881"/>
    <w:rsid w:val="00940BB9"/>
    <w:rsid w:val="009560C1"/>
    <w:rsid w:val="009577A8"/>
    <w:rsid w:val="00966112"/>
    <w:rsid w:val="009679E5"/>
    <w:rsid w:val="00971345"/>
    <w:rsid w:val="009752DC"/>
    <w:rsid w:val="0097547F"/>
    <w:rsid w:val="00975DC3"/>
    <w:rsid w:val="00977987"/>
    <w:rsid w:val="00980E3B"/>
    <w:rsid w:val="00982106"/>
    <w:rsid w:val="00986420"/>
    <w:rsid w:val="00992553"/>
    <w:rsid w:val="009A2F60"/>
    <w:rsid w:val="009A4744"/>
    <w:rsid w:val="009A7CDC"/>
    <w:rsid w:val="009B1AD8"/>
    <w:rsid w:val="009B4921"/>
    <w:rsid w:val="009C06F8"/>
    <w:rsid w:val="009C40DA"/>
    <w:rsid w:val="009C5F4B"/>
    <w:rsid w:val="009D5B52"/>
    <w:rsid w:val="009D779F"/>
    <w:rsid w:val="009E3A1C"/>
    <w:rsid w:val="009F05F2"/>
    <w:rsid w:val="009F07B1"/>
    <w:rsid w:val="009F10A2"/>
    <w:rsid w:val="00A033BF"/>
    <w:rsid w:val="00A065F4"/>
    <w:rsid w:val="00A07C2B"/>
    <w:rsid w:val="00A1593C"/>
    <w:rsid w:val="00A16154"/>
    <w:rsid w:val="00A25205"/>
    <w:rsid w:val="00A30BD0"/>
    <w:rsid w:val="00A333FB"/>
    <w:rsid w:val="00A3644E"/>
    <w:rsid w:val="00A41C88"/>
    <w:rsid w:val="00A43D2C"/>
    <w:rsid w:val="00A470BB"/>
    <w:rsid w:val="00A5345B"/>
    <w:rsid w:val="00A6056D"/>
    <w:rsid w:val="00A60CE5"/>
    <w:rsid w:val="00A640CC"/>
    <w:rsid w:val="00A70C5E"/>
    <w:rsid w:val="00A712B8"/>
    <w:rsid w:val="00A712C6"/>
    <w:rsid w:val="00A76704"/>
    <w:rsid w:val="00A77698"/>
    <w:rsid w:val="00A777B7"/>
    <w:rsid w:val="00A81042"/>
    <w:rsid w:val="00A81F2D"/>
    <w:rsid w:val="00A82F77"/>
    <w:rsid w:val="00A82F9D"/>
    <w:rsid w:val="00A96F0A"/>
    <w:rsid w:val="00AC6DC8"/>
    <w:rsid w:val="00AD7F55"/>
    <w:rsid w:val="00AE3085"/>
    <w:rsid w:val="00AE3848"/>
    <w:rsid w:val="00AE57A3"/>
    <w:rsid w:val="00AF0606"/>
    <w:rsid w:val="00AF071B"/>
    <w:rsid w:val="00AF37D8"/>
    <w:rsid w:val="00AF4AEF"/>
    <w:rsid w:val="00B128FD"/>
    <w:rsid w:val="00B2025B"/>
    <w:rsid w:val="00B2500C"/>
    <w:rsid w:val="00B300C4"/>
    <w:rsid w:val="00B31D5A"/>
    <w:rsid w:val="00B32937"/>
    <w:rsid w:val="00B42BB6"/>
    <w:rsid w:val="00B43689"/>
    <w:rsid w:val="00B465D6"/>
    <w:rsid w:val="00B467E6"/>
    <w:rsid w:val="00B46BD0"/>
    <w:rsid w:val="00B50494"/>
    <w:rsid w:val="00B535F2"/>
    <w:rsid w:val="00B615C7"/>
    <w:rsid w:val="00B74282"/>
    <w:rsid w:val="00B75635"/>
    <w:rsid w:val="00B75BE6"/>
    <w:rsid w:val="00B760B1"/>
    <w:rsid w:val="00B77259"/>
    <w:rsid w:val="00B811DE"/>
    <w:rsid w:val="00B8181A"/>
    <w:rsid w:val="00B8261E"/>
    <w:rsid w:val="00B85905"/>
    <w:rsid w:val="00B93312"/>
    <w:rsid w:val="00B935D9"/>
    <w:rsid w:val="00B94592"/>
    <w:rsid w:val="00BA11C5"/>
    <w:rsid w:val="00BA41A7"/>
    <w:rsid w:val="00BA4EB5"/>
    <w:rsid w:val="00BA584D"/>
    <w:rsid w:val="00BA6649"/>
    <w:rsid w:val="00BB347B"/>
    <w:rsid w:val="00BB4C6A"/>
    <w:rsid w:val="00BB5424"/>
    <w:rsid w:val="00BC1D7E"/>
    <w:rsid w:val="00BC2833"/>
    <w:rsid w:val="00BD03DC"/>
    <w:rsid w:val="00BD10E1"/>
    <w:rsid w:val="00BD1ED4"/>
    <w:rsid w:val="00BD4E9A"/>
    <w:rsid w:val="00BD6F6D"/>
    <w:rsid w:val="00BE0EBB"/>
    <w:rsid w:val="00BE1628"/>
    <w:rsid w:val="00BE25DC"/>
    <w:rsid w:val="00BE72A5"/>
    <w:rsid w:val="00BF0F5C"/>
    <w:rsid w:val="00BF2CEC"/>
    <w:rsid w:val="00BF30BC"/>
    <w:rsid w:val="00BF70B0"/>
    <w:rsid w:val="00BF7733"/>
    <w:rsid w:val="00C142D6"/>
    <w:rsid w:val="00C144BC"/>
    <w:rsid w:val="00C20AFD"/>
    <w:rsid w:val="00C21FFE"/>
    <w:rsid w:val="00C2259A"/>
    <w:rsid w:val="00C242F2"/>
    <w:rsid w:val="00C251AD"/>
    <w:rsid w:val="00C25C2B"/>
    <w:rsid w:val="00C3056B"/>
    <w:rsid w:val="00C310A2"/>
    <w:rsid w:val="00C33407"/>
    <w:rsid w:val="00C3628A"/>
    <w:rsid w:val="00C4015D"/>
    <w:rsid w:val="00C40E5D"/>
    <w:rsid w:val="00C421AD"/>
    <w:rsid w:val="00C4228E"/>
    <w:rsid w:val="00C4300F"/>
    <w:rsid w:val="00C54364"/>
    <w:rsid w:val="00C60F15"/>
    <w:rsid w:val="00C62002"/>
    <w:rsid w:val="00C63F9F"/>
    <w:rsid w:val="00C64A3D"/>
    <w:rsid w:val="00C66297"/>
    <w:rsid w:val="00C74D6D"/>
    <w:rsid w:val="00C817B6"/>
    <w:rsid w:val="00C829B3"/>
    <w:rsid w:val="00C832EB"/>
    <w:rsid w:val="00C84CB8"/>
    <w:rsid w:val="00C86A9B"/>
    <w:rsid w:val="00C92897"/>
    <w:rsid w:val="00C930F0"/>
    <w:rsid w:val="00C97CD7"/>
    <w:rsid w:val="00CB0F7E"/>
    <w:rsid w:val="00CB3A53"/>
    <w:rsid w:val="00CC69A5"/>
    <w:rsid w:val="00CD18DB"/>
    <w:rsid w:val="00CD754E"/>
    <w:rsid w:val="00CE10DA"/>
    <w:rsid w:val="00CE17BF"/>
    <w:rsid w:val="00CE2E92"/>
    <w:rsid w:val="00CE654B"/>
    <w:rsid w:val="00CF2E07"/>
    <w:rsid w:val="00CF3942"/>
    <w:rsid w:val="00D05225"/>
    <w:rsid w:val="00D07A7F"/>
    <w:rsid w:val="00D129CF"/>
    <w:rsid w:val="00D165D2"/>
    <w:rsid w:val="00D224BE"/>
    <w:rsid w:val="00D24AFE"/>
    <w:rsid w:val="00D2642C"/>
    <w:rsid w:val="00D3075D"/>
    <w:rsid w:val="00D313CF"/>
    <w:rsid w:val="00D32AEC"/>
    <w:rsid w:val="00D333AA"/>
    <w:rsid w:val="00D35567"/>
    <w:rsid w:val="00D415F5"/>
    <w:rsid w:val="00D418FB"/>
    <w:rsid w:val="00D46695"/>
    <w:rsid w:val="00D46DAB"/>
    <w:rsid w:val="00D50B3E"/>
    <w:rsid w:val="00D55961"/>
    <w:rsid w:val="00D577C0"/>
    <w:rsid w:val="00D60C11"/>
    <w:rsid w:val="00D60EE3"/>
    <w:rsid w:val="00D61633"/>
    <w:rsid w:val="00D62ED7"/>
    <w:rsid w:val="00D63746"/>
    <w:rsid w:val="00D67640"/>
    <w:rsid w:val="00D72572"/>
    <w:rsid w:val="00D72A07"/>
    <w:rsid w:val="00D81FE9"/>
    <w:rsid w:val="00D8292A"/>
    <w:rsid w:val="00D84239"/>
    <w:rsid w:val="00D863CD"/>
    <w:rsid w:val="00D8641B"/>
    <w:rsid w:val="00D90774"/>
    <w:rsid w:val="00D91247"/>
    <w:rsid w:val="00D95388"/>
    <w:rsid w:val="00D96E15"/>
    <w:rsid w:val="00DA639C"/>
    <w:rsid w:val="00DA6A8C"/>
    <w:rsid w:val="00DB1FE1"/>
    <w:rsid w:val="00DB3AFA"/>
    <w:rsid w:val="00DB3E3C"/>
    <w:rsid w:val="00DB6976"/>
    <w:rsid w:val="00DB6C40"/>
    <w:rsid w:val="00DC3B81"/>
    <w:rsid w:val="00DC3E2D"/>
    <w:rsid w:val="00DD14FA"/>
    <w:rsid w:val="00DD310A"/>
    <w:rsid w:val="00DD3173"/>
    <w:rsid w:val="00DE534A"/>
    <w:rsid w:val="00DE7067"/>
    <w:rsid w:val="00DE7850"/>
    <w:rsid w:val="00DE79ED"/>
    <w:rsid w:val="00DE7E62"/>
    <w:rsid w:val="00DF56EC"/>
    <w:rsid w:val="00E05BB2"/>
    <w:rsid w:val="00E120CF"/>
    <w:rsid w:val="00E13506"/>
    <w:rsid w:val="00E172A1"/>
    <w:rsid w:val="00E241F5"/>
    <w:rsid w:val="00E363F0"/>
    <w:rsid w:val="00E36451"/>
    <w:rsid w:val="00E40C84"/>
    <w:rsid w:val="00E411BD"/>
    <w:rsid w:val="00E423BF"/>
    <w:rsid w:val="00E42699"/>
    <w:rsid w:val="00E430EA"/>
    <w:rsid w:val="00E43345"/>
    <w:rsid w:val="00E4351A"/>
    <w:rsid w:val="00E44B62"/>
    <w:rsid w:val="00E506FB"/>
    <w:rsid w:val="00E541EA"/>
    <w:rsid w:val="00E56426"/>
    <w:rsid w:val="00E62725"/>
    <w:rsid w:val="00E67709"/>
    <w:rsid w:val="00E8047E"/>
    <w:rsid w:val="00E8576B"/>
    <w:rsid w:val="00E903C1"/>
    <w:rsid w:val="00E97290"/>
    <w:rsid w:val="00EA2FC2"/>
    <w:rsid w:val="00EA6D5D"/>
    <w:rsid w:val="00EB0C3E"/>
    <w:rsid w:val="00EC012C"/>
    <w:rsid w:val="00EC2C4D"/>
    <w:rsid w:val="00EC7B88"/>
    <w:rsid w:val="00EC7D84"/>
    <w:rsid w:val="00ED14CA"/>
    <w:rsid w:val="00ED6F27"/>
    <w:rsid w:val="00ED75F0"/>
    <w:rsid w:val="00EE65CF"/>
    <w:rsid w:val="00EF0987"/>
    <w:rsid w:val="00EF353E"/>
    <w:rsid w:val="00EF7CED"/>
    <w:rsid w:val="00EF7EB3"/>
    <w:rsid w:val="00F01E13"/>
    <w:rsid w:val="00F02BAF"/>
    <w:rsid w:val="00F07F0E"/>
    <w:rsid w:val="00F10108"/>
    <w:rsid w:val="00F11A5B"/>
    <w:rsid w:val="00F1734D"/>
    <w:rsid w:val="00F215B9"/>
    <w:rsid w:val="00F222F0"/>
    <w:rsid w:val="00F24D2F"/>
    <w:rsid w:val="00F2697E"/>
    <w:rsid w:val="00F31961"/>
    <w:rsid w:val="00F32F14"/>
    <w:rsid w:val="00F36025"/>
    <w:rsid w:val="00F41C6F"/>
    <w:rsid w:val="00F431F9"/>
    <w:rsid w:val="00F44519"/>
    <w:rsid w:val="00F47702"/>
    <w:rsid w:val="00F5602B"/>
    <w:rsid w:val="00F5608E"/>
    <w:rsid w:val="00F623B8"/>
    <w:rsid w:val="00F637A6"/>
    <w:rsid w:val="00F66FEE"/>
    <w:rsid w:val="00F708E8"/>
    <w:rsid w:val="00F71A0F"/>
    <w:rsid w:val="00F757ED"/>
    <w:rsid w:val="00F77541"/>
    <w:rsid w:val="00F81C34"/>
    <w:rsid w:val="00F87391"/>
    <w:rsid w:val="00F87DB6"/>
    <w:rsid w:val="00F91CD8"/>
    <w:rsid w:val="00F94E80"/>
    <w:rsid w:val="00FA0FC6"/>
    <w:rsid w:val="00FA151A"/>
    <w:rsid w:val="00FA2B29"/>
    <w:rsid w:val="00FA30D7"/>
    <w:rsid w:val="00FA5164"/>
    <w:rsid w:val="00FA5F5C"/>
    <w:rsid w:val="00FA6612"/>
    <w:rsid w:val="00FA7F8A"/>
    <w:rsid w:val="00FB1B28"/>
    <w:rsid w:val="00FB3C2D"/>
    <w:rsid w:val="00FB5C1F"/>
    <w:rsid w:val="00FC4787"/>
    <w:rsid w:val="00FC4B37"/>
    <w:rsid w:val="00FD0461"/>
    <w:rsid w:val="00FD1184"/>
    <w:rsid w:val="00FD37DA"/>
    <w:rsid w:val="00FE3B0D"/>
    <w:rsid w:val="00FE591C"/>
    <w:rsid w:val="00FE676A"/>
    <w:rsid w:val="00FE6F62"/>
    <w:rsid w:val="00FF0DA9"/>
    <w:rsid w:val="00FF1F34"/>
    <w:rsid w:val="2895AF48"/>
    <w:rsid w:val="6F015DF2"/>
    <w:rsid w:val="7D057E7B"/>
    <w:rsid w:val="7FA7FB5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01CE7"/>
  <w15:docId w15:val="{9B0852A9-22BA-4F3E-9AA6-110EF71E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77F"/>
    <w:pPr>
      <w:spacing w:line="300" w:lineRule="exact"/>
    </w:pPr>
    <w:rPr>
      <w:rFonts w:ascii="Lucida Sans Unicode" w:hAnsi="Lucida Sans Unicode"/>
      <w:sz w:val="22"/>
      <w:szCs w:val="24"/>
    </w:rPr>
  </w:style>
  <w:style w:type="paragraph" w:styleId="Ttulo1">
    <w:name w:val="heading 1"/>
    <w:basedOn w:val="Normal"/>
    <w:qFormat/>
    <w:rsid w:val="00BF0F5C"/>
    <w:pPr>
      <w:keepNext/>
      <w:numPr>
        <w:numId w:val="31"/>
      </w:numPr>
      <w:spacing w:before="300"/>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06177F"/>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06177F"/>
    <w:pPr>
      <w:numPr>
        <w:numId w:val="0"/>
      </w:numPr>
      <w:spacing w:before="0"/>
    </w:pPr>
  </w:style>
  <w:style w:type="paragraph" w:styleId="Textodebalo">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D81FE9"/>
    <w:pPr>
      <w:autoSpaceDE w:val="0"/>
      <w:autoSpaceDN w:val="0"/>
      <w:spacing w:line="240" w:lineRule="auto"/>
    </w:pPr>
    <w:rPr>
      <w:rFonts w:eastAsiaTheme="minorHAnsi" w:cs="Lucida Sans Unicode"/>
      <w:color w:val="000000"/>
      <w:sz w:val="24"/>
    </w:rPr>
  </w:style>
  <w:style w:type="paragraph" w:customStyle="1" w:styleId="TTitleText">
    <w:name w:val="T_Title_Text"/>
    <w:qFormat/>
    <w:rsid w:val="0006608A"/>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06608A"/>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06608A"/>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06608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06608A"/>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subtotalText">
    <w:name w:val="T_Body_subtotal_Text"/>
    <w:qFormat/>
    <w:rsid w:val="0006608A"/>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06608A"/>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06608A"/>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06608A"/>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06608A"/>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06608A"/>
    <w:rPr>
      <w:rFonts w:ascii="Evonik Prokyon" w:eastAsia="Calibri" w:hAnsi="Evonik Prokyon"/>
      <w:color w:val="000000"/>
      <w:sz w:val="4"/>
      <w:lang w:val="en-US" w:eastAsia="en-US"/>
    </w:rPr>
  </w:style>
  <w:style w:type="paragraph" w:customStyle="1" w:styleId="TBodytotalText">
    <w:name w:val="T_Body_total_Text"/>
    <w:qFormat/>
    <w:rsid w:val="00CE10DA"/>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E10DA"/>
    <w:pPr>
      <w:keepNext/>
      <w:spacing w:after="40" w:line="220" w:lineRule="exact"/>
      <w:ind w:right="57"/>
      <w:jc w:val="right"/>
    </w:pPr>
    <w:rPr>
      <w:rFonts w:ascii="Evonik Prokyon" w:eastAsia="Calibri" w:hAnsi="Evonik Prokyon"/>
      <w:b/>
      <w:color w:val="000000"/>
      <w:sz w:val="14"/>
      <w:lang w:eastAsia="en-US"/>
    </w:rPr>
  </w:style>
  <w:style w:type="paragraph" w:customStyle="1" w:styleId="THeadsingleText">
    <w:name w:val="T_Head_single_Text"/>
    <w:qFormat/>
    <w:rsid w:val="00282723"/>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282723"/>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282723"/>
    <w:pPr>
      <w:keepNext/>
      <w:spacing w:before="40" w:after="40" w:line="220" w:lineRule="exact"/>
      <w:ind w:right="57"/>
      <w:jc w:val="right"/>
    </w:pPr>
    <w:rPr>
      <w:rFonts w:ascii="Evonik Prokyon" w:eastAsia="Calibri" w:hAnsi="Evonik Prokyon"/>
      <w:b/>
      <w:color w:val="991D85"/>
      <w:sz w:val="14"/>
      <w:lang w:eastAsia="en-US"/>
    </w:rPr>
  </w:style>
  <w:style w:type="character" w:styleId="Refdecomentrio">
    <w:name w:val="annotation reference"/>
    <w:basedOn w:val="Fontepargpadro"/>
    <w:semiHidden/>
    <w:unhideWhenUsed/>
    <w:rsid w:val="00E56426"/>
    <w:rPr>
      <w:sz w:val="16"/>
      <w:szCs w:val="16"/>
    </w:rPr>
  </w:style>
  <w:style w:type="paragraph" w:styleId="Textodecomentrio">
    <w:name w:val="annotation text"/>
    <w:basedOn w:val="Normal"/>
    <w:link w:val="TextodecomentrioChar"/>
    <w:semiHidden/>
    <w:unhideWhenUsed/>
    <w:rsid w:val="00E56426"/>
    <w:pPr>
      <w:spacing w:line="240" w:lineRule="auto"/>
    </w:pPr>
    <w:rPr>
      <w:sz w:val="20"/>
      <w:szCs w:val="20"/>
    </w:rPr>
  </w:style>
  <w:style w:type="character" w:customStyle="1" w:styleId="TextodecomentrioChar">
    <w:name w:val="Texto de comentário Char"/>
    <w:basedOn w:val="Fontepargpadro"/>
    <w:link w:val="Textodecomentrio"/>
    <w:semiHidden/>
    <w:rsid w:val="00E56426"/>
    <w:rPr>
      <w:rFonts w:ascii="Lucida Sans Unicode" w:hAnsi="Lucida Sans Unicode"/>
    </w:rPr>
  </w:style>
  <w:style w:type="paragraph" w:styleId="Assuntodocomentrio">
    <w:name w:val="annotation subject"/>
    <w:basedOn w:val="Textodecomentrio"/>
    <w:next w:val="Textodecomentrio"/>
    <w:link w:val="AssuntodocomentrioChar"/>
    <w:semiHidden/>
    <w:unhideWhenUsed/>
    <w:rsid w:val="00E56426"/>
    <w:rPr>
      <w:b/>
      <w:bCs/>
    </w:rPr>
  </w:style>
  <w:style w:type="character" w:customStyle="1" w:styleId="AssuntodocomentrioChar">
    <w:name w:val="Assunto do comentário Char"/>
    <w:basedOn w:val="TextodecomentrioChar"/>
    <w:link w:val="Assuntodocomentrio"/>
    <w:semiHidden/>
    <w:rsid w:val="00E56426"/>
    <w:rPr>
      <w:rFonts w:ascii="Lucida Sans Unicode" w:hAnsi="Lucida Sans Unicode"/>
      <w:b/>
      <w:bCs/>
    </w:rPr>
  </w:style>
  <w:style w:type="character" w:styleId="MenoPendente">
    <w:name w:val="Unresolved Mention"/>
    <w:basedOn w:val="Fontepargpadro"/>
    <w:uiPriority w:val="99"/>
    <w:semiHidden/>
    <w:unhideWhenUsed/>
    <w:rsid w:val="00212D4A"/>
    <w:rPr>
      <w:color w:val="605E5C"/>
      <w:shd w:val="clear" w:color="auto" w:fill="E1DFDD"/>
    </w:rPr>
  </w:style>
  <w:style w:type="paragraph" w:customStyle="1" w:styleId="SNberschrift1">
    <w:name w:val="_SN_Überschrift 1"/>
    <w:basedOn w:val="Normal"/>
    <w:next w:val="Normal"/>
    <w:link w:val="SNberschrift1Zchn"/>
    <w:qFormat/>
    <w:rsid w:val="00C142D6"/>
    <w:pPr>
      <w:keepNext/>
      <w:keepLines/>
      <w:spacing w:before="300" w:after="300" w:line="240" w:lineRule="auto"/>
      <w:outlineLvl w:val="0"/>
    </w:pPr>
    <w:rPr>
      <w:rFonts w:ascii="Evonik Prokyon Medium" w:hAnsi="Evonik Prokyon Medium"/>
      <w:color w:val="991D85"/>
      <w:sz w:val="40"/>
      <w:szCs w:val="20"/>
      <w:lang w:eastAsia="en-US"/>
    </w:rPr>
  </w:style>
  <w:style w:type="character" w:customStyle="1" w:styleId="SNberschrift1Zchn">
    <w:name w:val="_SN_Überschrift 1 Zchn"/>
    <w:link w:val="SNberschrift1"/>
    <w:locked/>
    <w:rsid w:val="00C142D6"/>
    <w:rPr>
      <w:rFonts w:ascii="Evonik Prokyon Medium" w:hAnsi="Evonik Prokyon Medium"/>
      <w:color w:val="991D85"/>
      <w:sz w:val="40"/>
      <w:lang w:eastAsia="en-US"/>
    </w:rPr>
  </w:style>
  <w:style w:type="paragraph" w:customStyle="1" w:styleId="SNEvonikTabellenfu">
    <w:name w:val="_SN_Evonik Tabellenfuß"/>
    <w:basedOn w:val="Normal"/>
    <w:qFormat/>
    <w:rsid w:val="00AC6DC8"/>
    <w:pPr>
      <w:spacing w:before="60" w:line="160" w:lineRule="exact"/>
    </w:pPr>
    <w:rPr>
      <w:rFonts w:ascii="Evonik Prokyon" w:hAnsi="Evonik Prokyon"/>
      <w:sz w:val="12"/>
      <w:szCs w:val="1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304508346">
      <w:bodyDiv w:val="1"/>
      <w:marLeft w:val="0"/>
      <w:marRight w:val="0"/>
      <w:marTop w:val="0"/>
      <w:marBottom w:val="0"/>
      <w:divBdr>
        <w:top w:val="none" w:sz="0" w:space="0" w:color="auto"/>
        <w:left w:val="none" w:sz="0" w:space="0" w:color="auto"/>
        <w:bottom w:val="none" w:sz="0" w:space="0" w:color="auto"/>
        <w:right w:val="none" w:sz="0" w:space="0" w:color="auto"/>
      </w:divBdr>
      <w:divsChild>
        <w:div w:id="1594128132">
          <w:marLeft w:val="0"/>
          <w:marRight w:val="0"/>
          <w:marTop w:val="0"/>
          <w:marBottom w:val="0"/>
          <w:divBdr>
            <w:top w:val="none" w:sz="0" w:space="0" w:color="auto"/>
            <w:left w:val="none" w:sz="0" w:space="0" w:color="auto"/>
            <w:bottom w:val="none" w:sz="0" w:space="0" w:color="auto"/>
            <w:right w:val="none" w:sz="0" w:space="0" w:color="auto"/>
          </w:divBdr>
          <w:divsChild>
            <w:div w:id="152261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voni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erg2.Wagner@evonik.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2B4DC458E52244BCFB0697C2454E67" ma:contentTypeVersion="4" ma:contentTypeDescription="Create a new document." ma:contentTypeScope="" ma:versionID="0ed51cb85d1cb94961641d4265b3c28a">
  <xsd:schema xmlns:xsd="http://www.w3.org/2001/XMLSchema" xmlns:xs="http://www.w3.org/2001/XMLSchema" xmlns:p="http://schemas.microsoft.com/office/2006/metadata/properties" xmlns:ns2="3a078605-0223-4d47-ad88-a3adb89f9d5a" xmlns:ns3="caa88bda-fdb9-4ca7-9e26-a2ea0134c2bc" targetNamespace="http://schemas.microsoft.com/office/2006/metadata/properties" ma:root="true" ma:fieldsID="2e5bbb8f5bde903e4cf57f581b4516b5" ns2:_="" ns3:_="">
    <xsd:import namespace="3a078605-0223-4d47-ad88-a3adb89f9d5a"/>
    <xsd:import namespace="caa88bda-fdb9-4ca7-9e26-a2ea0134c2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78605-0223-4d47-ad88-a3adb89f9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a88bda-fdb9-4ca7-9e26-a2ea0134c2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96469-8551-4322-B6EB-ABC465527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9C88E9-2ECE-4133-BB53-FC35B610E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78605-0223-4d47-ad88-a3adb89f9d5a"/>
    <ds:schemaRef ds:uri="caa88bda-fdb9-4ca7-9e26-a2ea0134c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F9167-0AEE-4491-B904-00FBBF30851F}">
  <ds:schemaRefs>
    <ds:schemaRef ds:uri="http://schemas.openxmlformats.org/officeDocument/2006/bibliography"/>
  </ds:schemaRefs>
</ds:datastoreItem>
</file>

<file path=customXml/itemProps4.xml><?xml version="1.0" encoding="utf-8"?>
<ds:datastoreItem xmlns:ds="http://schemas.openxmlformats.org/officeDocument/2006/customXml" ds:itemID="{A475DE18-FD1D-432E-A305-AA283B910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1354</Words>
  <Characters>7315</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8652</CharactersWithSpaces>
  <SharedDoc>false</SharedDoc>
  <HLinks>
    <vt:vector size="12" baseType="variant">
      <vt:variant>
        <vt:i4>2490413</vt:i4>
      </vt:variant>
      <vt:variant>
        <vt:i4>3</vt:i4>
      </vt:variant>
      <vt:variant>
        <vt:i4>0</vt:i4>
      </vt:variant>
      <vt:variant>
        <vt:i4>5</vt:i4>
      </vt:variant>
      <vt:variant>
        <vt:lpwstr>http://www.evonik.com/</vt:lpwstr>
      </vt:variant>
      <vt:variant>
        <vt:lpwstr/>
      </vt:variant>
      <vt:variant>
        <vt:i4>8060992</vt:i4>
      </vt:variant>
      <vt:variant>
        <vt:i4>0</vt:i4>
      </vt:variant>
      <vt:variant>
        <vt:i4>0</vt:i4>
      </vt:variant>
      <vt:variant>
        <vt:i4>5</vt:i4>
      </vt:variant>
      <vt:variant>
        <vt:lpwstr>mailto:Joerg2.Wagner@evonik.com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subject/>
  <dc:creator>presse@evonik.com</dc:creator>
  <cp:keywords/>
  <dc:description/>
  <cp:lastModifiedBy>Andrade, Camila</cp:lastModifiedBy>
  <cp:revision>81</cp:revision>
  <cp:lastPrinted>2023-05-03T09:53:00Z</cp:lastPrinted>
  <dcterms:created xsi:type="dcterms:W3CDTF">2023-04-28T12:23:00Z</dcterms:created>
  <dcterms:modified xsi:type="dcterms:W3CDTF">2023-05-17T13:49:00Z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y fmtid="{D5CDD505-2E9C-101B-9397-08002B2CF9AE}" pid="9" name="ContentTypeId">
    <vt:lpwstr>0x010100EA2B4DC458E52244BCFB0697C2454E67</vt:lpwstr>
  </property>
</Properties>
</file>