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18"/>
        </w:rPr>
      </w:pPr>
    </w:p>
    <w:p>
      <w:pPr>
        <w:spacing w:after="0"/>
        <w:rPr>
          <w:rFonts w:ascii="Times New Roman"/>
          <w:sz w:val="18"/>
        </w:rPr>
        <w:sectPr>
          <w:headerReference w:type="default" r:id="rId5"/>
          <w:footerReference w:type="default" r:id="rId6"/>
          <w:type w:val="continuous"/>
          <w:pgSz w:w="11910" w:h="16840"/>
          <w:pgMar w:header="860" w:footer="726" w:top="2000" w:bottom="920" w:left="1260" w:right="360"/>
          <w:pgNumType w:start="1"/>
        </w:sectPr>
      </w:pPr>
    </w:p>
    <w:p>
      <w:pPr>
        <w:pStyle w:val="Title"/>
        <w:spacing w:line="194" w:lineRule="auto"/>
      </w:pPr>
      <w:r>
        <w:rPr/>
        <w:pict>
          <v:shape style="position:absolute;margin-left:20.280001pt;margin-top:816.185974pt;width:37.7pt;height:10pt;mso-position-horizontal-relative:page;mso-position-vertical-relative:page;z-index:-15809024" type="#_x0000_t202" id="docshape2" filled="false" stroked="false">
            <v:textbox inset="0,0,0,0">
              <w:txbxContent>
                <w:p>
                  <w:pPr>
                    <w:spacing w:line="199" w:lineRule="exact" w:before="0"/>
                    <w:ind w:left="0" w:right="0" w:firstLine="0"/>
                    <w:jc w:val="left"/>
                    <w:rPr>
                      <w:rFonts w:ascii="Calibri"/>
                      <w:sz w:val="20"/>
                    </w:rPr>
                  </w:pPr>
                  <w:r>
                    <w:rPr>
                      <w:rFonts w:ascii="Calibri"/>
                      <w:spacing w:val="-2"/>
                      <w:sz w:val="20"/>
                    </w:rPr>
                    <w:t>[internal]</w:t>
                  </w:r>
                </w:p>
              </w:txbxContent>
            </v:textbox>
            <w10:wrap type="none"/>
          </v:shape>
        </w:pict>
      </w:r>
      <w:r>
        <w:rPr/>
        <w:pict>
          <v:group style="position:absolute;margin-left:18pt;margin-top:810pt;width:61pt;height:32.950pt;mso-position-horizontal-relative:page;mso-position-vertical-relative:page;z-index:15729152" id="docshapegroup3" coordorigin="360,16200" coordsize="1220,659">
            <v:rect style="position:absolute;left:360;top:16200;width:960;height:405" id="docshape4" filled="true" fillcolor="#ffffff" stroked="false">
              <v:fill type="solid"/>
            </v:rect>
            <v:rect style="position:absolute;left:600;top:16440;width:960;height:399" id="docshape5" filled="true" fillcolor="#ffffff" stroked="false">
              <v:fill type="solid"/>
            </v:rect>
            <v:shape style="position:absolute;left:600;top:16440;width:960;height:399" id="docshape6" coordorigin="600,16440" coordsize="960,399" path="m1560,16838l1560,16440,600,16440,600,16838e" filled="false" stroked="true" strokeweight="2pt" strokecolor="#ffffff">
              <v:path arrowok="t"/>
              <v:stroke dashstyle="solid"/>
            </v:shape>
            <w10:wrap type="none"/>
          </v:group>
        </w:pict>
      </w:r>
      <w:r>
        <w:rPr/>
        <w:t>EU</w:t>
      </w:r>
      <w:r>
        <w:rPr>
          <w:spacing w:val="-7"/>
        </w:rPr>
        <w:t> </w:t>
      </w:r>
      <w:r>
        <w:rPr/>
        <w:t>Commission</w:t>
      </w:r>
      <w:r>
        <w:rPr>
          <w:spacing w:val="-7"/>
        </w:rPr>
        <w:t> </w:t>
      </w:r>
      <w:r>
        <w:rPr/>
        <w:t>confirms</w:t>
      </w:r>
      <w:r>
        <w:rPr>
          <w:spacing w:val="-7"/>
        </w:rPr>
        <w:t> </w:t>
      </w:r>
      <w:r>
        <w:rPr/>
        <w:t>good</w:t>
      </w:r>
      <w:r>
        <w:rPr>
          <w:spacing w:val="-6"/>
        </w:rPr>
        <w:t> </w:t>
      </w:r>
      <w:r>
        <w:rPr/>
        <w:t>progress</w:t>
      </w:r>
      <w:r>
        <w:rPr>
          <w:spacing w:val="-6"/>
        </w:rPr>
        <w:t> </w:t>
      </w:r>
      <w:r>
        <w:rPr/>
        <w:t>in</w:t>
      </w:r>
      <w:r>
        <w:rPr>
          <w:spacing w:val="-3"/>
        </w:rPr>
        <w:t> </w:t>
      </w:r>
      <w:r>
        <w:rPr/>
        <w:t>MACBETH</w:t>
      </w:r>
      <w:r>
        <w:rPr>
          <w:spacing w:val="-5"/>
        </w:rPr>
        <w:t> </w:t>
      </w:r>
      <w:r>
        <w:rPr/>
        <w:t>project for efficient reactors</w:t>
      </w:r>
    </w:p>
    <w:p>
      <w:pPr>
        <w:pStyle w:val="BodyText"/>
        <w:spacing w:before="10"/>
        <w:rPr>
          <w:b/>
          <w:sz w:val="19"/>
        </w:rPr>
      </w:pPr>
    </w:p>
    <w:p>
      <w:pPr>
        <w:pStyle w:val="ListParagraph"/>
        <w:numPr>
          <w:ilvl w:val="0"/>
          <w:numId w:val="1"/>
        </w:numPr>
        <w:tabs>
          <w:tab w:pos="821" w:val="left" w:leader="none"/>
          <w:tab w:pos="822" w:val="left" w:leader="none"/>
        </w:tabs>
        <w:spacing w:line="194" w:lineRule="auto" w:before="1" w:after="0"/>
        <w:ind w:left="821" w:right="425" w:hanging="360"/>
        <w:jc w:val="left"/>
        <w:rPr>
          <w:sz w:val="24"/>
        </w:rPr>
      </w:pPr>
      <w:r>
        <w:rPr>
          <w:sz w:val="24"/>
        </w:rPr>
        <w:t>Construction</w:t>
      </w:r>
      <w:r>
        <w:rPr>
          <w:spacing w:val="-7"/>
          <w:sz w:val="24"/>
        </w:rPr>
        <w:t> </w:t>
      </w:r>
      <w:r>
        <w:rPr>
          <w:sz w:val="24"/>
        </w:rPr>
        <w:t>of</w:t>
      </w:r>
      <w:r>
        <w:rPr>
          <w:spacing w:val="-6"/>
          <w:sz w:val="24"/>
        </w:rPr>
        <w:t> </w:t>
      </w:r>
      <w:r>
        <w:rPr>
          <w:sz w:val="24"/>
        </w:rPr>
        <w:t>the</w:t>
      </w:r>
      <w:r>
        <w:rPr>
          <w:spacing w:val="-6"/>
          <w:sz w:val="24"/>
        </w:rPr>
        <w:t> </w:t>
      </w:r>
      <w:r>
        <w:rPr>
          <w:sz w:val="24"/>
        </w:rPr>
        <w:t>demonstration</w:t>
      </w:r>
      <w:r>
        <w:rPr>
          <w:spacing w:val="-7"/>
          <w:sz w:val="24"/>
        </w:rPr>
        <w:t> </w:t>
      </w:r>
      <w:r>
        <w:rPr>
          <w:sz w:val="24"/>
        </w:rPr>
        <w:t>plant</w:t>
      </w:r>
      <w:r>
        <w:rPr>
          <w:spacing w:val="-6"/>
          <w:sz w:val="24"/>
        </w:rPr>
        <w:t> </w:t>
      </w:r>
      <w:r>
        <w:rPr>
          <w:sz w:val="24"/>
        </w:rPr>
        <w:t>at</w:t>
      </w:r>
      <w:r>
        <w:rPr>
          <w:spacing w:val="-7"/>
          <w:sz w:val="24"/>
        </w:rPr>
        <w:t> </w:t>
      </w:r>
      <w:r>
        <w:rPr>
          <w:sz w:val="24"/>
        </w:rPr>
        <w:t>the</w:t>
      </w:r>
      <w:r>
        <w:rPr>
          <w:spacing w:val="-6"/>
          <w:sz w:val="24"/>
        </w:rPr>
        <w:t> </w:t>
      </w:r>
      <w:r>
        <w:rPr>
          <w:sz w:val="24"/>
        </w:rPr>
        <w:t>Marl location has started</w:t>
      </w:r>
    </w:p>
    <w:p>
      <w:pPr>
        <w:pStyle w:val="ListParagraph"/>
        <w:numPr>
          <w:ilvl w:val="0"/>
          <w:numId w:val="1"/>
        </w:numPr>
        <w:tabs>
          <w:tab w:pos="821" w:val="left" w:leader="none"/>
          <w:tab w:pos="822" w:val="left" w:leader="none"/>
        </w:tabs>
        <w:spacing w:line="194" w:lineRule="auto" w:before="2" w:after="0"/>
        <w:ind w:left="821" w:right="391" w:hanging="360"/>
        <w:jc w:val="left"/>
        <w:rPr>
          <w:sz w:val="24"/>
        </w:rPr>
      </w:pPr>
      <w:r>
        <w:rPr>
          <w:sz w:val="24"/>
        </w:rPr>
        <w:t>Technology</w:t>
      </w:r>
      <w:r>
        <w:rPr>
          <w:spacing w:val="-6"/>
          <w:sz w:val="24"/>
        </w:rPr>
        <w:t> </w:t>
      </w:r>
      <w:r>
        <w:rPr>
          <w:sz w:val="24"/>
        </w:rPr>
        <w:t>saves</w:t>
      </w:r>
      <w:r>
        <w:rPr>
          <w:spacing w:val="-5"/>
          <w:sz w:val="24"/>
        </w:rPr>
        <w:t> </w:t>
      </w:r>
      <w:r>
        <w:rPr>
          <w:sz w:val="24"/>
        </w:rPr>
        <w:t>CO2</w:t>
      </w:r>
      <w:r>
        <w:rPr>
          <w:spacing w:val="-6"/>
          <w:sz w:val="24"/>
        </w:rPr>
        <w:t> </w:t>
      </w:r>
      <w:r>
        <w:rPr>
          <w:sz w:val="24"/>
        </w:rPr>
        <w:t>and</w:t>
      </w:r>
      <w:r>
        <w:rPr>
          <w:spacing w:val="-5"/>
          <w:sz w:val="24"/>
        </w:rPr>
        <w:t> </w:t>
      </w:r>
      <w:r>
        <w:rPr>
          <w:sz w:val="24"/>
        </w:rPr>
        <w:t>resources</w:t>
      </w:r>
      <w:r>
        <w:rPr>
          <w:spacing w:val="-4"/>
          <w:sz w:val="24"/>
        </w:rPr>
        <w:t> </w:t>
      </w:r>
      <w:r>
        <w:rPr>
          <w:sz w:val="24"/>
        </w:rPr>
        <w:t>and</w:t>
      </w:r>
      <w:r>
        <w:rPr>
          <w:spacing w:val="-5"/>
          <w:sz w:val="24"/>
        </w:rPr>
        <w:t> </w:t>
      </w:r>
      <w:r>
        <w:rPr>
          <w:sz w:val="24"/>
        </w:rPr>
        <w:t>is</w:t>
      </w:r>
      <w:r>
        <w:rPr>
          <w:spacing w:val="-5"/>
          <w:sz w:val="24"/>
        </w:rPr>
        <w:t> </w:t>
      </w:r>
      <w:r>
        <w:rPr>
          <w:sz w:val="24"/>
        </w:rPr>
        <w:t>thus</w:t>
      </w:r>
      <w:r>
        <w:rPr>
          <w:spacing w:val="-5"/>
          <w:sz w:val="24"/>
        </w:rPr>
        <w:t> </w:t>
      </w:r>
      <w:r>
        <w:rPr>
          <w:sz w:val="24"/>
        </w:rPr>
        <w:t>an important contributor to the European Green Deal</w:t>
      </w:r>
    </w:p>
    <w:p>
      <w:pPr>
        <w:pStyle w:val="ListParagraph"/>
        <w:numPr>
          <w:ilvl w:val="0"/>
          <w:numId w:val="1"/>
        </w:numPr>
        <w:tabs>
          <w:tab w:pos="821" w:val="left" w:leader="none"/>
          <w:tab w:pos="822" w:val="left" w:leader="none"/>
        </w:tabs>
        <w:spacing w:line="194" w:lineRule="auto" w:before="3" w:after="0"/>
        <w:ind w:left="821" w:right="108" w:hanging="360"/>
        <w:jc w:val="left"/>
        <w:rPr>
          <w:sz w:val="24"/>
        </w:rPr>
      </w:pPr>
      <w:r>
        <w:rPr>
          <w:sz w:val="24"/>
        </w:rPr>
        <w:t>Federal</w:t>
      </w:r>
      <w:r>
        <w:rPr>
          <w:spacing w:val="-6"/>
          <w:sz w:val="24"/>
        </w:rPr>
        <w:t> </w:t>
      </w:r>
      <w:r>
        <w:rPr>
          <w:sz w:val="24"/>
        </w:rPr>
        <w:t>Ministry</w:t>
      </w:r>
      <w:r>
        <w:rPr>
          <w:spacing w:val="-6"/>
          <w:sz w:val="24"/>
        </w:rPr>
        <w:t> </w:t>
      </w:r>
      <w:r>
        <w:rPr>
          <w:sz w:val="24"/>
        </w:rPr>
        <w:t>of</w:t>
      </w:r>
      <w:r>
        <w:rPr>
          <w:spacing w:val="-5"/>
          <w:sz w:val="24"/>
        </w:rPr>
        <w:t> </w:t>
      </w:r>
      <w:r>
        <w:rPr>
          <w:sz w:val="24"/>
        </w:rPr>
        <w:t>Education</w:t>
      </w:r>
      <w:r>
        <w:rPr>
          <w:spacing w:val="-6"/>
          <w:sz w:val="24"/>
        </w:rPr>
        <w:t> </w:t>
      </w:r>
      <w:r>
        <w:rPr>
          <w:sz w:val="24"/>
        </w:rPr>
        <w:t>and</w:t>
      </w:r>
      <w:r>
        <w:rPr>
          <w:spacing w:val="-7"/>
          <w:sz w:val="24"/>
        </w:rPr>
        <w:t> </w:t>
      </w:r>
      <w:r>
        <w:rPr>
          <w:sz w:val="24"/>
        </w:rPr>
        <w:t>Research</w:t>
      </w:r>
      <w:r>
        <w:rPr>
          <w:spacing w:val="-7"/>
          <w:sz w:val="24"/>
        </w:rPr>
        <w:t> </w:t>
      </w:r>
      <w:r>
        <w:rPr>
          <w:sz w:val="24"/>
        </w:rPr>
        <w:t>recognizes potential in success brochure</w:t>
      </w:r>
    </w:p>
    <w:p>
      <w:pPr>
        <w:pStyle w:val="BodyText"/>
        <w:rPr>
          <w:sz w:val="24"/>
        </w:rPr>
      </w:pPr>
    </w:p>
    <w:p>
      <w:pPr>
        <w:pStyle w:val="BodyText"/>
        <w:spacing w:before="2"/>
        <w:rPr>
          <w:sz w:val="15"/>
        </w:rPr>
      </w:pPr>
    </w:p>
    <w:p>
      <w:pPr>
        <w:pStyle w:val="BodyText"/>
        <w:spacing w:line="213" w:lineRule="auto"/>
        <w:ind w:left="101" w:right="49"/>
      </w:pPr>
      <w:r>
        <w:rPr>
          <w:b/>
        </w:rPr>
        <w:t>Marl. </w:t>
      </w:r>
      <w:r>
        <w:rPr/>
        <w:t>The MACBETH technology project is taking shape and has received a positive interim evaluation from the EU Commission. Shortly after the start of construction of the planned demonstration</w:t>
      </w:r>
      <w:r>
        <w:rPr>
          <w:spacing w:val="-1"/>
        </w:rPr>
        <w:t> </w:t>
      </w:r>
      <w:r>
        <w:rPr/>
        <w:t>plant in</w:t>
      </w:r>
      <w:r>
        <w:rPr>
          <w:spacing w:val="-1"/>
        </w:rPr>
        <w:t> </w:t>
      </w:r>
      <w:r>
        <w:rPr/>
        <w:t>Marl, the</w:t>
      </w:r>
      <w:r>
        <w:rPr>
          <w:spacing w:val="-2"/>
        </w:rPr>
        <w:t> </w:t>
      </w:r>
      <w:r>
        <w:rPr/>
        <w:t>Commission</w:t>
      </w:r>
      <w:r>
        <w:rPr>
          <w:spacing w:val="-1"/>
        </w:rPr>
        <w:t> </w:t>
      </w:r>
      <w:r>
        <w:rPr/>
        <w:t>had the progress of the project evaluated. The auditors were very satisfied with the project,</w:t>
      </w:r>
      <w:r>
        <w:rPr>
          <w:spacing w:val="-3"/>
        </w:rPr>
        <w:t> </w:t>
      </w:r>
      <w:r>
        <w:rPr/>
        <w:t>which</w:t>
      </w:r>
      <w:r>
        <w:rPr>
          <w:spacing w:val="-5"/>
        </w:rPr>
        <w:t> </w:t>
      </w:r>
      <w:r>
        <w:rPr/>
        <w:t>was</w:t>
      </w:r>
      <w:r>
        <w:rPr>
          <w:spacing w:val="-5"/>
        </w:rPr>
        <w:t> </w:t>
      </w:r>
      <w:r>
        <w:rPr/>
        <w:t>launched</w:t>
      </w:r>
      <w:r>
        <w:rPr>
          <w:spacing w:val="-2"/>
        </w:rPr>
        <w:t> </w:t>
      </w:r>
      <w:r>
        <w:rPr/>
        <w:t>in</w:t>
      </w:r>
      <w:r>
        <w:rPr>
          <w:spacing w:val="-2"/>
        </w:rPr>
        <w:t> </w:t>
      </w:r>
      <w:r>
        <w:rPr/>
        <w:t>2020</w:t>
      </w:r>
      <w:r>
        <w:rPr>
          <w:spacing w:val="-5"/>
        </w:rPr>
        <w:t> </w:t>
      </w:r>
      <w:r>
        <w:rPr/>
        <w:t>and</w:t>
      </w:r>
      <w:r>
        <w:rPr>
          <w:spacing w:val="-2"/>
        </w:rPr>
        <w:t> </w:t>
      </w:r>
      <w:r>
        <w:rPr/>
        <w:t>is</w:t>
      </w:r>
      <w:r>
        <w:rPr>
          <w:spacing w:val="-2"/>
        </w:rPr>
        <w:t> </w:t>
      </w:r>
      <w:r>
        <w:rPr/>
        <w:t>the</w:t>
      </w:r>
      <w:r>
        <w:rPr>
          <w:spacing w:val="-3"/>
        </w:rPr>
        <w:t> </w:t>
      </w:r>
      <w:r>
        <w:rPr/>
        <w:t>largest</w:t>
      </w:r>
      <w:r>
        <w:rPr>
          <w:spacing w:val="-4"/>
        </w:rPr>
        <w:t> </w:t>
      </w:r>
      <w:r>
        <w:rPr/>
        <w:t>EU-funded project coordinated by Evonik.</w:t>
      </w:r>
    </w:p>
    <w:p>
      <w:pPr>
        <w:pStyle w:val="BodyText"/>
        <w:spacing w:before="2"/>
        <w:rPr>
          <w:sz w:val="19"/>
        </w:rPr>
      </w:pPr>
    </w:p>
    <w:p>
      <w:pPr>
        <w:pStyle w:val="BodyText"/>
        <w:spacing w:line="213" w:lineRule="auto"/>
        <w:ind w:left="101" w:right="137"/>
      </w:pPr>
      <w:r>
        <w:rPr/>
        <w:t>The aim of MACBETH is to develop reactors that make important large-scale chemical reactions such as hydroformylation significantly</w:t>
      </w:r>
      <w:r>
        <w:rPr>
          <w:spacing w:val="-7"/>
        </w:rPr>
        <w:t> </w:t>
      </w:r>
      <w:r>
        <w:rPr/>
        <w:t>more</w:t>
      </w:r>
      <w:r>
        <w:rPr>
          <w:spacing w:val="-7"/>
        </w:rPr>
        <w:t> </w:t>
      </w:r>
      <w:r>
        <w:rPr/>
        <w:t>energy-efficient.</w:t>
      </w:r>
      <w:r>
        <w:rPr>
          <w:spacing w:val="-7"/>
        </w:rPr>
        <w:t> </w:t>
      </w:r>
      <w:r>
        <w:rPr/>
        <w:t>Membranes</w:t>
      </w:r>
      <w:r>
        <w:rPr>
          <w:spacing w:val="-6"/>
        </w:rPr>
        <w:t> </w:t>
      </w:r>
      <w:r>
        <w:rPr/>
        <w:t>and</w:t>
      </w:r>
      <w:r>
        <w:rPr>
          <w:spacing w:val="-6"/>
        </w:rPr>
        <w:t> </w:t>
      </w:r>
      <w:r>
        <w:rPr/>
        <w:t>catalysts</w:t>
      </w:r>
      <w:r>
        <w:rPr>
          <w:spacing w:val="-9"/>
        </w:rPr>
        <w:t> </w:t>
      </w:r>
      <w:r>
        <w:rPr/>
        <w:t>play a central role in this (MACBETH stands for </w:t>
      </w:r>
      <w:r>
        <w:rPr>
          <w:b/>
        </w:rPr>
        <w:t>M</w:t>
      </w:r>
      <w:r>
        <w:rPr/>
        <w:t>embranes </w:t>
      </w:r>
      <w:r>
        <w:rPr>
          <w:b/>
        </w:rPr>
        <w:t>A</w:t>
      </w:r>
      <w:r>
        <w:rPr/>
        <w:t>nd </w:t>
      </w:r>
      <w:r>
        <w:rPr>
          <w:b/>
        </w:rPr>
        <w:t>C</w:t>
      </w:r>
      <w:r>
        <w:rPr/>
        <w:t>atalysts </w:t>
      </w:r>
      <w:r>
        <w:rPr>
          <w:b/>
        </w:rPr>
        <w:t>B</w:t>
      </w:r>
      <w:r>
        <w:rPr/>
        <w:t>eyond </w:t>
      </w:r>
      <w:r>
        <w:rPr>
          <w:b/>
        </w:rPr>
        <w:t>E</w:t>
      </w:r>
      <w:r>
        <w:rPr/>
        <w:t>conomic and </w:t>
      </w:r>
      <w:r>
        <w:rPr>
          <w:b/>
        </w:rPr>
        <w:t>T</w:t>
      </w:r>
      <w:r>
        <w:rPr/>
        <w:t>echnological </w:t>
      </w:r>
      <w:r>
        <w:rPr>
          <w:b/>
        </w:rPr>
        <w:t>H</w:t>
      </w:r>
      <w:r>
        <w:rPr/>
        <w:t>urdles). "The project is exceptionally well managed. It is very large and has ambitious goals that are being enthusiastically driven by the project leaders and their partners," says Assessor Annette Juhr, professor of process engineering at Beuth University in Berlin.</w:t>
      </w:r>
    </w:p>
    <w:p>
      <w:pPr>
        <w:pStyle w:val="BodyText"/>
        <w:spacing w:line="213" w:lineRule="auto"/>
        <w:ind w:left="101" w:right="49"/>
      </w:pPr>
      <w:r>
        <w:rPr/>
        <w:t>Accordingly,</w:t>
      </w:r>
      <w:r>
        <w:rPr>
          <w:spacing w:val="-5"/>
        </w:rPr>
        <w:t> </w:t>
      </w:r>
      <w:r>
        <w:rPr/>
        <w:t>considerable</w:t>
      </w:r>
      <w:r>
        <w:rPr>
          <w:spacing w:val="-5"/>
        </w:rPr>
        <w:t> </w:t>
      </w:r>
      <w:r>
        <w:rPr/>
        <w:t>efforts</w:t>
      </w:r>
      <w:r>
        <w:rPr>
          <w:spacing w:val="-7"/>
        </w:rPr>
        <w:t> </w:t>
      </w:r>
      <w:r>
        <w:rPr/>
        <w:t>were</w:t>
      </w:r>
      <w:r>
        <w:rPr>
          <w:spacing w:val="-4"/>
        </w:rPr>
        <w:t> </w:t>
      </w:r>
      <w:r>
        <w:rPr/>
        <w:t>made</w:t>
      </w:r>
      <w:r>
        <w:rPr>
          <w:spacing w:val="-7"/>
        </w:rPr>
        <w:t> </w:t>
      </w:r>
      <w:r>
        <w:rPr/>
        <w:t>to</w:t>
      </w:r>
      <w:r>
        <w:rPr>
          <w:spacing w:val="-4"/>
        </w:rPr>
        <w:t> </w:t>
      </w:r>
      <w:r>
        <w:rPr/>
        <w:t>avoid</w:t>
      </w:r>
      <w:r>
        <w:rPr>
          <w:spacing w:val="-5"/>
        </w:rPr>
        <w:t> </w:t>
      </w:r>
      <w:r>
        <w:rPr/>
        <w:t>jeopardizing the project's anticipated success, in light of the challenges posed by the coronavirus pandemic.</w:t>
      </w:r>
    </w:p>
    <w:p>
      <w:pPr>
        <w:pStyle w:val="BodyText"/>
        <w:spacing w:before="14"/>
        <w:rPr>
          <w:sz w:val="18"/>
        </w:rPr>
      </w:pPr>
    </w:p>
    <w:p>
      <w:pPr>
        <w:pStyle w:val="BodyText"/>
        <w:spacing w:line="213" w:lineRule="auto"/>
        <w:ind w:left="101" w:right="38"/>
      </w:pPr>
      <w:r>
        <w:rPr/>
        <w:t>A central goal of the project is sustainability. Greenhouse gas emissions</w:t>
      </w:r>
      <w:r>
        <w:rPr>
          <w:spacing w:val="-6"/>
        </w:rPr>
        <w:t> </w:t>
      </w:r>
      <w:r>
        <w:rPr/>
        <w:t>from</w:t>
      </w:r>
      <w:r>
        <w:rPr>
          <w:spacing w:val="-6"/>
        </w:rPr>
        <w:t> </w:t>
      </w:r>
      <w:r>
        <w:rPr/>
        <w:t>important</w:t>
      </w:r>
      <w:r>
        <w:rPr>
          <w:spacing w:val="-7"/>
        </w:rPr>
        <w:t> </w:t>
      </w:r>
      <w:r>
        <w:rPr/>
        <w:t>large-volume</w:t>
      </w:r>
      <w:r>
        <w:rPr>
          <w:spacing w:val="-6"/>
        </w:rPr>
        <w:t> </w:t>
      </w:r>
      <w:r>
        <w:rPr/>
        <w:t>industrial</w:t>
      </w:r>
      <w:r>
        <w:rPr>
          <w:spacing w:val="-6"/>
        </w:rPr>
        <w:t> </w:t>
      </w:r>
      <w:r>
        <w:rPr/>
        <w:t>processes</w:t>
      </w:r>
      <w:r>
        <w:rPr>
          <w:spacing w:val="-6"/>
        </w:rPr>
        <w:t> </w:t>
      </w:r>
      <w:r>
        <w:rPr/>
        <w:t>could be reduced by up to 35 percent, with an increase in resource and energy efficiency of up to 70 percent. MACBETH thus makes an important contribution to the European Green Deal. This significant potential has also been recognized by the German Federal Ministry of Education and Research. On its behalf, MACBETH was included in a brochure of just ten success projects</w:t>
      </w:r>
    </w:p>
    <w:p>
      <w:pPr>
        <w:spacing w:before="46"/>
        <w:ind w:left="101" w:right="0" w:firstLine="0"/>
        <w:jc w:val="left"/>
        <w:rPr>
          <w:sz w:val="18"/>
        </w:rPr>
      </w:pPr>
      <w:r>
        <w:rPr/>
        <w:br w:type="column"/>
      </w:r>
      <w:r>
        <w:rPr>
          <w:sz w:val="18"/>
        </w:rPr>
        <w:t>16</w:t>
      </w:r>
      <w:r>
        <w:rPr>
          <w:spacing w:val="-5"/>
          <w:sz w:val="18"/>
        </w:rPr>
        <w:t> </w:t>
      </w:r>
      <w:r>
        <w:rPr>
          <w:sz w:val="18"/>
        </w:rPr>
        <w:t>May</w:t>
      </w:r>
      <w:r>
        <w:rPr>
          <w:spacing w:val="-1"/>
          <w:sz w:val="18"/>
        </w:rPr>
        <w:t> </w:t>
      </w:r>
      <w:r>
        <w:rPr>
          <w:spacing w:val="-4"/>
          <w:sz w:val="18"/>
        </w:rPr>
        <w:t>2023</w:t>
      </w:r>
    </w:p>
    <w:p>
      <w:pPr>
        <w:pStyle w:val="BodyText"/>
        <w:spacing w:before="9"/>
        <w:rPr>
          <w:sz w:val="21"/>
        </w:rPr>
      </w:pPr>
    </w:p>
    <w:p>
      <w:pPr>
        <w:spacing w:line="216" w:lineRule="auto" w:before="0"/>
        <w:ind w:left="101" w:right="950" w:firstLine="0"/>
        <w:jc w:val="left"/>
        <w:rPr>
          <w:b/>
          <w:sz w:val="13"/>
        </w:rPr>
      </w:pPr>
      <w:r>
        <w:rPr>
          <w:b/>
          <w:sz w:val="13"/>
        </w:rPr>
        <w:t>Main</w:t>
      </w:r>
      <w:r>
        <w:rPr>
          <w:b/>
          <w:spacing w:val="-11"/>
          <w:sz w:val="13"/>
        </w:rPr>
        <w:t> </w:t>
      </w:r>
      <w:r>
        <w:rPr>
          <w:b/>
          <w:sz w:val="13"/>
        </w:rPr>
        <w:t>press</w:t>
      </w:r>
      <w:r>
        <w:rPr>
          <w:b/>
          <w:spacing w:val="-10"/>
          <w:sz w:val="13"/>
        </w:rPr>
        <w:t> </w:t>
      </w:r>
      <w:r>
        <w:rPr>
          <w:b/>
          <w:sz w:val="13"/>
        </w:rPr>
        <w:t>contact Michael Richter</w:t>
      </w:r>
    </w:p>
    <w:p>
      <w:pPr>
        <w:spacing w:line="216" w:lineRule="auto" w:before="1"/>
        <w:ind w:left="101" w:right="0"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Performance</w:t>
      </w:r>
      <w:r>
        <w:rPr>
          <w:spacing w:val="-2"/>
          <w:sz w:val="13"/>
        </w:rPr>
        <w:t> </w:t>
      </w:r>
      <w:r>
        <w:rPr>
          <w:sz w:val="13"/>
        </w:rPr>
        <w:t>Materials</w:t>
      </w:r>
    </w:p>
    <w:p>
      <w:pPr>
        <w:spacing w:line="176" w:lineRule="exact" w:before="0"/>
        <w:ind w:left="101" w:right="0" w:firstLine="0"/>
        <w:jc w:val="left"/>
        <w:rPr>
          <w:sz w:val="13"/>
        </w:rPr>
      </w:pPr>
      <w:r>
        <w:rPr>
          <w:sz w:val="13"/>
        </w:rPr>
        <w:t>Phone</w:t>
      </w:r>
      <w:r>
        <w:rPr>
          <w:spacing w:val="-6"/>
          <w:sz w:val="13"/>
        </w:rPr>
        <w:t> </w:t>
      </w:r>
      <w:r>
        <w:rPr>
          <w:sz w:val="13"/>
        </w:rPr>
        <w:t>+49</w:t>
      </w:r>
      <w:r>
        <w:rPr>
          <w:spacing w:val="-5"/>
          <w:sz w:val="13"/>
        </w:rPr>
        <w:t> </w:t>
      </w:r>
      <w:r>
        <w:rPr>
          <w:sz w:val="13"/>
        </w:rPr>
        <w:t>201</w:t>
      </w:r>
      <w:r>
        <w:rPr>
          <w:spacing w:val="-3"/>
          <w:sz w:val="13"/>
        </w:rPr>
        <w:t> </w:t>
      </w:r>
      <w:r>
        <w:rPr>
          <w:sz w:val="13"/>
        </w:rPr>
        <w:t>177</w:t>
      </w:r>
      <w:r>
        <w:rPr>
          <w:spacing w:val="-3"/>
          <w:sz w:val="13"/>
        </w:rPr>
        <w:t> </w:t>
      </w:r>
      <w:r>
        <w:rPr>
          <w:spacing w:val="-4"/>
          <w:sz w:val="13"/>
        </w:rPr>
        <w:t>4375</w:t>
      </w:r>
    </w:p>
    <w:p>
      <w:pPr>
        <w:spacing w:line="190" w:lineRule="exact" w:before="0"/>
        <w:ind w:left="101" w:right="0" w:firstLine="0"/>
        <w:jc w:val="left"/>
        <w:rPr>
          <w:sz w:val="13"/>
        </w:rPr>
      </w:pPr>
      <w:hyperlink r:id="rId7">
        <w:r>
          <w:rPr>
            <w:spacing w:val="-2"/>
            <w:sz w:val="13"/>
          </w:rPr>
          <w:t>michael.richter@evonik.com</w:t>
        </w:r>
      </w:hyperlink>
    </w:p>
    <w:p>
      <w:pPr>
        <w:pStyle w:val="BodyText"/>
        <w:spacing w:before="5"/>
        <w:rPr>
          <w:sz w:val="11"/>
        </w:rPr>
      </w:pPr>
    </w:p>
    <w:p>
      <w:pPr>
        <w:spacing w:line="216" w:lineRule="auto" w:before="0"/>
        <w:ind w:left="101" w:right="950"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Alina Alfes</w:t>
      </w:r>
    </w:p>
    <w:p>
      <w:pPr>
        <w:spacing w:line="216" w:lineRule="auto" w:before="1"/>
        <w:ind w:left="101" w:right="525" w:firstLine="0"/>
        <w:jc w:val="left"/>
        <w:rPr>
          <w:sz w:val="13"/>
        </w:rPr>
      </w:pPr>
      <w:r>
        <w:rPr>
          <w:sz w:val="13"/>
        </w:rPr>
        <w:t>eMarketing Manager Performance</w:t>
      </w:r>
      <w:r>
        <w:rPr>
          <w:spacing w:val="-11"/>
          <w:sz w:val="13"/>
        </w:rPr>
        <w:t> </w:t>
      </w:r>
      <w:r>
        <w:rPr>
          <w:sz w:val="13"/>
        </w:rPr>
        <w:t>Intermediates Phone</w:t>
      </w:r>
      <w:r>
        <w:rPr>
          <w:spacing w:val="-6"/>
          <w:sz w:val="13"/>
        </w:rPr>
        <w:t> </w:t>
      </w:r>
      <w:r>
        <w:rPr>
          <w:sz w:val="13"/>
        </w:rPr>
        <w:t>+49</w:t>
      </w:r>
      <w:r>
        <w:rPr>
          <w:spacing w:val="-5"/>
          <w:sz w:val="13"/>
        </w:rPr>
        <w:t> </w:t>
      </w:r>
      <w:r>
        <w:rPr>
          <w:sz w:val="13"/>
        </w:rPr>
        <w:t>2365</w:t>
      </w:r>
      <w:r>
        <w:rPr>
          <w:spacing w:val="-3"/>
          <w:sz w:val="13"/>
        </w:rPr>
        <w:t> </w:t>
      </w:r>
      <w:r>
        <w:rPr>
          <w:sz w:val="13"/>
        </w:rPr>
        <w:t>49</w:t>
      </w:r>
      <w:r>
        <w:rPr>
          <w:spacing w:val="-3"/>
          <w:sz w:val="13"/>
        </w:rPr>
        <w:t> </w:t>
      </w:r>
      <w:r>
        <w:rPr>
          <w:spacing w:val="-4"/>
          <w:sz w:val="13"/>
        </w:rPr>
        <w:t>19055</w:t>
      </w:r>
    </w:p>
    <w:p>
      <w:pPr>
        <w:spacing w:line="186" w:lineRule="exact" w:before="0"/>
        <w:ind w:left="101" w:right="0" w:firstLine="0"/>
        <w:jc w:val="left"/>
        <w:rPr>
          <w:sz w:val="13"/>
        </w:rPr>
      </w:pPr>
      <w:hyperlink r:id="rId8">
        <w:r>
          <w:rPr>
            <w:spacing w:val="-2"/>
            <w:sz w:val="13"/>
          </w:rPr>
          <w:t>alina.alfes@evonik.com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3"/>
        </w:rPr>
      </w:pPr>
    </w:p>
    <w:p>
      <w:pPr>
        <w:spacing w:line="216" w:lineRule="auto" w:before="0"/>
        <w:ind w:left="101" w:right="525"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7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9">
        <w:r>
          <w:rPr>
            <w:spacing w:val="-2"/>
            <w:sz w:val="13"/>
          </w:rPr>
          <w:t>www.evonik.com</w:t>
        </w:r>
      </w:hyperlink>
    </w:p>
    <w:p>
      <w:pPr>
        <w:pStyle w:val="BodyText"/>
        <w:spacing w:before="6"/>
        <w:rPr>
          <w:sz w:val="11"/>
        </w:rPr>
      </w:pPr>
    </w:p>
    <w:p>
      <w:pPr>
        <w:spacing w:line="216" w:lineRule="auto" w:before="0"/>
        <w:ind w:left="101" w:right="106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8"/>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Maike Schuh, Thomas Wessel</w:t>
      </w:r>
    </w:p>
    <w:p>
      <w:pPr>
        <w:pStyle w:val="BodyText"/>
        <w:spacing w:before="11"/>
        <w:rPr>
          <w:sz w:val="10"/>
        </w:rPr>
      </w:pPr>
    </w:p>
    <w:p>
      <w:pPr>
        <w:spacing w:line="180" w:lineRule="exact" w:before="0"/>
        <w:ind w:left="101" w:right="4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 Commercial Registry B 19474</w:t>
      </w:r>
    </w:p>
    <w:p>
      <w:pPr>
        <w:spacing w:after="0" w:line="180" w:lineRule="exact"/>
        <w:jc w:val="left"/>
        <w:rPr>
          <w:sz w:val="13"/>
        </w:rPr>
        <w:sectPr>
          <w:type w:val="continuous"/>
          <w:pgSz w:w="11910" w:h="16840"/>
          <w:pgMar w:header="860" w:footer="726" w:top="2000" w:bottom="920" w:left="1260" w:right="360"/>
          <w:cols w:num="2" w:equalWidth="0">
            <w:col w:w="7283" w:space="329"/>
            <w:col w:w="2678"/>
          </w:cols>
        </w:sectPr>
      </w:pPr>
    </w:p>
    <w:p>
      <w:pPr>
        <w:pStyle w:val="BodyText"/>
        <w:rPr>
          <w:sz w:val="20"/>
        </w:rPr>
      </w:pPr>
      <w:r>
        <w:rPr/>
        <w:pict>
          <v:shape style="position:absolute;margin-left:20.280001pt;margin-top:816.185974pt;width:37.7pt;height:10pt;mso-position-horizontal-relative:page;mso-position-vertical-relative:page;z-index:-15808000" type="#_x0000_t202" id="docshape7" filled="false" stroked="false">
            <v:textbox inset="0,0,0,0">
              <w:txbxContent>
                <w:p>
                  <w:pPr>
                    <w:spacing w:line="199" w:lineRule="exact" w:before="0"/>
                    <w:ind w:left="0" w:right="0" w:firstLine="0"/>
                    <w:jc w:val="left"/>
                    <w:rPr>
                      <w:rFonts w:ascii="Calibri"/>
                      <w:sz w:val="20"/>
                    </w:rPr>
                  </w:pPr>
                  <w:r>
                    <w:rPr>
                      <w:rFonts w:ascii="Calibri"/>
                      <w:spacing w:val="-2"/>
                      <w:sz w:val="20"/>
                    </w:rPr>
                    <w:t>[internal]</w:t>
                  </w:r>
                </w:p>
              </w:txbxContent>
            </v:textbox>
            <w10:wrap type="none"/>
          </v:shape>
        </w:pict>
      </w:r>
      <w:r>
        <w:rPr/>
        <w:pict>
          <v:rect style="position:absolute;margin-left:18.549999pt;margin-top:816.75pt;width:48pt;height:20.25pt;mso-position-horizontal-relative:page;mso-position-vertical-relative:page;z-index:15730176" id="docshape8" filled="true" fillcolor="#ffffff" stroked="false">
            <v:fill type="solid"/>
            <w10:wrap type="none"/>
          </v:rect>
        </w:pict>
      </w:r>
    </w:p>
    <w:p>
      <w:pPr>
        <w:pStyle w:val="BodyText"/>
        <w:rPr>
          <w:sz w:val="20"/>
        </w:rPr>
      </w:pPr>
    </w:p>
    <w:p>
      <w:pPr>
        <w:pStyle w:val="BodyText"/>
        <w:rPr>
          <w:sz w:val="20"/>
        </w:rPr>
      </w:pPr>
    </w:p>
    <w:p>
      <w:pPr>
        <w:pStyle w:val="BodyText"/>
        <w:spacing w:before="3"/>
        <w:rPr>
          <w:sz w:val="15"/>
        </w:rPr>
      </w:pPr>
    </w:p>
    <w:p>
      <w:pPr>
        <w:pStyle w:val="BodyText"/>
        <w:spacing w:line="213" w:lineRule="auto" w:before="61"/>
        <w:ind w:left="101" w:right="2944"/>
      </w:pPr>
      <w:r>
        <w:rPr/>
        <w:t>that</w:t>
      </w:r>
      <w:r>
        <w:rPr>
          <w:spacing w:val="-4"/>
        </w:rPr>
        <w:t> </w:t>
      </w:r>
      <w:r>
        <w:rPr/>
        <w:t>are</w:t>
      </w:r>
      <w:r>
        <w:rPr>
          <w:spacing w:val="-4"/>
        </w:rPr>
        <w:t> </w:t>
      </w:r>
      <w:r>
        <w:rPr/>
        <w:t>being</w:t>
      </w:r>
      <w:r>
        <w:rPr>
          <w:spacing w:val="-5"/>
        </w:rPr>
        <w:t> </w:t>
      </w:r>
      <w:r>
        <w:rPr/>
        <w:t>funded</w:t>
      </w:r>
      <w:r>
        <w:rPr>
          <w:spacing w:val="-6"/>
        </w:rPr>
        <w:t> </w:t>
      </w:r>
      <w:r>
        <w:rPr/>
        <w:t>under</w:t>
      </w:r>
      <w:r>
        <w:rPr>
          <w:spacing w:val="-3"/>
        </w:rPr>
        <w:t> </w:t>
      </w:r>
      <w:r>
        <w:rPr/>
        <w:t>the</w:t>
      </w:r>
      <w:r>
        <w:rPr>
          <w:spacing w:val="-4"/>
        </w:rPr>
        <w:t> </w:t>
      </w:r>
      <w:r>
        <w:rPr/>
        <w:t>broad</w:t>
      </w:r>
      <w:r>
        <w:rPr>
          <w:spacing w:val="-3"/>
        </w:rPr>
        <w:t> </w:t>
      </w:r>
      <w:r>
        <w:rPr/>
        <w:t>EU</w:t>
      </w:r>
      <w:r>
        <w:rPr>
          <w:spacing w:val="-3"/>
        </w:rPr>
        <w:t> </w:t>
      </w:r>
      <w:r>
        <w:rPr/>
        <w:t>framework</w:t>
      </w:r>
      <w:r>
        <w:rPr>
          <w:spacing w:val="-6"/>
        </w:rPr>
        <w:t> </w:t>
      </w:r>
      <w:r>
        <w:rPr/>
        <w:t>program Horizon 2020.</w:t>
      </w:r>
    </w:p>
    <w:p>
      <w:pPr>
        <w:pStyle w:val="BodyText"/>
        <w:spacing w:before="6"/>
        <w:rPr>
          <w:sz w:val="19"/>
        </w:rPr>
      </w:pPr>
    </w:p>
    <w:p>
      <w:pPr>
        <w:pStyle w:val="BodyText"/>
        <w:spacing w:line="213" w:lineRule="auto"/>
        <w:ind w:left="101" w:right="2944"/>
      </w:pPr>
      <w:r>
        <w:rPr/>
        <w:t>"The project has already succeeded in bringing the technology of catalytic membrane reactors closer to industrial implementation," explains Professor Dr. Robert Franke, project coordinator of the overall</w:t>
      </w:r>
      <w:r>
        <w:rPr>
          <w:spacing w:val="-4"/>
        </w:rPr>
        <w:t> </w:t>
      </w:r>
      <w:r>
        <w:rPr/>
        <w:t>MACBETH</w:t>
      </w:r>
      <w:r>
        <w:rPr>
          <w:spacing w:val="-4"/>
        </w:rPr>
        <w:t> </w:t>
      </w:r>
      <w:r>
        <w:rPr/>
        <w:t>project</w:t>
      </w:r>
      <w:r>
        <w:rPr>
          <w:spacing w:val="-6"/>
        </w:rPr>
        <w:t> </w:t>
      </w:r>
      <w:r>
        <w:rPr/>
        <w:t>and</w:t>
      </w:r>
      <w:r>
        <w:rPr>
          <w:spacing w:val="-4"/>
        </w:rPr>
        <w:t> </w:t>
      </w:r>
      <w:r>
        <w:rPr/>
        <w:t>head</w:t>
      </w:r>
      <w:r>
        <w:rPr>
          <w:spacing w:val="-6"/>
        </w:rPr>
        <w:t> </w:t>
      </w:r>
      <w:r>
        <w:rPr/>
        <w:t>of</w:t>
      </w:r>
      <w:r>
        <w:rPr>
          <w:spacing w:val="-4"/>
        </w:rPr>
        <w:t> </w:t>
      </w:r>
      <w:r>
        <w:rPr/>
        <w:t>hydroformylation</w:t>
      </w:r>
      <w:r>
        <w:rPr>
          <w:spacing w:val="-4"/>
        </w:rPr>
        <w:t> </w:t>
      </w:r>
      <w:r>
        <w:rPr/>
        <w:t>research</w:t>
      </w:r>
      <w:r>
        <w:rPr>
          <w:spacing w:val="-4"/>
        </w:rPr>
        <w:t> </w:t>
      </w:r>
      <w:r>
        <w:rPr/>
        <w:t>at Evonik. The mechanical completion of the demonstration plant is scheduled for Q3 2023.</w:t>
      </w:r>
    </w:p>
    <w:p>
      <w:pPr>
        <w:pStyle w:val="BodyText"/>
        <w:spacing w:before="8"/>
        <w:rPr>
          <w:sz w:val="17"/>
        </w:rPr>
      </w:pPr>
    </w:p>
    <w:p>
      <w:pPr>
        <w:pStyle w:val="BodyText"/>
        <w:spacing w:line="319" w:lineRule="exact"/>
        <w:ind w:left="101"/>
      </w:pPr>
      <w:r>
        <w:rPr/>
        <w:t>In</w:t>
      </w:r>
      <w:r>
        <w:rPr>
          <w:spacing w:val="-10"/>
        </w:rPr>
        <w:t> </w:t>
      </w:r>
      <w:r>
        <w:rPr/>
        <w:t>hydroformylation,</w:t>
      </w:r>
      <w:r>
        <w:rPr>
          <w:spacing w:val="-8"/>
        </w:rPr>
        <w:t> </w:t>
      </w:r>
      <w:r>
        <w:rPr/>
        <w:t>unsaturated</w:t>
      </w:r>
      <w:r>
        <w:rPr>
          <w:spacing w:val="-8"/>
        </w:rPr>
        <w:t> </w:t>
      </w:r>
      <w:r>
        <w:rPr/>
        <w:t>hydrocarbons</w:t>
      </w:r>
      <w:r>
        <w:rPr>
          <w:spacing w:val="-6"/>
        </w:rPr>
        <w:t> </w:t>
      </w:r>
      <w:r>
        <w:rPr/>
        <w:t>-</w:t>
      </w:r>
      <w:r>
        <w:rPr>
          <w:spacing w:val="-9"/>
        </w:rPr>
        <w:t> </w:t>
      </w:r>
      <w:r>
        <w:rPr/>
        <w:t>so-called</w:t>
      </w:r>
      <w:r>
        <w:rPr>
          <w:spacing w:val="-9"/>
        </w:rPr>
        <w:t> </w:t>
      </w:r>
      <w:r>
        <w:rPr>
          <w:spacing w:val="-2"/>
        </w:rPr>
        <w:t>olefins</w:t>
      </w:r>
    </w:p>
    <w:p>
      <w:pPr>
        <w:pStyle w:val="BodyText"/>
        <w:spacing w:line="213" w:lineRule="auto" w:before="7"/>
        <w:ind w:left="101" w:right="3087"/>
      </w:pPr>
      <w:r>
        <w:rPr/>
        <w:t>- are converted into aldehydes using synthesis gas - a mixture of hydrogen</w:t>
      </w:r>
      <w:r>
        <w:rPr>
          <w:spacing w:val="-4"/>
        </w:rPr>
        <w:t> </w:t>
      </w:r>
      <w:r>
        <w:rPr/>
        <w:t>and</w:t>
      </w:r>
      <w:r>
        <w:rPr>
          <w:spacing w:val="-3"/>
        </w:rPr>
        <w:t> </w:t>
      </w:r>
      <w:r>
        <w:rPr/>
        <w:t>carbon</w:t>
      </w:r>
      <w:r>
        <w:rPr>
          <w:spacing w:val="-6"/>
        </w:rPr>
        <w:t> </w:t>
      </w:r>
      <w:r>
        <w:rPr/>
        <w:t>monoxide.</w:t>
      </w:r>
      <w:r>
        <w:rPr>
          <w:spacing w:val="-7"/>
        </w:rPr>
        <w:t> </w:t>
      </w:r>
      <w:r>
        <w:rPr/>
        <w:t>Aldehydes,</w:t>
      </w:r>
      <w:r>
        <w:rPr>
          <w:spacing w:val="-6"/>
        </w:rPr>
        <w:t> </w:t>
      </w:r>
      <w:r>
        <w:rPr/>
        <w:t>in</w:t>
      </w:r>
      <w:r>
        <w:rPr>
          <w:spacing w:val="-3"/>
        </w:rPr>
        <w:t> </w:t>
      </w:r>
      <w:r>
        <w:rPr/>
        <w:t>turn,</w:t>
      </w:r>
      <w:r>
        <w:rPr>
          <w:spacing w:val="-1"/>
        </w:rPr>
        <w:t> </w:t>
      </w:r>
      <w:r>
        <w:rPr/>
        <w:t>are</w:t>
      </w:r>
      <w:r>
        <w:rPr>
          <w:spacing w:val="-4"/>
        </w:rPr>
        <w:t> </w:t>
      </w:r>
      <w:r>
        <w:rPr/>
        <w:t>important intermediates on the way to higher alcohols, organic acids or esters, which are then used, for example, as plasticizers in</w:t>
      </w:r>
      <w:r>
        <w:rPr>
          <w:spacing w:val="40"/>
        </w:rPr>
        <w:t> </w:t>
      </w:r>
      <w:r>
        <w:rPr/>
        <w:t>plastics or as surfactants.</w:t>
      </w:r>
    </w:p>
    <w:p>
      <w:pPr>
        <w:pStyle w:val="BodyText"/>
        <w:spacing w:before="8"/>
        <w:rPr>
          <w:sz w:val="30"/>
        </w:rPr>
      </w:pPr>
    </w:p>
    <w:p>
      <w:pPr>
        <w:spacing w:line="249" w:lineRule="exact" w:before="0"/>
        <w:ind w:left="101" w:right="0" w:firstLine="0"/>
        <w:jc w:val="left"/>
        <w:rPr>
          <w:b/>
          <w:sz w:val="18"/>
        </w:rPr>
      </w:pPr>
      <w:r>
        <w:rPr>
          <w:b/>
          <w:sz w:val="18"/>
        </w:rPr>
        <w:t>Company</w:t>
      </w:r>
      <w:r>
        <w:rPr>
          <w:b/>
          <w:spacing w:val="-10"/>
          <w:sz w:val="18"/>
        </w:rPr>
        <w:t> </w:t>
      </w:r>
      <w:r>
        <w:rPr>
          <w:b/>
          <w:spacing w:val="-2"/>
          <w:sz w:val="18"/>
        </w:rPr>
        <w:t>information</w:t>
      </w:r>
    </w:p>
    <w:p>
      <w:pPr>
        <w:spacing w:line="192" w:lineRule="auto" w:before="12"/>
        <w:ind w:left="101" w:right="3107" w:firstLine="0"/>
        <w:jc w:val="left"/>
        <w:rPr>
          <w:sz w:val="18"/>
        </w:rPr>
      </w:pPr>
      <w:r>
        <w:rPr>
          <w:sz w:val="18"/>
        </w:rPr>
        <w:t>Evonik is one of the world leaders in specialty chemicals. The company is active in more than 100 countries around the world and generated sales of €18.5 billion</w:t>
      </w:r>
      <w:r>
        <w:rPr>
          <w:spacing w:val="-5"/>
          <w:sz w:val="18"/>
        </w:rPr>
        <w:t> </w:t>
      </w:r>
      <w:r>
        <w:rPr>
          <w:sz w:val="18"/>
        </w:rPr>
        <w:t>and</w:t>
      </w:r>
      <w:r>
        <w:rPr>
          <w:spacing w:val="-5"/>
          <w:sz w:val="18"/>
        </w:rPr>
        <w:t> </w:t>
      </w:r>
      <w:r>
        <w:rPr>
          <w:sz w:val="18"/>
        </w:rPr>
        <w:t>an</w:t>
      </w:r>
      <w:r>
        <w:rPr>
          <w:spacing w:val="-3"/>
          <w:sz w:val="18"/>
        </w:rPr>
        <w:t> </w:t>
      </w:r>
      <w:r>
        <w:rPr>
          <w:sz w:val="18"/>
        </w:rPr>
        <w:t>operating</w:t>
      </w:r>
      <w:r>
        <w:rPr>
          <w:spacing w:val="-3"/>
          <w:sz w:val="18"/>
        </w:rPr>
        <w:t> </w:t>
      </w:r>
      <w:r>
        <w:rPr>
          <w:sz w:val="18"/>
        </w:rPr>
        <w:t>profit</w:t>
      </w:r>
      <w:r>
        <w:rPr>
          <w:spacing w:val="-4"/>
          <w:sz w:val="18"/>
        </w:rPr>
        <w:t> </w:t>
      </w:r>
      <w:r>
        <w:rPr>
          <w:sz w:val="18"/>
        </w:rPr>
        <w:t>(adjusted</w:t>
      </w:r>
      <w:r>
        <w:rPr>
          <w:spacing w:val="-4"/>
          <w:sz w:val="18"/>
        </w:rPr>
        <w:t> </w:t>
      </w:r>
      <w:r>
        <w:rPr>
          <w:sz w:val="18"/>
        </w:rPr>
        <w:t>EBITDA)</w:t>
      </w:r>
      <w:r>
        <w:rPr>
          <w:spacing w:val="-5"/>
          <w:sz w:val="18"/>
        </w:rPr>
        <w:t> </w:t>
      </w:r>
      <w:r>
        <w:rPr>
          <w:sz w:val="18"/>
        </w:rPr>
        <w:t>of</w:t>
      </w:r>
      <w:r>
        <w:rPr>
          <w:spacing w:val="-3"/>
          <w:sz w:val="18"/>
        </w:rPr>
        <w:t> </w:t>
      </w:r>
      <w:r>
        <w:rPr>
          <w:sz w:val="18"/>
        </w:rPr>
        <w:t>€2.49</w:t>
      </w:r>
      <w:r>
        <w:rPr>
          <w:spacing w:val="-5"/>
          <w:sz w:val="18"/>
        </w:rPr>
        <w:t> </w:t>
      </w:r>
      <w:r>
        <w:rPr>
          <w:sz w:val="18"/>
        </w:rPr>
        <w:t>billion</w:t>
      </w:r>
      <w:r>
        <w:rPr>
          <w:spacing w:val="-3"/>
          <w:sz w:val="18"/>
        </w:rPr>
        <w:t> </w:t>
      </w:r>
      <w:r>
        <w:rPr>
          <w:sz w:val="18"/>
        </w:rPr>
        <w:t>in</w:t>
      </w:r>
      <w:r>
        <w:rPr>
          <w:spacing w:val="-3"/>
          <w:sz w:val="18"/>
        </w:rPr>
        <w:t> </w:t>
      </w:r>
      <w:r>
        <w:rPr>
          <w:sz w:val="18"/>
        </w:rPr>
        <w:t>2022.</w:t>
      </w:r>
      <w:r>
        <w:rPr>
          <w:spacing w:val="-4"/>
          <w:sz w:val="18"/>
        </w:rPr>
        <w:t> </w:t>
      </w:r>
      <w:r>
        <w:rPr>
          <w:sz w:val="18"/>
        </w:rPr>
        <w:t>Evonik goes far beyond chemistry to create innovative, profitable, and sustainable solutions for customers. About 34,000 employees work together for a common purpose: We want to improve life today and tomorrow.</w:t>
      </w:r>
    </w:p>
    <w:p>
      <w:pPr>
        <w:pStyle w:val="BodyText"/>
        <w:spacing w:before="2"/>
        <w:rPr>
          <w:sz w:val="11"/>
        </w:rPr>
      </w:pPr>
    </w:p>
    <w:p>
      <w:pPr>
        <w:spacing w:line="249" w:lineRule="exact" w:before="1"/>
        <w:ind w:left="101" w:right="0" w:firstLine="0"/>
        <w:jc w:val="left"/>
        <w:rPr>
          <w:b/>
          <w:sz w:val="18"/>
        </w:rPr>
      </w:pPr>
      <w:r>
        <w:rPr>
          <w:b/>
          <w:sz w:val="18"/>
        </w:rPr>
        <w:t>About</w:t>
      </w:r>
      <w:r>
        <w:rPr>
          <w:b/>
          <w:spacing w:val="-12"/>
          <w:sz w:val="18"/>
        </w:rPr>
        <w:t> </w:t>
      </w:r>
      <w:r>
        <w:rPr>
          <w:b/>
          <w:sz w:val="18"/>
        </w:rPr>
        <w:t>Performance</w:t>
      </w:r>
      <w:r>
        <w:rPr>
          <w:b/>
          <w:spacing w:val="-12"/>
          <w:sz w:val="18"/>
        </w:rPr>
        <w:t> </w:t>
      </w:r>
      <w:r>
        <w:rPr>
          <w:b/>
          <w:spacing w:val="-2"/>
          <w:sz w:val="18"/>
        </w:rPr>
        <w:t>Materials</w:t>
      </w:r>
    </w:p>
    <w:p>
      <w:pPr>
        <w:spacing w:line="189" w:lineRule="auto" w:before="13"/>
        <w:ind w:left="101" w:right="2944" w:firstLine="0"/>
        <w:jc w:val="left"/>
        <w:rPr>
          <w:sz w:val="18"/>
        </w:rPr>
      </w:pPr>
      <w:r>
        <w:rPr>
          <w:sz w:val="18"/>
        </w:rPr>
        <w:t>The forever young classics of the Performance Materials Division stand for products</w:t>
      </w:r>
      <w:r>
        <w:rPr>
          <w:spacing w:val="-4"/>
          <w:sz w:val="18"/>
        </w:rPr>
        <w:t> </w:t>
      </w:r>
      <w:r>
        <w:rPr>
          <w:sz w:val="18"/>
        </w:rPr>
        <w:t>and</w:t>
      </w:r>
      <w:r>
        <w:rPr>
          <w:spacing w:val="-4"/>
          <w:sz w:val="18"/>
        </w:rPr>
        <w:t> </w:t>
      </w:r>
      <w:r>
        <w:rPr>
          <w:sz w:val="18"/>
        </w:rPr>
        <w:t>technologies</w:t>
      </w:r>
      <w:r>
        <w:rPr>
          <w:spacing w:val="-6"/>
          <w:sz w:val="18"/>
        </w:rPr>
        <w:t> </w:t>
      </w:r>
      <w:r>
        <w:rPr>
          <w:sz w:val="18"/>
        </w:rPr>
        <w:t>that</w:t>
      </w:r>
      <w:r>
        <w:rPr>
          <w:spacing w:val="-3"/>
          <w:sz w:val="18"/>
        </w:rPr>
        <w:t> </w:t>
      </w:r>
      <w:r>
        <w:rPr>
          <w:sz w:val="18"/>
        </w:rPr>
        <w:t>are continuously</w:t>
      </w:r>
      <w:r>
        <w:rPr>
          <w:spacing w:val="-6"/>
          <w:sz w:val="18"/>
        </w:rPr>
        <w:t> </w:t>
      </w:r>
      <w:r>
        <w:rPr>
          <w:sz w:val="18"/>
        </w:rPr>
        <w:t>improved.</w:t>
      </w:r>
      <w:r>
        <w:rPr>
          <w:spacing w:val="-3"/>
          <w:sz w:val="18"/>
        </w:rPr>
        <w:t> </w:t>
      </w:r>
      <w:r>
        <w:rPr>
          <w:sz w:val="18"/>
        </w:rPr>
        <w:t>They</w:t>
      </w:r>
      <w:r>
        <w:rPr>
          <w:spacing w:val="-4"/>
          <w:sz w:val="18"/>
        </w:rPr>
        <w:t> </w:t>
      </w:r>
      <w:r>
        <w:rPr>
          <w:sz w:val="18"/>
        </w:rPr>
        <w:t>are</w:t>
      </w:r>
      <w:r>
        <w:rPr>
          <w:spacing w:val="-3"/>
          <w:sz w:val="18"/>
        </w:rPr>
        <w:t> </w:t>
      </w:r>
      <w:r>
        <w:rPr>
          <w:sz w:val="18"/>
        </w:rPr>
        <w:t>the</w:t>
      </w:r>
      <w:r>
        <w:rPr>
          <w:spacing w:val="-3"/>
          <w:sz w:val="18"/>
        </w:rPr>
        <w:t> </w:t>
      </w:r>
      <w:r>
        <w:rPr>
          <w:sz w:val="18"/>
        </w:rPr>
        <w:t>basis</w:t>
      </w:r>
      <w:r>
        <w:rPr>
          <w:spacing w:val="-4"/>
          <w:sz w:val="18"/>
        </w:rPr>
        <w:t> </w:t>
      </w:r>
      <w:r>
        <w:rPr>
          <w:sz w:val="18"/>
        </w:rPr>
        <w:t>for many modern applications, for example in the areas of mobility, nutrition,</w:t>
      </w:r>
    </w:p>
    <w:p>
      <w:pPr>
        <w:spacing w:line="212" w:lineRule="exact" w:before="0"/>
        <w:ind w:left="101" w:right="0" w:firstLine="0"/>
        <w:jc w:val="left"/>
        <w:rPr>
          <w:sz w:val="18"/>
        </w:rPr>
      </w:pPr>
      <w:r>
        <w:rPr>
          <w:sz w:val="18"/>
        </w:rPr>
        <w:t>pharmaceuticals</w:t>
      </w:r>
      <w:r>
        <w:rPr>
          <w:spacing w:val="-7"/>
          <w:sz w:val="18"/>
        </w:rPr>
        <w:t> </w:t>
      </w:r>
      <w:r>
        <w:rPr>
          <w:sz w:val="18"/>
        </w:rPr>
        <w:t>or</w:t>
      </w:r>
      <w:r>
        <w:rPr>
          <w:spacing w:val="-4"/>
          <w:sz w:val="18"/>
        </w:rPr>
        <w:t> </w:t>
      </w:r>
      <w:r>
        <w:rPr>
          <w:sz w:val="18"/>
        </w:rPr>
        <w:t>plastics.</w:t>
      </w:r>
      <w:r>
        <w:rPr>
          <w:spacing w:val="-3"/>
          <w:sz w:val="18"/>
        </w:rPr>
        <w:t> </w:t>
      </w:r>
      <w:r>
        <w:rPr>
          <w:sz w:val="18"/>
        </w:rPr>
        <w:t>The</w:t>
      </w:r>
      <w:r>
        <w:rPr>
          <w:spacing w:val="-4"/>
          <w:sz w:val="18"/>
        </w:rPr>
        <w:t> </w:t>
      </w:r>
      <w:r>
        <w:rPr>
          <w:sz w:val="18"/>
        </w:rPr>
        <w:t>divisions</w:t>
      </w:r>
      <w:r>
        <w:rPr>
          <w:spacing w:val="-5"/>
          <w:sz w:val="18"/>
        </w:rPr>
        <w:t> </w:t>
      </w:r>
      <w:r>
        <w:rPr>
          <w:sz w:val="18"/>
        </w:rPr>
        <w:t>portfolio</w:t>
      </w:r>
      <w:r>
        <w:rPr>
          <w:spacing w:val="-3"/>
          <w:sz w:val="18"/>
        </w:rPr>
        <w:t> </w:t>
      </w:r>
      <w:r>
        <w:rPr>
          <w:sz w:val="18"/>
        </w:rPr>
        <w:t>generated</w:t>
      </w:r>
      <w:r>
        <w:rPr>
          <w:spacing w:val="-4"/>
          <w:sz w:val="18"/>
        </w:rPr>
        <w:t> </w:t>
      </w:r>
      <w:r>
        <w:rPr>
          <w:sz w:val="18"/>
        </w:rPr>
        <w:t>sales</w:t>
      </w:r>
      <w:r>
        <w:rPr>
          <w:spacing w:val="-5"/>
          <w:sz w:val="18"/>
        </w:rPr>
        <w:t> </w:t>
      </w:r>
      <w:r>
        <w:rPr>
          <w:sz w:val="18"/>
        </w:rPr>
        <w:t>of</w:t>
      </w:r>
      <w:r>
        <w:rPr>
          <w:spacing w:val="-2"/>
          <w:sz w:val="18"/>
        </w:rPr>
        <w:t> €3.66</w:t>
      </w:r>
    </w:p>
    <w:p>
      <w:pPr>
        <w:spacing w:line="249" w:lineRule="exact" w:before="0"/>
        <w:ind w:left="101" w:right="0" w:firstLine="0"/>
        <w:jc w:val="left"/>
        <w:rPr>
          <w:sz w:val="18"/>
        </w:rPr>
      </w:pPr>
      <w:r>
        <w:rPr>
          <w:sz w:val="18"/>
        </w:rPr>
        <w:t>billion</w:t>
      </w:r>
      <w:r>
        <w:rPr>
          <w:spacing w:val="-6"/>
          <w:sz w:val="18"/>
        </w:rPr>
        <w:t> </w:t>
      </w:r>
      <w:r>
        <w:rPr>
          <w:sz w:val="18"/>
        </w:rPr>
        <w:t>in</w:t>
      </w:r>
      <w:r>
        <w:rPr>
          <w:spacing w:val="-3"/>
          <w:sz w:val="18"/>
        </w:rPr>
        <w:t> </w:t>
      </w:r>
      <w:r>
        <w:rPr>
          <w:sz w:val="18"/>
        </w:rPr>
        <w:t>2022</w:t>
      </w:r>
      <w:r>
        <w:rPr>
          <w:spacing w:val="-3"/>
          <w:sz w:val="18"/>
        </w:rPr>
        <w:t> </w:t>
      </w:r>
      <w:r>
        <w:rPr>
          <w:sz w:val="18"/>
        </w:rPr>
        <w:t>with</w:t>
      </w:r>
      <w:r>
        <w:rPr>
          <w:spacing w:val="-1"/>
          <w:sz w:val="18"/>
        </w:rPr>
        <w:t> </w:t>
      </w:r>
      <w:r>
        <w:rPr>
          <w:sz w:val="18"/>
        </w:rPr>
        <w:t>about</w:t>
      </w:r>
      <w:r>
        <w:rPr>
          <w:spacing w:val="-2"/>
          <w:sz w:val="18"/>
        </w:rPr>
        <w:t> </w:t>
      </w:r>
      <w:r>
        <w:rPr>
          <w:sz w:val="18"/>
        </w:rPr>
        <w:t>2,000</w:t>
      </w:r>
      <w:r>
        <w:rPr>
          <w:spacing w:val="-2"/>
          <w:sz w:val="18"/>
        </w:rPr>
        <w:t> employees.</w:t>
      </w:r>
    </w:p>
    <w:p>
      <w:pPr>
        <w:pStyle w:val="BodyText"/>
        <w:spacing w:before="9"/>
        <w:rPr>
          <w:sz w:val="10"/>
        </w:rPr>
      </w:pPr>
    </w:p>
    <w:p>
      <w:pPr>
        <w:spacing w:line="249" w:lineRule="exact" w:before="0"/>
        <w:ind w:left="101" w:right="0" w:firstLine="0"/>
        <w:jc w:val="left"/>
        <w:rPr>
          <w:b/>
          <w:sz w:val="18"/>
        </w:rPr>
      </w:pPr>
      <w:r>
        <w:rPr>
          <w:b/>
          <w:spacing w:val="-2"/>
          <w:sz w:val="18"/>
        </w:rPr>
        <w:t>Disclaimer</w:t>
      </w:r>
    </w:p>
    <w:p>
      <w:pPr>
        <w:spacing w:line="192" w:lineRule="auto" w:before="12"/>
        <w:ind w:left="101" w:right="2944"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2944"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860" w:footer="726" w:top="2000" w:bottom="1040" w:left="12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08000" type="#_x0000_t202" id="docshape1" filled="false" stroked="false">
          <v:textbox inset="0,0,0,0">
            <w:txbxContent>
              <w:p>
                <w:pPr>
                  <w:pStyle w:val="BodyText"/>
                  <w:spacing w:line="261" w:lineRule="exact"/>
                  <w:ind w:left="20"/>
                </w:pPr>
                <w:r>
                  <w:rPr/>
                  <w:t>Page</w:t>
                </w:r>
                <w:r>
                  <w:rPr>
                    <w:spacing w:val="-3"/>
                  </w:rPr>
                  <w:t> </w:t>
                </w:r>
                <w:r>
                  <w:rPr/>
                  <w:fldChar w:fldCharType="begin"/>
                </w:r>
                <w:r>
                  <w:rPr/>
                  <w:instrText> PAGE </w:instrText>
                </w:r>
                <w:r>
                  <w:rPr/>
                  <w:fldChar w:fldCharType="separate"/>
                </w:r>
                <w:r>
                  <w:rPr/>
                  <w:t>1</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2</w:t>
                </w:r>
                <w:r>
                  <w:rPr>
                    <w:spacing w:val="-1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07456">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07968">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1" w:hanging="360"/>
      </w:pPr>
      <w:rPr>
        <w:rFonts w:hint="default" w:ascii="Lucida Sans Unicode" w:hAnsi="Lucida Sans Unicode" w:eastAsia="Lucida Sans Unicode" w:cs="Lucida Sans Unicode"/>
        <w:b w:val="0"/>
        <w:bCs w:val="0"/>
        <w:i w:val="0"/>
        <w:iCs w:val="0"/>
        <w:w w:val="100"/>
        <w:sz w:val="24"/>
        <w:szCs w:val="24"/>
        <w:lang w:val="en-US" w:eastAsia="en-US" w:bidi="ar-SA"/>
      </w:rPr>
    </w:lvl>
    <w:lvl w:ilvl="1">
      <w:start w:val="0"/>
      <w:numFmt w:val="bullet"/>
      <w:lvlText w:val="•"/>
      <w:lvlJc w:val="left"/>
      <w:pPr>
        <w:ind w:left="1466" w:hanging="360"/>
      </w:pPr>
      <w:rPr>
        <w:rFonts w:hint="default"/>
        <w:lang w:val="en-US" w:eastAsia="en-US" w:bidi="ar-SA"/>
      </w:rPr>
    </w:lvl>
    <w:lvl w:ilvl="2">
      <w:start w:val="0"/>
      <w:numFmt w:val="bullet"/>
      <w:lvlText w:val="•"/>
      <w:lvlJc w:val="left"/>
      <w:pPr>
        <w:ind w:left="2112" w:hanging="360"/>
      </w:pPr>
      <w:rPr>
        <w:rFonts w:hint="default"/>
        <w:lang w:val="en-US" w:eastAsia="en-US" w:bidi="ar-SA"/>
      </w:rPr>
    </w:lvl>
    <w:lvl w:ilvl="3">
      <w:start w:val="0"/>
      <w:numFmt w:val="bullet"/>
      <w:lvlText w:val="•"/>
      <w:lvlJc w:val="left"/>
      <w:pPr>
        <w:ind w:left="2758" w:hanging="360"/>
      </w:pPr>
      <w:rPr>
        <w:rFonts w:hint="default"/>
        <w:lang w:val="en-US" w:eastAsia="en-US" w:bidi="ar-SA"/>
      </w:rPr>
    </w:lvl>
    <w:lvl w:ilvl="4">
      <w:start w:val="0"/>
      <w:numFmt w:val="bullet"/>
      <w:lvlText w:val="•"/>
      <w:lvlJc w:val="left"/>
      <w:pPr>
        <w:ind w:left="3405" w:hanging="360"/>
      </w:pPr>
      <w:rPr>
        <w:rFonts w:hint="default"/>
        <w:lang w:val="en-US" w:eastAsia="en-US" w:bidi="ar-SA"/>
      </w:rPr>
    </w:lvl>
    <w:lvl w:ilvl="5">
      <w:start w:val="0"/>
      <w:numFmt w:val="bullet"/>
      <w:lvlText w:val="•"/>
      <w:lvlJc w:val="left"/>
      <w:pPr>
        <w:ind w:left="4051" w:hanging="360"/>
      </w:pPr>
      <w:rPr>
        <w:rFonts w:hint="default"/>
        <w:lang w:val="en-US" w:eastAsia="en-US" w:bidi="ar-SA"/>
      </w:rPr>
    </w:lvl>
    <w:lvl w:ilvl="6">
      <w:start w:val="0"/>
      <w:numFmt w:val="bullet"/>
      <w:lvlText w:val="•"/>
      <w:lvlJc w:val="left"/>
      <w:pPr>
        <w:ind w:left="4697" w:hanging="360"/>
      </w:pPr>
      <w:rPr>
        <w:rFonts w:hint="default"/>
        <w:lang w:val="en-US" w:eastAsia="en-US" w:bidi="ar-SA"/>
      </w:rPr>
    </w:lvl>
    <w:lvl w:ilvl="7">
      <w:start w:val="0"/>
      <w:numFmt w:val="bullet"/>
      <w:lvlText w:val="•"/>
      <w:lvlJc w:val="left"/>
      <w:pPr>
        <w:ind w:left="5343" w:hanging="360"/>
      </w:pPr>
      <w:rPr>
        <w:rFonts w:hint="default"/>
        <w:lang w:val="en-US" w:eastAsia="en-US" w:bidi="ar-SA"/>
      </w:rPr>
    </w:lvl>
    <w:lvl w:ilvl="8">
      <w:start w:val="0"/>
      <w:numFmt w:val="bullet"/>
      <w:lvlText w:val="•"/>
      <w:lvlJc w:val="left"/>
      <w:pPr>
        <w:ind w:left="599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Title" w:type="paragraph">
    <w:name w:val="Title"/>
    <w:basedOn w:val="Normal"/>
    <w:uiPriority w:val="1"/>
    <w:qFormat/>
    <w:pPr>
      <w:spacing w:before="85"/>
      <w:ind w:left="101" w:right="49"/>
    </w:pPr>
    <w:rPr>
      <w:rFonts w:ascii="Lucida Sans Unicode" w:hAnsi="Lucida Sans Unicode" w:eastAsia="Lucida Sans Unicode" w:cs="Lucida Sans Unicode"/>
      <w:b/>
      <w:bCs/>
      <w:sz w:val="24"/>
      <w:szCs w:val="24"/>
      <w:lang w:val="en-US" w:eastAsia="en-US" w:bidi="ar-SA"/>
    </w:rPr>
  </w:style>
  <w:style w:styleId="ListParagraph" w:type="paragraph">
    <w:name w:val="List Paragraph"/>
    <w:basedOn w:val="Normal"/>
    <w:uiPriority w:val="1"/>
    <w:qFormat/>
    <w:pPr>
      <w:spacing w:before="1"/>
      <w:ind w:left="821" w:right="108" w:hanging="36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michael.richter@evonik.com" TargetMode="External"/><Relationship Id="rId8" Type="http://schemas.openxmlformats.org/officeDocument/2006/relationships/hyperlink" Target="mailto:alina.alfes@evonik.com" TargetMode="External"/><Relationship Id="rId9" Type="http://schemas.openxmlformats.org/officeDocument/2006/relationships/hyperlink" Target="http://www.evonik.com/"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2023-05-22T12:45:29Z</dcterms:created>
  <dcterms:modified xsi:type="dcterms:W3CDTF">2023-05-22T12:45:29Z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Microsoft® Word für Microsoft 365</vt:lpwstr>
  </property>
  <property fmtid="{D5CDD505-2E9C-101B-9397-08002B2CF9AE}" pid="4" name="LastSaved">
    <vt:filetime>2023-05-22T00:00:00Z</vt:filetime>
  </property>
  <property fmtid="{D5CDD505-2E9C-101B-9397-08002B2CF9AE}" pid="5" name="Producer">
    <vt:lpwstr>Microsoft® Word für Microsoft 365</vt:lpwstr>
  </property>
</Properties>
</file>