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12D11" w14:paraId="3C5899D8" w14:textId="77777777" w:rsidTr="002159BA">
        <w:trPr>
          <w:trHeight w:val="851"/>
        </w:trPr>
        <w:tc>
          <w:tcPr>
            <w:tcW w:w="2552" w:type="dxa"/>
            <w:shd w:val="clear" w:color="auto" w:fill="auto"/>
          </w:tcPr>
          <w:p w14:paraId="7E312452" w14:textId="1BE1A479" w:rsidR="000B1B97" w:rsidRPr="00AF071B" w:rsidRDefault="00C228BA" w:rsidP="000B1B97">
            <w:pPr>
              <w:pStyle w:val="M8"/>
              <w:framePr w:wrap="auto" w:vAnchor="margin" w:hAnchor="text" w:xAlign="left" w:yAlign="inline"/>
              <w:suppressOverlap w:val="0"/>
              <w:rPr>
                <w:sz w:val="18"/>
                <w:szCs w:val="18"/>
                <w:lang w:val="en-US"/>
              </w:rPr>
            </w:pPr>
            <w:r>
              <w:rPr>
                <w:sz w:val="18"/>
                <w:szCs w:val="18"/>
                <w:lang w:val="en-US"/>
              </w:rPr>
              <w:t>March 4</w:t>
            </w:r>
            <w:r w:rsidR="00AF071B" w:rsidRPr="00AF071B">
              <w:rPr>
                <w:sz w:val="18"/>
                <w:szCs w:val="18"/>
                <w:lang w:val="en-US"/>
              </w:rPr>
              <w:t xml:space="preserve">, </w:t>
            </w:r>
            <w:r w:rsidR="00CE17BF" w:rsidRPr="00AF071B">
              <w:rPr>
                <w:sz w:val="18"/>
                <w:szCs w:val="18"/>
                <w:lang w:val="en-US"/>
              </w:rPr>
              <w:t>202</w:t>
            </w:r>
            <w:r>
              <w:rPr>
                <w:sz w:val="18"/>
                <w:szCs w:val="18"/>
                <w:lang w:val="en-US"/>
              </w:rPr>
              <w:t>4</w:t>
            </w:r>
          </w:p>
          <w:p w14:paraId="3E4B4710" w14:textId="77777777" w:rsidR="000B1B97" w:rsidRPr="00AF071B" w:rsidRDefault="000B1B97" w:rsidP="000B1B97">
            <w:pPr>
              <w:pStyle w:val="M8"/>
              <w:framePr w:wrap="auto" w:vAnchor="margin" w:hAnchor="text" w:xAlign="left" w:yAlign="inline"/>
              <w:suppressOverlap w:val="0"/>
              <w:rPr>
                <w:b/>
                <w:lang w:val="en-US"/>
              </w:rPr>
            </w:pPr>
          </w:p>
          <w:p w14:paraId="68F21297" w14:textId="77777777" w:rsidR="000B1B97" w:rsidRPr="00AF071B" w:rsidRDefault="000B1B97" w:rsidP="000B1B97">
            <w:pPr>
              <w:pStyle w:val="M8"/>
              <w:framePr w:wrap="auto" w:vAnchor="margin" w:hAnchor="text" w:xAlign="left" w:yAlign="inline"/>
              <w:suppressOverlap w:val="0"/>
              <w:rPr>
                <w:b/>
                <w:lang w:val="en-US"/>
              </w:rPr>
            </w:pPr>
          </w:p>
          <w:p w14:paraId="29C02CA2" w14:textId="31D7D5D8" w:rsidR="000B1B97" w:rsidRPr="00AF071B" w:rsidRDefault="000B1B97" w:rsidP="000B1B97">
            <w:pPr>
              <w:pStyle w:val="M8"/>
              <w:framePr w:wrap="auto" w:vAnchor="margin" w:hAnchor="text" w:xAlign="left" w:yAlign="inline"/>
              <w:suppressOverlap w:val="0"/>
              <w:rPr>
                <w:b/>
                <w:lang w:val="en-US"/>
              </w:rPr>
            </w:pPr>
            <w:r w:rsidRPr="00AF071B">
              <w:rPr>
                <w:b/>
                <w:lang w:val="en-US"/>
              </w:rPr>
              <w:br/>
            </w:r>
            <w:r w:rsidR="00F431F9" w:rsidRPr="00AF071B">
              <w:rPr>
                <w:b/>
                <w:lang w:val="en-US"/>
              </w:rPr>
              <w:t>J</w:t>
            </w:r>
            <w:r w:rsidR="00AF071B" w:rsidRPr="00AF071B">
              <w:rPr>
                <w:b/>
                <w:lang w:val="en-US"/>
              </w:rPr>
              <w:t>oe</w:t>
            </w:r>
            <w:r w:rsidR="00F431F9" w:rsidRPr="00AF071B">
              <w:rPr>
                <w:b/>
                <w:lang w:val="en-US"/>
              </w:rPr>
              <w:t>rg Wagner</w:t>
            </w:r>
          </w:p>
          <w:p w14:paraId="4C7D0D68" w14:textId="55CE9FF6" w:rsidR="00242A50" w:rsidRPr="00AF071B" w:rsidRDefault="00AF071B" w:rsidP="000B1B97">
            <w:pPr>
              <w:pStyle w:val="M8"/>
              <w:framePr w:wrap="auto" w:vAnchor="margin" w:hAnchor="text" w:xAlign="left" w:yAlign="inline"/>
              <w:suppressOverlap w:val="0"/>
              <w:rPr>
                <w:b/>
                <w:lang w:val="en-US"/>
              </w:rPr>
            </w:pPr>
            <w:r w:rsidRPr="00AF071B">
              <w:rPr>
                <w:b/>
                <w:lang w:val="en-US"/>
              </w:rPr>
              <w:t>Head</w:t>
            </w:r>
            <w:r w:rsidR="00110640" w:rsidRPr="00AF071B">
              <w:rPr>
                <w:b/>
                <w:lang w:val="en-US"/>
              </w:rPr>
              <w:t xml:space="preserve"> </w:t>
            </w:r>
            <w:r w:rsidR="00A96F0A">
              <w:rPr>
                <w:b/>
                <w:lang w:val="en-US"/>
              </w:rPr>
              <w:t xml:space="preserve">of </w:t>
            </w:r>
            <w:r w:rsidR="00242A50" w:rsidRPr="00AF071B">
              <w:rPr>
                <w:b/>
                <w:lang w:val="en-US"/>
              </w:rPr>
              <w:t>Extern</w:t>
            </w:r>
            <w:r w:rsidRPr="00AF071B">
              <w:rPr>
                <w:b/>
                <w:lang w:val="en-US"/>
              </w:rPr>
              <w:t>al</w:t>
            </w:r>
            <w:r w:rsidR="00242A50" w:rsidRPr="00AF071B">
              <w:rPr>
                <w:b/>
                <w:lang w:val="en-US"/>
              </w:rPr>
              <w:t xml:space="preserve"> </w:t>
            </w:r>
            <w:r w:rsidRPr="00AF071B">
              <w:rPr>
                <w:b/>
                <w:lang w:val="en-US"/>
              </w:rPr>
              <w:t>C</w:t>
            </w:r>
            <w:r>
              <w:rPr>
                <w:b/>
                <w:lang w:val="en-US"/>
              </w:rPr>
              <w:t>ommunications</w:t>
            </w:r>
          </w:p>
          <w:p w14:paraId="74781E5A" w14:textId="4033CA1D" w:rsidR="00110640" w:rsidRPr="00C66297" w:rsidRDefault="00940BB9" w:rsidP="000B1B97">
            <w:pPr>
              <w:pStyle w:val="M9"/>
              <w:framePr w:wrap="auto" w:vAnchor="margin" w:hAnchor="text" w:xAlign="left" w:yAlign="inline"/>
              <w:suppressOverlap w:val="0"/>
              <w:rPr>
                <w:lang w:val="en-US"/>
              </w:rPr>
            </w:pPr>
            <w:r>
              <w:rPr>
                <w:lang w:val="en-US"/>
              </w:rPr>
              <w:t>P</w:t>
            </w:r>
            <w:r w:rsidR="00A96F0A" w:rsidRPr="00C66297">
              <w:rPr>
                <w:lang w:val="en-US"/>
              </w:rPr>
              <w:t>h</w:t>
            </w:r>
            <w:r w:rsidR="000B1B97" w:rsidRPr="00C66297">
              <w:rPr>
                <w:lang w:val="en-US"/>
              </w:rPr>
              <w:t>on</w:t>
            </w:r>
            <w:r w:rsidR="00AF071B" w:rsidRPr="00C66297">
              <w:rPr>
                <w:lang w:val="en-US"/>
              </w:rPr>
              <w:t>e</w:t>
            </w:r>
            <w:r w:rsidR="000B1B97" w:rsidRPr="00C66297">
              <w:rPr>
                <w:lang w:val="en-US"/>
              </w:rPr>
              <w:t xml:space="preserve"> +49 </w:t>
            </w:r>
            <w:r w:rsidR="00110640" w:rsidRPr="00C66297">
              <w:rPr>
                <w:lang w:val="en-US"/>
              </w:rPr>
              <w:t>201 177</w:t>
            </w:r>
            <w:r>
              <w:rPr>
                <w:lang w:val="en-US"/>
              </w:rPr>
              <w:t xml:space="preserve"> </w:t>
            </w:r>
            <w:r w:rsidR="00110640" w:rsidRPr="00C66297">
              <w:rPr>
                <w:lang w:val="en-US"/>
              </w:rPr>
              <w:t>3</w:t>
            </w:r>
            <w:r w:rsidR="00F222F0" w:rsidRPr="00C66297">
              <w:rPr>
                <w:lang w:val="en-US"/>
              </w:rPr>
              <w:t>408</w:t>
            </w:r>
          </w:p>
          <w:p w14:paraId="3F315F27" w14:textId="344B303D" w:rsidR="000B1B97" w:rsidRPr="00C66297" w:rsidRDefault="00317BB5" w:rsidP="000B1B97">
            <w:pPr>
              <w:pStyle w:val="M9"/>
              <w:framePr w:wrap="auto" w:vAnchor="margin" w:hAnchor="text" w:xAlign="left" w:yAlign="inline"/>
              <w:suppressOverlap w:val="0"/>
              <w:rPr>
                <w:lang w:val="en-US"/>
              </w:rPr>
            </w:pPr>
            <w:r w:rsidRPr="00C66297">
              <w:rPr>
                <w:lang w:val="en-US"/>
              </w:rPr>
              <w:t>Mobil</w:t>
            </w:r>
            <w:r w:rsidR="00AF071B" w:rsidRPr="00C66297">
              <w:rPr>
                <w:lang w:val="en-US"/>
              </w:rPr>
              <w:t>e</w:t>
            </w:r>
            <w:r w:rsidR="00110640" w:rsidRPr="00C66297">
              <w:rPr>
                <w:lang w:val="en-US"/>
              </w:rPr>
              <w:t xml:space="preserve"> +49 1</w:t>
            </w:r>
            <w:r w:rsidR="00FB5C1F" w:rsidRPr="00C66297">
              <w:rPr>
                <w:lang w:val="en-US"/>
              </w:rPr>
              <w:t xml:space="preserve">52 </w:t>
            </w:r>
            <w:r w:rsidR="00ED14CA" w:rsidRPr="00C66297">
              <w:rPr>
                <w:lang w:val="en-US"/>
              </w:rPr>
              <w:t>5638 6040</w:t>
            </w:r>
            <w:r w:rsidR="000B1B97" w:rsidRPr="00C66297">
              <w:rPr>
                <w:lang w:val="en-US"/>
              </w:rPr>
              <w:t xml:space="preserve"> </w:t>
            </w:r>
          </w:p>
          <w:p w14:paraId="641C29C4" w14:textId="56002A13" w:rsidR="000B1B97" w:rsidRDefault="00000000" w:rsidP="000B1B97">
            <w:pPr>
              <w:pStyle w:val="M10"/>
              <w:framePr w:wrap="auto" w:vAnchor="margin" w:hAnchor="text" w:xAlign="left" w:yAlign="inline"/>
              <w:suppressOverlap w:val="0"/>
            </w:pPr>
            <w:hyperlink r:id="rId11" w:history="1">
              <w:r w:rsidR="00212D4A" w:rsidRPr="00F10E02">
                <w:rPr>
                  <w:rStyle w:val="Hyperlink"/>
                </w:rPr>
                <w:t>Joerg2.Wagner@evonik.com</w:t>
              </w:r>
            </w:hyperlink>
          </w:p>
          <w:p w14:paraId="545AAD39" w14:textId="77777777" w:rsidR="00212D4A" w:rsidRDefault="00212D4A" w:rsidP="000B1B97">
            <w:pPr>
              <w:pStyle w:val="M10"/>
              <w:framePr w:wrap="auto" w:vAnchor="margin" w:hAnchor="text" w:xAlign="left" w:yAlign="inline"/>
              <w:suppressOverlap w:val="0"/>
            </w:pPr>
          </w:p>
          <w:p w14:paraId="5A557553" w14:textId="77777777" w:rsidR="000B1B97" w:rsidRDefault="000B1B97" w:rsidP="000B1B97">
            <w:pPr>
              <w:pStyle w:val="M10"/>
              <w:framePr w:wrap="auto" w:vAnchor="margin" w:hAnchor="text" w:xAlign="left" w:yAlign="inline"/>
              <w:suppressOverlap w:val="0"/>
            </w:pPr>
          </w:p>
          <w:p w14:paraId="1B82E7EB" w14:textId="3D85587F" w:rsidR="00212D4A" w:rsidRPr="00AF071B" w:rsidRDefault="00212D4A" w:rsidP="00212D4A">
            <w:pPr>
              <w:pStyle w:val="M8"/>
              <w:framePr w:wrap="auto" w:vAnchor="margin" w:hAnchor="text" w:xAlign="left" w:yAlign="inline"/>
              <w:suppressOverlap w:val="0"/>
              <w:rPr>
                <w:b/>
                <w:lang w:val="en-US"/>
              </w:rPr>
            </w:pPr>
            <w:r w:rsidRPr="00AF071B">
              <w:rPr>
                <w:b/>
                <w:lang w:val="en-US"/>
              </w:rPr>
              <w:t>Richard Wei</w:t>
            </w:r>
            <w:r w:rsidR="00AF071B" w:rsidRPr="00AF071B">
              <w:rPr>
                <w:b/>
                <w:lang w:val="en-US"/>
              </w:rPr>
              <w:t>ss</w:t>
            </w:r>
          </w:p>
          <w:p w14:paraId="65AA1920" w14:textId="77777777" w:rsidR="00AF071B" w:rsidRPr="00AF071B" w:rsidRDefault="00AF071B" w:rsidP="00212D4A">
            <w:pPr>
              <w:pStyle w:val="M9"/>
              <w:framePr w:wrap="auto" w:vAnchor="margin" w:hAnchor="text" w:xAlign="left" w:yAlign="inline"/>
              <w:suppressOverlap w:val="0"/>
              <w:rPr>
                <w:lang w:val="en-US"/>
              </w:rPr>
            </w:pPr>
            <w:r w:rsidRPr="00AF071B">
              <w:rPr>
                <w:b/>
                <w:lang w:val="en-US"/>
              </w:rPr>
              <w:t>External C</w:t>
            </w:r>
            <w:r>
              <w:rPr>
                <w:b/>
                <w:lang w:val="en-US"/>
              </w:rPr>
              <w:t>ommunications</w:t>
            </w:r>
            <w:r w:rsidRPr="00AF071B">
              <w:rPr>
                <w:lang w:val="en-US"/>
              </w:rPr>
              <w:t xml:space="preserve"> </w:t>
            </w:r>
          </w:p>
          <w:p w14:paraId="2F111E1A" w14:textId="587819B6" w:rsidR="00212D4A" w:rsidRPr="00AF071B" w:rsidRDefault="00940BB9" w:rsidP="00212D4A">
            <w:pPr>
              <w:pStyle w:val="M9"/>
              <w:framePr w:wrap="auto" w:vAnchor="margin" w:hAnchor="text" w:xAlign="left" w:yAlign="inline"/>
              <w:suppressOverlap w:val="0"/>
              <w:rPr>
                <w:lang w:val="en-US"/>
              </w:rPr>
            </w:pPr>
            <w:r>
              <w:rPr>
                <w:lang w:val="en-US"/>
              </w:rPr>
              <w:t>P</w:t>
            </w:r>
            <w:r w:rsidR="00A96F0A" w:rsidRPr="00AF071B">
              <w:rPr>
                <w:lang w:val="en-US"/>
              </w:rPr>
              <w:t>hone</w:t>
            </w:r>
            <w:r w:rsidR="00212D4A" w:rsidRPr="00AF071B">
              <w:rPr>
                <w:lang w:val="en-US"/>
              </w:rPr>
              <w:t xml:space="preserve"> +49 201 177</w:t>
            </w:r>
            <w:r>
              <w:rPr>
                <w:lang w:val="en-US"/>
              </w:rPr>
              <w:t xml:space="preserve"> </w:t>
            </w:r>
            <w:r w:rsidR="00212D4A" w:rsidRPr="00AF071B">
              <w:rPr>
                <w:lang w:val="en-US"/>
              </w:rPr>
              <w:t>2532</w:t>
            </w:r>
          </w:p>
          <w:p w14:paraId="3EBC90D4" w14:textId="4F293433" w:rsidR="00212D4A" w:rsidRPr="0005492A" w:rsidRDefault="00212D4A" w:rsidP="00212D4A">
            <w:pPr>
              <w:pStyle w:val="M9"/>
              <w:framePr w:wrap="auto" w:vAnchor="margin" w:hAnchor="text" w:xAlign="left" w:yAlign="inline"/>
              <w:suppressOverlap w:val="0"/>
              <w:rPr>
                <w:lang w:val="en-US"/>
              </w:rPr>
            </w:pPr>
            <w:r w:rsidRPr="0005492A">
              <w:rPr>
                <w:lang w:val="en-US"/>
              </w:rPr>
              <w:t>Mobil</w:t>
            </w:r>
            <w:r w:rsidR="00AF071B" w:rsidRPr="0005492A">
              <w:rPr>
                <w:lang w:val="en-US"/>
              </w:rPr>
              <w:t>e</w:t>
            </w:r>
            <w:r w:rsidRPr="0005492A">
              <w:rPr>
                <w:lang w:val="en-US"/>
              </w:rPr>
              <w:t xml:space="preserve"> +49 174 233 8658</w:t>
            </w:r>
          </w:p>
          <w:p w14:paraId="630CF67F" w14:textId="77777777" w:rsidR="00212D4A" w:rsidRDefault="00212D4A" w:rsidP="00212D4A">
            <w:pPr>
              <w:pStyle w:val="M10"/>
              <w:framePr w:wrap="auto" w:vAnchor="margin" w:hAnchor="text" w:xAlign="left" w:yAlign="inline"/>
              <w:suppressOverlap w:val="0"/>
            </w:pPr>
            <w:r>
              <w:t>Richard.Weiss@evonik.com</w:t>
            </w:r>
          </w:p>
          <w:p w14:paraId="277B32CD" w14:textId="75A1C6D3" w:rsidR="00212D4A" w:rsidRDefault="00212D4A" w:rsidP="000B1B97">
            <w:pPr>
              <w:pStyle w:val="M10"/>
              <w:framePr w:wrap="auto" w:vAnchor="margin" w:hAnchor="text" w:xAlign="left" w:yAlign="inline"/>
              <w:suppressOverlap w:val="0"/>
            </w:pPr>
          </w:p>
        </w:tc>
      </w:tr>
      <w:tr w:rsidR="000B1B97" w:rsidRPr="00212D11" w14:paraId="5FD74BE3" w14:textId="77777777" w:rsidTr="002159BA">
        <w:trPr>
          <w:trHeight w:val="851"/>
        </w:trPr>
        <w:tc>
          <w:tcPr>
            <w:tcW w:w="2552" w:type="dxa"/>
            <w:shd w:val="clear" w:color="auto" w:fill="auto"/>
          </w:tcPr>
          <w:p w14:paraId="2E12D63A" w14:textId="77777777" w:rsidR="000B1B97" w:rsidRPr="0005492A" w:rsidRDefault="000B1B97" w:rsidP="000B1B97">
            <w:pPr>
              <w:pStyle w:val="M1"/>
              <w:framePr w:wrap="auto" w:vAnchor="margin" w:hAnchor="text" w:xAlign="left" w:yAlign="inline"/>
              <w:suppressOverlap w:val="0"/>
              <w:rPr>
                <w:lang w:val="en-US"/>
              </w:rPr>
            </w:pPr>
          </w:p>
          <w:p w14:paraId="23B131FC" w14:textId="77777777" w:rsidR="000B1B97" w:rsidRDefault="000B1B97" w:rsidP="00110640">
            <w:pPr>
              <w:pStyle w:val="M10"/>
              <w:framePr w:wrap="auto" w:vAnchor="margin" w:hAnchor="text" w:xAlign="left" w:yAlign="inline"/>
              <w:suppressOverlap w:val="0"/>
            </w:pPr>
          </w:p>
        </w:tc>
      </w:tr>
    </w:tbl>
    <w:p w14:paraId="0B3063B4" w14:textId="77777777" w:rsidR="003F5509" w:rsidRDefault="003F5509" w:rsidP="009577A8">
      <w:pPr>
        <w:framePr w:w="2821" w:wrap="around" w:vAnchor="page" w:hAnchor="page" w:x="8821" w:y="12433" w:anchorLock="1"/>
        <w:spacing w:line="180" w:lineRule="exact"/>
        <w:rPr>
          <w:noProof/>
          <w:sz w:val="13"/>
          <w:szCs w:val="13"/>
        </w:rPr>
      </w:pPr>
      <w:r w:rsidRPr="25CB468E">
        <w:rPr>
          <w:b/>
          <w:bCs/>
          <w:noProof/>
          <w:sz w:val="13"/>
          <w:szCs w:val="13"/>
        </w:rPr>
        <w:t xml:space="preserve">Evonik Industries </w:t>
      </w:r>
      <w:bookmarkStart w:id="0" w:name="_Int_rScIVAae"/>
      <w:r w:rsidRPr="25CB468E">
        <w:rPr>
          <w:noProof/>
          <w:sz w:val="13"/>
          <w:szCs w:val="13"/>
        </w:rPr>
        <w:t>AG</w:t>
      </w:r>
      <w:bookmarkEnd w:id="0"/>
      <w:r w:rsidRPr="25CB468E">
        <w:rPr>
          <w:noProof/>
          <w:sz w:val="13"/>
          <w:szCs w:val="13"/>
        </w:rPr>
        <w:t xml:space="preserve"> </w:t>
      </w:r>
    </w:p>
    <w:p w14:paraId="3C53C063" w14:textId="77777777" w:rsidR="003F5509" w:rsidRPr="00212D11" w:rsidRDefault="003F5509" w:rsidP="009577A8">
      <w:pPr>
        <w:framePr w:w="2821" w:wrap="around" w:vAnchor="page" w:hAnchor="page" w:x="8821" w:y="12433" w:anchorLock="1"/>
        <w:spacing w:line="180" w:lineRule="exact"/>
        <w:rPr>
          <w:noProof/>
          <w:sz w:val="13"/>
          <w:szCs w:val="13"/>
        </w:rPr>
      </w:pPr>
      <w:r w:rsidRPr="00212D11">
        <w:rPr>
          <w:noProof/>
          <w:sz w:val="13"/>
          <w:szCs w:val="13"/>
        </w:rPr>
        <w:t xml:space="preserve">Rellinghauser Straße 1-11 </w:t>
      </w:r>
    </w:p>
    <w:p w14:paraId="0527E02B"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45128 Essen </w:t>
      </w:r>
    </w:p>
    <w:p w14:paraId="644BEC19"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Germany </w:t>
      </w:r>
    </w:p>
    <w:p w14:paraId="4AF84CDE"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Phone +49 201 177-01 </w:t>
      </w:r>
    </w:p>
    <w:p w14:paraId="3441A0A3"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Fax +49 201 177-3475 </w:t>
      </w:r>
    </w:p>
    <w:p w14:paraId="56A2C59B" w14:textId="1382D32E" w:rsidR="003F5509" w:rsidRDefault="00000000" w:rsidP="009577A8">
      <w:pPr>
        <w:framePr w:w="2821" w:wrap="around" w:vAnchor="page" w:hAnchor="page" w:x="8821" w:y="12433" w:anchorLock="1"/>
        <w:spacing w:line="180" w:lineRule="exact"/>
        <w:rPr>
          <w:noProof/>
          <w:sz w:val="13"/>
          <w:szCs w:val="13"/>
          <w:lang w:val="en-US"/>
        </w:rPr>
      </w:pPr>
      <w:hyperlink r:id="rId12" w:history="1">
        <w:r w:rsidR="003F5509" w:rsidRPr="0083029C">
          <w:rPr>
            <w:rStyle w:val="Hyperlink"/>
            <w:noProof/>
            <w:sz w:val="13"/>
            <w:szCs w:val="13"/>
            <w:lang w:val="en-US"/>
          </w:rPr>
          <w:t>www.evonik.com</w:t>
        </w:r>
      </w:hyperlink>
      <w:r w:rsidR="003F5509" w:rsidRPr="003F5509">
        <w:rPr>
          <w:noProof/>
          <w:sz w:val="13"/>
          <w:szCs w:val="13"/>
          <w:lang w:val="en-US"/>
        </w:rPr>
        <w:t xml:space="preserve"> </w:t>
      </w:r>
    </w:p>
    <w:p w14:paraId="1233C486" w14:textId="77777777" w:rsidR="003F5509" w:rsidRDefault="003F5509" w:rsidP="009577A8">
      <w:pPr>
        <w:framePr w:w="2821" w:wrap="around" w:vAnchor="page" w:hAnchor="page" w:x="8821" w:y="12433" w:anchorLock="1"/>
        <w:spacing w:line="180" w:lineRule="exact"/>
        <w:rPr>
          <w:noProof/>
          <w:sz w:val="13"/>
          <w:szCs w:val="13"/>
          <w:lang w:val="en-US"/>
        </w:rPr>
      </w:pPr>
    </w:p>
    <w:p w14:paraId="12CD9327"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Supervisory Board </w:t>
      </w:r>
    </w:p>
    <w:p w14:paraId="116EF57A" w14:textId="77777777" w:rsidR="005F52C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Bernd Tönjes, Chairman </w:t>
      </w:r>
    </w:p>
    <w:p w14:paraId="73A85B8C" w14:textId="77777777" w:rsidR="005F52C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Executive Board </w:t>
      </w:r>
    </w:p>
    <w:p w14:paraId="613CEFCC" w14:textId="68CBF5FA" w:rsidR="00D8641B"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Christian Kullmann, Chairman </w:t>
      </w:r>
    </w:p>
    <w:p w14:paraId="6A255693" w14:textId="22BC2ED9"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Dr. Harald Schwager, Deputy Chairman </w:t>
      </w:r>
      <w:r w:rsidR="00615194">
        <w:rPr>
          <w:noProof/>
          <w:sz w:val="13"/>
          <w:szCs w:val="13"/>
          <w:lang w:val="en-US"/>
        </w:rPr>
        <w:t xml:space="preserve">Maike Schuh, </w:t>
      </w:r>
      <w:r w:rsidRPr="003F5509">
        <w:rPr>
          <w:noProof/>
          <w:sz w:val="13"/>
          <w:szCs w:val="13"/>
          <w:lang w:val="en-US"/>
        </w:rPr>
        <w:t xml:space="preserve">Thomas Wessel </w:t>
      </w:r>
    </w:p>
    <w:p w14:paraId="372CD13B" w14:textId="77777777" w:rsidR="003F5509" w:rsidRDefault="003F5509" w:rsidP="009577A8">
      <w:pPr>
        <w:framePr w:w="2821" w:wrap="around" w:vAnchor="page" w:hAnchor="page" w:x="8821" w:y="12433" w:anchorLock="1"/>
        <w:spacing w:line="180" w:lineRule="exact"/>
        <w:rPr>
          <w:noProof/>
          <w:sz w:val="13"/>
          <w:szCs w:val="13"/>
          <w:lang w:val="en-US"/>
        </w:rPr>
      </w:pPr>
    </w:p>
    <w:p w14:paraId="7E351DB5"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Registered Office is Essen </w:t>
      </w:r>
    </w:p>
    <w:p w14:paraId="217A694D" w14:textId="56C19E2A" w:rsidR="003F5509" w:rsidRP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Register Court Essen Local Court Commercial Registry B 19474</w:t>
      </w:r>
    </w:p>
    <w:p w14:paraId="714BDA13" w14:textId="77777777" w:rsidR="00DC3B81" w:rsidRDefault="00DC3B81" w:rsidP="00FA7F8A">
      <w:pPr>
        <w:pStyle w:val="Ttulo"/>
        <w:rPr>
          <w:b w:val="0"/>
          <w:sz w:val="20"/>
          <w:szCs w:val="20"/>
          <w:u w:val="single"/>
          <w:lang w:val="en-US"/>
        </w:rPr>
      </w:pPr>
    </w:p>
    <w:p w14:paraId="3B2FFF3D" w14:textId="3035B2C6" w:rsidR="00FA7F8A" w:rsidRDefault="00FA7F8A" w:rsidP="00FA7F8A">
      <w:pPr>
        <w:pStyle w:val="Ttulo"/>
        <w:rPr>
          <w:b w:val="0"/>
          <w:sz w:val="20"/>
          <w:szCs w:val="20"/>
          <w:u w:val="single"/>
          <w:lang w:val="en-US"/>
        </w:rPr>
      </w:pPr>
      <w:r w:rsidRPr="004C6AC3">
        <w:rPr>
          <w:b w:val="0"/>
          <w:sz w:val="20"/>
          <w:szCs w:val="20"/>
          <w:u w:val="single"/>
          <w:lang w:val="en-US"/>
        </w:rPr>
        <w:t xml:space="preserve">Financial Data: </w:t>
      </w:r>
      <w:r w:rsidR="00C228BA">
        <w:rPr>
          <w:b w:val="0"/>
          <w:sz w:val="20"/>
          <w:szCs w:val="20"/>
          <w:u w:val="single"/>
          <w:lang w:val="en-US"/>
        </w:rPr>
        <w:t>October</w:t>
      </w:r>
      <w:r w:rsidRPr="004C6AC3">
        <w:rPr>
          <w:b w:val="0"/>
          <w:sz w:val="20"/>
          <w:szCs w:val="20"/>
          <w:u w:val="single"/>
          <w:lang w:val="en-US"/>
        </w:rPr>
        <w:t xml:space="preserve"> 1 to </w:t>
      </w:r>
      <w:r w:rsidR="00C228BA">
        <w:rPr>
          <w:b w:val="0"/>
          <w:sz w:val="20"/>
          <w:szCs w:val="20"/>
          <w:u w:val="single"/>
          <w:lang w:val="en-US"/>
        </w:rPr>
        <w:t>December</w:t>
      </w:r>
      <w:r w:rsidRPr="004C6AC3">
        <w:rPr>
          <w:b w:val="0"/>
          <w:sz w:val="20"/>
          <w:szCs w:val="20"/>
          <w:u w:val="single"/>
          <w:lang w:val="en-US"/>
        </w:rPr>
        <w:t xml:space="preserve"> 3</w:t>
      </w:r>
      <w:r w:rsidR="00C228BA">
        <w:rPr>
          <w:b w:val="0"/>
          <w:sz w:val="20"/>
          <w:szCs w:val="20"/>
          <w:u w:val="single"/>
          <w:lang w:val="en-US"/>
        </w:rPr>
        <w:t>1</w:t>
      </w:r>
      <w:r w:rsidR="00882800">
        <w:rPr>
          <w:b w:val="0"/>
          <w:sz w:val="20"/>
          <w:szCs w:val="20"/>
          <w:u w:val="single"/>
          <w:lang w:val="en-US"/>
        </w:rPr>
        <w:t xml:space="preserve"> and full year</w:t>
      </w:r>
      <w:r w:rsidRPr="004C6AC3">
        <w:rPr>
          <w:b w:val="0"/>
          <w:sz w:val="20"/>
          <w:szCs w:val="20"/>
          <w:u w:val="single"/>
          <w:lang w:val="en-US"/>
        </w:rPr>
        <w:t xml:space="preserve"> 202</w:t>
      </w:r>
      <w:r w:rsidR="00811FAB">
        <w:rPr>
          <w:b w:val="0"/>
          <w:sz w:val="20"/>
          <w:szCs w:val="20"/>
          <w:u w:val="single"/>
          <w:lang w:val="en-US"/>
        </w:rPr>
        <w:t>3</w:t>
      </w:r>
    </w:p>
    <w:p w14:paraId="021CB6CD" w14:textId="77777777" w:rsidR="00FA7F8A" w:rsidRPr="004C6AC3" w:rsidRDefault="00FA7F8A" w:rsidP="00FA7F8A">
      <w:pPr>
        <w:pStyle w:val="Ttulo"/>
        <w:rPr>
          <w:b w:val="0"/>
          <w:sz w:val="20"/>
          <w:szCs w:val="20"/>
          <w:u w:val="single"/>
          <w:lang w:val="en-US"/>
        </w:rPr>
      </w:pPr>
    </w:p>
    <w:p w14:paraId="135F6E91" w14:textId="23B92D46" w:rsidR="00A91B7D" w:rsidRDefault="008108AA" w:rsidP="0006177F">
      <w:pPr>
        <w:pStyle w:val="Ttulo"/>
        <w:rPr>
          <w:lang w:val="en-US"/>
        </w:rPr>
      </w:pPr>
      <w:r w:rsidRPr="25CB468E">
        <w:rPr>
          <w:lang w:val="en-US"/>
        </w:rPr>
        <w:t xml:space="preserve">Evonik meets </w:t>
      </w:r>
      <w:r w:rsidR="00D90AF8" w:rsidRPr="25CB468E">
        <w:rPr>
          <w:lang w:val="en-US"/>
        </w:rPr>
        <w:t xml:space="preserve">2023 </w:t>
      </w:r>
      <w:r w:rsidRPr="25CB468E">
        <w:rPr>
          <w:lang w:val="en-US"/>
        </w:rPr>
        <w:t>f</w:t>
      </w:r>
      <w:r w:rsidR="00F147A1" w:rsidRPr="25CB468E">
        <w:rPr>
          <w:lang w:val="en-US"/>
        </w:rPr>
        <w:t xml:space="preserve">orecast, </w:t>
      </w:r>
      <w:r w:rsidRPr="25CB468E">
        <w:rPr>
          <w:lang w:val="en-US"/>
        </w:rPr>
        <w:t xml:space="preserve">expects </w:t>
      </w:r>
      <w:r w:rsidR="00F147A1" w:rsidRPr="25CB468E">
        <w:rPr>
          <w:lang w:val="en-US"/>
        </w:rPr>
        <w:t xml:space="preserve">higher profit </w:t>
      </w:r>
      <w:r w:rsidRPr="25CB468E">
        <w:rPr>
          <w:lang w:val="en-US"/>
        </w:rPr>
        <w:t>in</w:t>
      </w:r>
      <w:r w:rsidR="00F147A1" w:rsidRPr="25CB468E">
        <w:rPr>
          <w:lang w:val="en-US"/>
        </w:rPr>
        <w:t xml:space="preserve"> </w:t>
      </w:r>
      <w:bookmarkStart w:id="1" w:name="_Int_q3zN2eWu"/>
      <w:r w:rsidR="00F147A1" w:rsidRPr="25CB468E">
        <w:rPr>
          <w:lang w:val="en-US"/>
        </w:rPr>
        <w:t>2024</w:t>
      </w:r>
      <w:bookmarkEnd w:id="1"/>
    </w:p>
    <w:p w14:paraId="26186172" w14:textId="77777777" w:rsidR="00317620" w:rsidRPr="009C06F8" w:rsidRDefault="00317620" w:rsidP="0006177F">
      <w:pPr>
        <w:pStyle w:val="Ttulo"/>
        <w:rPr>
          <w:lang w:val="en-US"/>
        </w:rPr>
      </w:pPr>
    </w:p>
    <w:p w14:paraId="5F4B69E5" w14:textId="5E35EE11" w:rsidR="00DB077F" w:rsidRDefault="002C0460" w:rsidP="25CB468E">
      <w:pPr>
        <w:numPr>
          <w:ilvl w:val="0"/>
          <w:numId w:val="32"/>
        </w:numPr>
        <w:tabs>
          <w:tab w:val="clear" w:pos="1425"/>
          <w:tab w:val="num" w:pos="340"/>
        </w:tabs>
        <w:ind w:left="340" w:right="85" w:hanging="340"/>
        <w:rPr>
          <w:rFonts w:cs="Lucida Sans Unicode"/>
          <w:sz w:val="24"/>
          <w:lang w:val="en-US"/>
        </w:rPr>
      </w:pPr>
      <w:r w:rsidRPr="25CB468E">
        <w:rPr>
          <w:rFonts w:cs="Lucida Sans Unicode"/>
          <w:sz w:val="24"/>
          <w:lang w:val="en-US"/>
        </w:rPr>
        <w:t>2023 a</w:t>
      </w:r>
      <w:r w:rsidR="00DB077F" w:rsidRPr="25CB468E">
        <w:rPr>
          <w:rFonts w:cs="Lucida Sans Unicode"/>
          <w:sz w:val="24"/>
          <w:lang w:val="en-US"/>
        </w:rPr>
        <w:t xml:space="preserve">djusted </w:t>
      </w:r>
      <w:bookmarkStart w:id="2" w:name="_Int_QOJLMmQ5"/>
      <w:r w:rsidR="00DB077F" w:rsidRPr="25CB468E">
        <w:rPr>
          <w:rFonts w:cs="Lucida Sans Unicode"/>
          <w:sz w:val="24"/>
          <w:lang w:val="en-US"/>
        </w:rPr>
        <w:t>EBITDA</w:t>
      </w:r>
      <w:bookmarkEnd w:id="2"/>
      <w:r w:rsidR="00DB077F" w:rsidRPr="25CB468E">
        <w:rPr>
          <w:rFonts w:cs="Lucida Sans Unicode"/>
          <w:sz w:val="24"/>
          <w:lang w:val="en-US"/>
        </w:rPr>
        <w:t xml:space="preserve"> </w:t>
      </w:r>
      <w:r w:rsidR="00F13042" w:rsidRPr="25CB468E">
        <w:rPr>
          <w:rFonts w:cs="Lucida Sans Unicode"/>
          <w:sz w:val="24"/>
          <w:lang w:val="en-US"/>
        </w:rPr>
        <w:t xml:space="preserve">of </w:t>
      </w:r>
      <w:r w:rsidR="00DB077F" w:rsidRPr="25CB468E">
        <w:rPr>
          <w:rFonts w:cs="Lucida Sans Unicode"/>
          <w:sz w:val="24"/>
          <w:lang w:val="en-US"/>
        </w:rPr>
        <w:t>€1.66 billion,</w:t>
      </w:r>
      <w:r w:rsidRPr="25CB468E">
        <w:rPr>
          <w:rFonts w:cs="Lucida Sans Unicode"/>
          <w:sz w:val="24"/>
          <w:lang w:val="en-US"/>
        </w:rPr>
        <w:t xml:space="preserve"> sales </w:t>
      </w:r>
      <w:r w:rsidR="00AE17D3" w:rsidRPr="25CB468E">
        <w:rPr>
          <w:rFonts w:cs="Lucida Sans Unicode"/>
          <w:sz w:val="24"/>
          <w:lang w:val="en-US"/>
        </w:rPr>
        <w:t>of</w:t>
      </w:r>
      <w:r w:rsidR="00F13042" w:rsidRPr="25CB468E">
        <w:rPr>
          <w:rFonts w:cs="Lucida Sans Unicode"/>
          <w:sz w:val="24"/>
          <w:lang w:val="en-US"/>
        </w:rPr>
        <w:t xml:space="preserve"> </w:t>
      </w:r>
      <w:r w:rsidRPr="25CB468E">
        <w:rPr>
          <w:rFonts w:cs="Lucida Sans Unicode"/>
          <w:sz w:val="24"/>
          <w:lang w:val="en-US"/>
        </w:rPr>
        <w:t xml:space="preserve">€15.3 </w:t>
      </w:r>
      <w:bookmarkStart w:id="3" w:name="_Int_p1MT1cay"/>
      <w:r w:rsidRPr="25CB468E">
        <w:rPr>
          <w:rFonts w:cs="Lucida Sans Unicode"/>
          <w:sz w:val="24"/>
          <w:lang w:val="en-US"/>
        </w:rPr>
        <w:t>billion</w:t>
      </w:r>
      <w:bookmarkEnd w:id="3"/>
    </w:p>
    <w:p w14:paraId="5E191B88" w14:textId="2A09CE87" w:rsidR="00924C80" w:rsidRDefault="008E374A" w:rsidP="00033D36">
      <w:pPr>
        <w:numPr>
          <w:ilvl w:val="0"/>
          <w:numId w:val="32"/>
        </w:numPr>
        <w:tabs>
          <w:tab w:val="clear" w:pos="1425"/>
          <w:tab w:val="num" w:pos="340"/>
        </w:tabs>
        <w:ind w:left="340" w:right="85" w:hanging="340"/>
        <w:rPr>
          <w:b/>
          <w:bCs/>
          <w:lang w:val="en-US"/>
        </w:rPr>
      </w:pPr>
      <w:r w:rsidRPr="008E374A">
        <w:rPr>
          <w:rFonts w:cs="Lucida Sans Unicode"/>
          <w:sz w:val="24"/>
          <w:lang w:val="en-US"/>
        </w:rPr>
        <w:t xml:space="preserve">Outlook 2024: Adjusted EBITDA between </w:t>
      </w:r>
      <w:r w:rsidRPr="00C64B6A">
        <w:rPr>
          <w:rFonts w:cs="Lucida Sans Unicode"/>
          <w:sz w:val="24"/>
          <w:lang w:val="en-US"/>
        </w:rPr>
        <w:t>€</w:t>
      </w:r>
      <w:r w:rsidRPr="008E374A">
        <w:rPr>
          <w:rFonts w:cs="Lucida Sans Unicode"/>
          <w:sz w:val="24"/>
          <w:lang w:val="en-US"/>
        </w:rPr>
        <w:t xml:space="preserve">1.7 </w:t>
      </w:r>
      <w:r w:rsidR="00143755">
        <w:rPr>
          <w:rFonts w:cs="Lucida Sans Unicode"/>
          <w:sz w:val="24"/>
          <w:lang w:val="en-US"/>
        </w:rPr>
        <w:t xml:space="preserve">billion </w:t>
      </w:r>
      <w:r w:rsidRPr="008E374A">
        <w:rPr>
          <w:rFonts w:cs="Lucida Sans Unicode"/>
          <w:sz w:val="24"/>
          <w:lang w:val="en-US"/>
        </w:rPr>
        <w:t>and €2.0 billion</w:t>
      </w:r>
    </w:p>
    <w:p w14:paraId="2354EF5D" w14:textId="22A251C4" w:rsidR="00DB077F" w:rsidRPr="00924C80" w:rsidRDefault="00924C80" w:rsidP="00033D36">
      <w:pPr>
        <w:numPr>
          <w:ilvl w:val="0"/>
          <w:numId w:val="32"/>
        </w:numPr>
        <w:tabs>
          <w:tab w:val="clear" w:pos="1425"/>
          <w:tab w:val="num" w:pos="340"/>
        </w:tabs>
        <w:ind w:left="340" w:right="85" w:hanging="340"/>
        <w:rPr>
          <w:b/>
          <w:bCs/>
          <w:lang w:val="en-US"/>
        </w:rPr>
      </w:pPr>
      <w:r w:rsidRPr="25CB468E">
        <w:rPr>
          <w:rFonts w:cs="Lucida Sans Unicode"/>
          <w:sz w:val="24"/>
          <w:lang w:val="en-US"/>
        </w:rPr>
        <w:t>Target structure for "</w:t>
      </w:r>
      <w:r w:rsidR="00175ECC" w:rsidRPr="25CB468E">
        <w:rPr>
          <w:rFonts w:cs="Lucida Sans Unicode"/>
          <w:sz w:val="24"/>
          <w:lang w:val="en-US"/>
        </w:rPr>
        <w:t>Evonik</w:t>
      </w:r>
      <w:r w:rsidRPr="25CB468E">
        <w:rPr>
          <w:rFonts w:cs="Lucida Sans Unicode"/>
          <w:sz w:val="24"/>
          <w:lang w:val="en-US"/>
        </w:rPr>
        <w:t xml:space="preserve"> Tailor Made" program in place: Fewer management levels, faster </w:t>
      </w:r>
      <w:bookmarkStart w:id="4" w:name="_Int_oBVwZTAc"/>
      <w:r w:rsidRPr="25CB468E">
        <w:rPr>
          <w:rFonts w:cs="Lucida Sans Unicode"/>
          <w:sz w:val="24"/>
          <w:lang w:val="en-US"/>
        </w:rPr>
        <w:t>decisions</w:t>
      </w:r>
      <w:bookmarkEnd w:id="4"/>
    </w:p>
    <w:p w14:paraId="429955E9" w14:textId="77777777" w:rsidR="00924C80" w:rsidRPr="00924C80" w:rsidRDefault="00924C80" w:rsidP="00924C80">
      <w:pPr>
        <w:ind w:left="340" w:right="85"/>
        <w:rPr>
          <w:b/>
          <w:bCs/>
          <w:lang w:val="en-US"/>
        </w:rPr>
      </w:pPr>
    </w:p>
    <w:p w14:paraId="3A41AB61" w14:textId="089E589C" w:rsidR="000428D0" w:rsidRPr="000428D0" w:rsidRDefault="00F431F9" w:rsidP="000428D0">
      <w:pPr>
        <w:rPr>
          <w:lang w:val="en-US"/>
        </w:rPr>
      </w:pPr>
      <w:r w:rsidRPr="0043547E">
        <w:rPr>
          <w:b/>
          <w:bCs/>
          <w:lang w:val="en-US"/>
        </w:rPr>
        <w:t>Essen</w:t>
      </w:r>
      <w:r w:rsidR="002204B4" w:rsidRPr="0043547E">
        <w:rPr>
          <w:b/>
          <w:bCs/>
          <w:lang w:val="en-US"/>
        </w:rPr>
        <w:t>, Germany</w:t>
      </w:r>
      <w:r w:rsidRPr="0043547E">
        <w:rPr>
          <w:lang w:val="en-US"/>
        </w:rPr>
        <w:t xml:space="preserve">. </w:t>
      </w:r>
      <w:bookmarkStart w:id="5" w:name="SNWID_6c28a25f61a34939b81e1e62de012fa8"/>
      <w:r w:rsidR="000428D0" w:rsidRPr="000428D0">
        <w:rPr>
          <w:lang w:val="en-US"/>
        </w:rPr>
        <w:t xml:space="preserve">Evonik met </w:t>
      </w:r>
      <w:r w:rsidR="00CC1C7C">
        <w:rPr>
          <w:lang w:val="en-US"/>
        </w:rPr>
        <w:t xml:space="preserve">the </w:t>
      </w:r>
      <w:r w:rsidR="00CC1C7C" w:rsidRPr="000428D0">
        <w:rPr>
          <w:lang w:val="en-US"/>
        </w:rPr>
        <w:t xml:space="preserve">2023 </w:t>
      </w:r>
      <w:r w:rsidR="000428D0" w:rsidRPr="000428D0">
        <w:rPr>
          <w:lang w:val="en-US"/>
        </w:rPr>
        <w:t xml:space="preserve">forecast </w:t>
      </w:r>
      <w:r w:rsidR="00CC1C7C">
        <w:rPr>
          <w:lang w:val="en-US"/>
        </w:rPr>
        <w:t xml:space="preserve">the company had reduced in the summer, </w:t>
      </w:r>
      <w:r w:rsidR="000428D0" w:rsidRPr="000428D0">
        <w:rPr>
          <w:lang w:val="en-US"/>
        </w:rPr>
        <w:t xml:space="preserve">despite a </w:t>
      </w:r>
      <w:r w:rsidR="00CC1C7C">
        <w:rPr>
          <w:lang w:val="en-US"/>
        </w:rPr>
        <w:t xml:space="preserve">continuously </w:t>
      </w:r>
      <w:r w:rsidR="00F0287A">
        <w:rPr>
          <w:lang w:val="en-US"/>
        </w:rPr>
        <w:t>challe</w:t>
      </w:r>
      <w:r w:rsidR="00E33C65">
        <w:rPr>
          <w:lang w:val="en-US"/>
        </w:rPr>
        <w:t>n</w:t>
      </w:r>
      <w:r w:rsidR="00F0287A">
        <w:rPr>
          <w:lang w:val="en-US"/>
        </w:rPr>
        <w:t>ging</w:t>
      </w:r>
      <w:r w:rsidR="00F0287A" w:rsidRPr="000428D0">
        <w:rPr>
          <w:lang w:val="en-US"/>
        </w:rPr>
        <w:t xml:space="preserve"> </w:t>
      </w:r>
      <w:r w:rsidR="000428D0" w:rsidRPr="000428D0">
        <w:rPr>
          <w:lang w:val="en-US"/>
        </w:rPr>
        <w:t xml:space="preserve">environment. The specialty chemicals company's adjusted EBITDA </w:t>
      </w:r>
      <w:r w:rsidR="000428D0" w:rsidRPr="00C64B6A">
        <w:rPr>
          <w:lang w:val="en-US"/>
        </w:rPr>
        <w:t>amounted</w:t>
      </w:r>
      <w:r w:rsidR="000428D0" w:rsidRPr="000428D0">
        <w:rPr>
          <w:lang w:val="en-US"/>
        </w:rPr>
        <w:t xml:space="preserve"> to €1.66 billion</w:t>
      </w:r>
      <w:r w:rsidR="008842B7">
        <w:rPr>
          <w:lang w:val="en-US"/>
        </w:rPr>
        <w:t xml:space="preserve">, </w:t>
      </w:r>
      <w:r w:rsidR="000428D0" w:rsidRPr="000428D0">
        <w:rPr>
          <w:lang w:val="en-US"/>
        </w:rPr>
        <w:t>within the targeted range of</w:t>
      </w:r>
      <w:r w:rsidR="008842B7">
        <w:rPr>
          <w:lang w:val="en-US"/>
        </w:rPr>
        <w:t xml:space="preserve"> between</w:t>
      </w:r>
      <w:r w:rsidR="000428D0" w:rsidRPr="000428D0">
        <w:rPr>
          <w:lang w:val="en-US"/>
        </w:rPr>
        <w:t xml:space="preserve"> €1.6 </w:t>
      </w:r>
      <w:r w:rsidR="00EF7D5A">
        <w:rPr>
          <w:lang w:val="en-US"/>
        </w:rPr>
        <w:t xml:space="preserve">billion </w:t>
      </w:r>
      <w:r w:rsidR="008842B7">
        <w:rPr>
          <w:lang w:val="en-US"/>
        </w:rPr>
        <w:t>and</w:t>
      </w:r>
      <w:r w:rsidR="000428D0" w:rsidRPr="000428D0">
        <w:rPr>
          <w:lang w:val="en-US"/>
        </w:rPr>
        <w:t xml:space="preserve"> €1.8 billion. Group sales fell by 17</w:t>
      </w:r>
      <w:r w:rsidR="0022144D">
        <w:rPr>
          <w:lang w:val="en-US"/>
        </w:rPr>
        <w:t xml:space="preserve"> percent</w:t>
      </w:r>
      <w:r w:rsidR="000428D0" w:rsidRPr="000428D0">
        <w:rPr>
          <w:lang w:val="en-US"/>
        </w:rPr>
        <w:t xml:space="preserve"> to €15.3 billion</w:t>
      </w:r>
      <w:r w:rsidR="008842B7">
        <w:rPr>
          <w:lang w:val="en-US"/>
        </w:rPr>
        <w:t xml:space="preserve">, </w:t>
      </w:r>
      <w:r w:rsidR="000428D0" w:rsidRPr="000428D0">
        <w:rPr>
          <w:lang w:val="en-US"/>
        </w:rPr>
        <w:t xml:space="preserve">also within the targeted range of €14 </w:t>
      </w:r>
      <w:r w:rsidR="004F711E">
        <w:rPr>
          <w:lang w:val="en-US"/>
        </w:rPr>
        <w:t xml:space="preserve">billion </w:t>
      </w:r>
      <w:r w:rsidR="000428D0" w:rsidRPr="000428D0">
        <w:rPr>
          <w:lang w:val="en-US"/>
        </w:rPr>
        <w:t xml:space="preserve">to </w:t>
      </w:r>
      <w:r w:rsidR="008842B7">
        <w:rPr>
          <w:lang w:val="en-US"/>
        </w:rPr>
        <w:t>€</w:t>
      </w:r>
      <w:r w:rsidR="000428D0" w:rsidRPr="000428D0">
        <w:rPr>
          <w:lang w:val="en-US"/>
        </w:rPr>
        <w:t>16 billion.</w:t>
      </w:r>
    </w:p>
    <w:p w14:paraId="0458877A" w14:textId="77777777" w:rsidR="000428D0" w:rsidRPr="000428D0" w:rsidRDefault="000428D0" w:rsidP="000428D0">
      <w:pPr>
        <w:rPr>
          <w:lang w:val="en-US"/>
        </w:rPr>
      </w:pPr>
    </w:p>
    <w:p w14:paraId="0C153AB5" w14:textId="5993EF35" w:rsidR="000428D0" w:rsidRDefault="002C0EDD" w:rsidP="000428D0">
      <w:pPr>
        <w:rPr>
          <w:lang w:val="en-US"/>
        </w:rPr>
      </w:pPr>
      <w:r w:rsidRPr="002C0EDD">
        <w:rPr>
          <w:lang w:val="en-US"/>
        </w:rPr>
        <w:t xml:space="preserve">"The many crises around the world have put a damper on our results," says Christian Kullmann, Chairman of the Executive Board. "Overall, we got </w:t>
      </w:r>
      <w:r>
        <w:rPr>
          <w:lang w:val="en-US"/>
        </w:rPr>
        <w:t>away with a black eye</w:t>
      </w:r>
      <w:r w:rsidRPr="002C0EDD">
        <w:rPr>
          <w:lang w:val="en-US"/>
        </w:rPr>
        <w:t xml:space="preserve">. We owe this above all to the great efforts of all our employees. However, the general conditions will not get any easier, which is why we will continue our fundamental </w:t>
      </w:r>
      <w:r>
        <w:rPr>
          <w:lang w:val="en-US"/>
        </w:rPr>
        <w:t>revamp</w:t>
      </w:r>
      <w:r w:rsidRPr="002C0EDD">
        <w:rPr>
          <w:lang w:val="en-US"/>
        </w:rPr>
        <w:t xml:space="preserve"> of the Group."</w:t>
      </w:r>
    </w:p>
    <w:p w14:paraId="7A293AD6" w14:textId="77777777" w:rsidR="002C0EDD" w:rsidRPr="000428D0" w:rsidRDefault="002C0EDD" w:rsidP="000428D0">
      <w:pPr>
        <w:rPr>
          <w:lang w:val="en-US"/>
        </w:rPr>
      </w:pPr>
    </w:p>
    <w:p w14:paraId="2579F498" w14:textId="791C1598" w:rsidR="000428D0" w:rsidRPr="000428D0" w:rsidRDefault="000428D0" w:rsidP="000428D0">
      <w:pPr>
        <w:rPr>
          <w:lang w:val="en-US"/>
        </w:rPr>
      </w:pPr>
      <w:r w:rsidRPr="000428D0">
        <w:rPr>
          <w:lang w:val="en-US"/>
        </w:rPr>
        <w:t xml:space="preserve">The focus </w:t>
      </w:r>
      <w:r w:rsidR="00CC1C7C">
        <w:rPr>
          <w:lang w:val="en-US"/>
        </w:rPr>
        <w:t xml:space="preserve">on </w:t>
      </w:r>
      <w:r w:rsidRPr="000428D0">
        <w:rPr>
          <w:lang w:val="en-US"/>
        </w:rPr>
        <w:t xml:space="preserve">liquidity </w:t>
      </w:r>
      <w:r w:rsidR="00CC1C7C">
        <w:rPr>
          <w:lang w:val="en-US"/>
        </w:rPr>
        <w:t xml:space="preserve">management </w:t>
      </w:r>
      <w:r w:rsidRPr="000428D0">
        <w:rPr>
          <w:lang w:val="en-US"/>
        </w:rPr>
        <w:t xml:space="preserve">proved very successful. </w:t>
      </w:r>
      <w:r w:rsidR="00664394">
        <w:rPr>
          <w:lang w:val="en-US"/>
        </w:rPr>
        <w:t xml:space="preserve">Free </w:t>
      </w:r>
      <w:r w:rsidRPr="000428D0">
        <w:rPr>
          <w:lang w:val="en-US"/>
        </w:rPr>
        <w:t xml:space="preserve">cash flow </w:t>
      </w:r>
      <w:r w:rsidR="00664394">
        <w:rPr>
          <w:lang w:val="en-US"/>
        </w:rPr>
        <w:t xml:space="preserve">in 2023 </w:t>
      </w:r>
      <w:r w:rsidRPr="000428D0">
        <w:rPr>
          <w:lang w:val="en-US"/>
        </w:rPr>
        <w:t>amounted to €801 million</w:t>
      </w:r>
      <w:r w:rsidR="008015EC">
        <w:rPr>
          <w:lang w:val="en-US"/>
        </w:rPr>
        <w:t xml:space="preserve"> </w:t>
      </w:r>
      <w:r w:rsidR="008015EC">
        <w:rPr>
          <w:rFonts w:cs="Lucida Sans Unicode"/>
          <w:lang w:val="en-US"/>
        </w:rPr>
        <w:t>─</w:t>
      </w:r>
      <w:r w:rsidR="00664394">
        <w:rPr>
          <w:lang w:val="en-US"/>
        </w:rPr>
        <w:t xml:space="preserve"> </w:t>
      </w:r>
      <w:r w:rsidRPr="000428D0">
        <w:rPr>
          <w:lang w:val="en-US"/>
        </w:rPr>
        <w:t xml:space="preserve">even higher than </w:t>
      </w:r>
      <w:r w:rsidR="00664394">
        <w:rPr>
          <w:lang w:val="en-US"/>
        </w:rPr>
        <w:t xml:space="preserve">in </w:t>
      </w:r>
      <w:r w:rsidRPr="000428D0">
        <w:rPr>
          <w:lang w:val="en-US"/>
        </w:rPr>
        <w:t>the previous year</w:t>
      </w:r>
      <w:r w:rsidR="006572CF">
        <w:rPr>
          <w:lang w:val="en-US"/>
        </w:rPr>
        <w:t xml:space="preserve"> </w:t>
      </w:r>
      <w:r w:rsidR="006572CF">
        <w:rPr>
          <w:rFonts w:cs="Lucida Sans Unicode"/>
          <w:lang w:val="en-US"/>
        </w:rPr>
        <w:t>─</w:t>
      </w:r>
      <w:r w:rsidR="006572CF">
        <w:rPr>
          <w:lang w:val="en-US"/>
        </w:rPr>
        <w:t xml:space="preserve"> </w:t>
      </w:r>
      <w:r w:rsidRPr="000428D0">
        <w:rPr>
          <w:lang w:val="en-US"/>
        </w:rPr>
        <w:t xml:space="preserve">thanks to prudent management of net working capital and </w:t>
      </w:r>
      <w:r w:rsidR="00E45C32">
        <w:rPr>
          <w:lang w:val="en-US"/>
        </w:rPr>
        <w:t xml:space="preserve">strict </w:t>
      </w:r>
      <w:r w:rsidR="00DF7105">
        <w:rPr>
          <w:lang w:val="en-US"/>
        </w:rPr>
        <w:t>in</w:t>
      </w:r>
      <w:r w:rsidR="00E45C32">
        <w:rPr>
          <w:lang w:val="en-US"/>
        </w:rPr>
        <w:t xml:space="preserve">vestment </w:t>
      </w:r>
      <w:r w:rsidRPr="000428D0">
        <w:rPr>
          <w:lang w:val="en-US"/>
        </w:rPr>
        <w:t>discipline. The cash conversion rate, the ratio of free cash flow to adjusted EBITDA, reached a strong 48</w:t>
      </w:r>
      <w:r w:rsidR="009F0D84">
        <w:rPr>
          <w:lang w:val="en-US"/>
        </w:rPr>
        <w:t xml:space="preserve"> percent</w:t>
      </w:r>
      <w:r w:rsidRPr="000428D0">
        <w:rPr>
          <w:lang w:val="en-US"/>
        </w:rPr>
        <w:t xml:space="preserve">. In 2022, it </w:t>
      </w:r>
      <w:r w:rsidR="00261FB4">
        <w:rPr>
          <w:lang w:val="en-US"/>
        </w:rPr>
        <w:t>was</w:t>
      </w:r>
      <w:r w:rsidRPr="000428D0">
        <w:rPr>
          <w:lang w:val="en-US"/>
        </w:rPr>
        <w:t xml:space="preserve"> 32</w:t>
      </w:r>
      <w:r w:rsidR="009F0D84">
        <w:rPr>
          <w:lang w:val="en-US"/>
        </w:rPr>
        <w:t xml:space="preserve"> percent</w:t>
      </w:r>
      <w:r w:rsidRPr="000428D0">
        <w:rPr>
          <w:lang w:val="en-US"/>
        </w:rPr>
        <w:t xml:space="preserve">. Payments for investments in property, plant and equipment were reduced to </w:t>
      </w:r>
      <w:r w:rsidR="002651DC">
        <w:rPr>
          <w:lang w:val="en-US"/>
        </w:rPr>
        <w:br/>
      </w:r>
      <w:r w:rsidRPr="000428D0">
        <w:rPr>
          <w:lang w:val="en-US"/>
        </w:rPr>
        <w:t xml:space="preserve">€793 million in 2023, compared to €865 million in 2022. </w:t>
      </w:r>
    </w:p>
    <w:p w14:paraId="0F97D182" w14:textId="47B84B01" w:rsidR="006E636E" w:rsidRPr="006E636E" w:rsidRDefault="000428D0" w:rsidP="000428D0">
      <w:pPr>
        <w:rPr>
          <w:lang w:val="en-US"/>
        </w:rPr>
      </w:pPr>
      <w:r w:rsidRPr="00D77E13">
        <w:rPr>
          <w:lang w:val="en-US"/>
        </w:rPr>
        <w:t xml:space="preserve">Evonik also </w:t>
      </w:r>
      <w:r w:rsidR="00FB7279" w:rsidRPr="00D77E13">
        <w:rPr>
          <w:lang w:val="en-US"/>
        </w:rPr>
        <w:t xml:space="preserve">achieved its </w:t>
      </w:r>
      <w:r w:rsidR="0002230A" w:rsidRPr="00D77E13">
        <w:rPr>
          <w:lang w:val="en-US"/>
        </w:rPr>
        <w:t xml:space="preserve">2023 </w:t>
      </w:r>
      <w:r w:rsidR="00FB7279" w:rsidRPr="00D77E13">
        <w:rPr>
          <w:lang w:val="en-US"/>
        </w:rPr>
        <w:t xml:space="preserve">savings target of </w:t>
      </w:r>
      <w:r w:rsidRPr="00D77E13">
        <w:rPr>
          <w:lang w:val="en-US"/>
        </w:rPr>
        <w:t>€250 million</w:t>
      </w:r>
      <w:r w:rsidR="002651DC" w:rsidRPr="00D77E13">
        <w:rPr>
          <w:lang w:val="en-US"/>
        </w:rPr>
        <w:t xml:space="preserve"> </w:t>
      </w:r>
      <w:r w:rsidR="00FB7279" w:rsidRPr="00D77E13">
        <w:rPr>
          <w:lang w:val="en-US"/>
        </w:rPr>
        <w:t xml:space="preserve">by </w:t>
      </w:r>
      <w:r w:rsidRPr="00D77E13">
        <w:rPr>
          <w:lang w:val="en-US"/>
        </w:rPr>
        <w:t>through measures to safeguard earnings.</w:t>
      </w:r>
    </w:p>
    <w:p w14:paraId="4E4D1ACD" w14:textId="77777777" w:rsidR="006E636E" w:rsidRPr="006E636E" w:rsidRDefault="006E636E" w:rsidP="006E636E">
      <w:pPr>
        <w:rPr>
          <w:lang w:val="en-US"/>
        </w:rPr>
      </w:pPr>
    </w:p>
    <w:p w14:paraId="3CF15F62" w14:textId="0A44A5C0" w:rsidR="00246E46" w:rsidRPr="00246E46" w:rsidRDefault="00246E46" w:rsidP="00246E46">
      <w:pPr>
        <w:rPr>
          <w:lang w:val="en-US"/>
        </w:rPr>
      </w:pPr>
      <w:r w:rsidRPr="00246E46">
        <w:rPr>
          <w:lang w:val="en-US"/>
        </w:rPr>
        <w:t xml:space="preserve">"In difficult times, the first </w:t>
      </w:r>
      <w:r w:rsidR="003567A4">
        <w:rPr>
          <w:lang w:val="en-US"/>
        </w:rPr>
        <w:t>order of business</w:t>
      </w:r>
      <w:r w:rsidRPr="00246E46">
        <w:rPr>
          <w:lang w:val="en-US"/>
        </w:rPr>
        <w:t xml:space="preserve"> is to keep the money together," says Maike Schuh, Chief Financial Officer of Evonik. "</w:t>
      </w:r>
      <w:r w:rsidR="002C0EDD" w:rsidRPr="002C0EDD">
        <w:rPr>
          <w:lang w:val="en-US"/>
        </w:rPr>
        <w:t xml:space="preserve"> </w:t>
      </w:r>
      <w:r w:rsidR="002C0EDD" w:rsidRPr="002C0EDD">
        <w:rPr>
          <w:lang w:val="en-US"/>
        </w:rPr>
        <w:lastRenderedPageBreak/>
        <w:t xml:space="preserve">We have retained our </w:t>
      </w:r>
      <w:r w:rsidR="002C0EDD">
        <w:rPr>
          <w:lang w:val="en-US"/>
        </w:rPr>
        <w:t>ability</w:t>
      </w:r>
      <w:r w:rsidR="002C0EDD" w:rsidRPr="002C0EDD">
        <w:rPr>
          <w:lang w:val="en-US"/>
        </w:rPr>
        <w:t xml:space="preserve"> to act. This was painful</w:t>
      </w:r>
      <w:r w:rsidR="002C0EDD">
        <w:rPr>
          <w:lang w:val="en-US"/>
        </w:rPr>
        <w:t xml:space="preserve"> at times</w:t>
      </w:r>
      <w:r w:rsidR="002C0EDD" w:rsidRPr="002C0EDD">
        <w:rPr>
          <w:lang w:val="en-US"/>
        </w:rPr>
        <w:t>, but it was also successful. We will therefore continue these measures in the current year</w:t>
      </w:r>
      <w:r w:rsidRPr="00246E46">
        <w:rPr>
          <w:lang w:val="en-US"/>
        </w:rPr>
        <w:t>."</w:t>
      </w:r>
    </w:p>
    <w:p w14:paraId="12E5083F" w14:textId="77777777" w:rsidR="00246E46" w:rsidRPr="00246E46" w:rsidRDefault="00246E46" w:rsidP="00246E46">
      <w:pPr>
        <w:rPr>
          <w:lang w:val="en-US"/>
        </w:rPr>
      </w:pPr>
    </w:p>
    <w:p w14:paraId="777A23F6" w14:textId="77B34C22" w:rsidR="00246E46" w:rsidRPr="00246E46" w:rsidRDefault="00246E46" w:rsidP="00246E46">
      <w:pPr>
        <w:rPr>
          <w:lang w:val="en-US"/>
        </w:rPr>
      </w:pPr>
      <w:r w:rsidRPr="00246E46">
        <w:rPr>
          <w:lang w:val="en-US"/>
        </w:rPr>
        <w:t xml:space="preserve">The Executive Board will propose to the Annual Shareholders' Meeting on June 4 </w:t>
      </w:r>
      <w:r w:rsidR="004A0C9E">
        <w:rPr>
          <w:lang w:val="en-US"/>
        </w:rPr>
        <w:t>an</w:t>
      </w:r>
      <w:r w:rsidRPr="00246E46">
        <w:rPr>
          <w:lang w:val="en-US"/>
        </w:rPr>
        <w:t xml:space="preserve"> </w:t>
      </w:r>
      <w:r w:rsidR="004A0C9E" w:rsidRPr="00246E46">
        <w:rPr>
          <w:lang w:val="en-US"/>
        </w:rPr>
        <w:t xml:space="preserve">unchanged </w:t>
      </w:r>
      <w:r w:rsidRPr="00246E46">
        <w:rPr>
          <w:lang w:val="en-US"/>
        </w:rPr>
        <w:t xml:space="preserve">annual dividend </w:t>
      </w:r>
      <w:r w:rsidR="004A0C9E">
        <w:rPr>
          <w:lang w:val="en-US"/>
        </w:rPr>
        <w:t>of</w:t>
      </w:r>
      <w:r w:rsidRPr="00246E46">
        <w:rPr>
          <w:lang w:val="en-US"/>
        </w:rPr>
        <w:t xml:space="preserve"> €1.17 per share. This corresponds to a </w:t>
      </w:r>
      <w:r w:rsidRPr="00D77E13">
        <w:rPr>
          <w:lang w:val="en-US"/>
        </w:rPr>
        <w:t>highly attractive dividend</w:t>
      </w:r>
      <w:r w:rsidRPr="00246E46">
        <w:rPr>
          <w:lang w:val="en-US"/>
        </w:rPr>
        <w:t xml:space="preserve"> yield of around 7</w:t>
      </w:r>
      <w:r w:rsidR="00F21C42">
        <w:rPr>
          <w:lang w:val="en-US"/>
        </w:rPr>
        <w:t xml:space="preserve"> percent</w:t>
      </w:r>
      <w:r w:rsidRPr="00246E46">
        <w:rPr>
          <w:lang w:val="en-US"/>
        </w:rPr>
        <w:t>. "</w:t>
      </w:r>
      <w:r w:rsidR="00F21C42">
        <w:rPr>
          <w:lang w:val="en-US"/>
        </w:rPr>
        <w:t>Dividend c</w:t>
      </w:r>
      <w:r w:rsidRPr="00246E46">
        <w:rPr>
          <w:lang w:val="en-US"/>
        </w:rPr>
        <w:t xml:space="preserve">ontinuity </w:t>
      </w:r>
      <w:r w:rsidR="00F478A2">
        <w:rPr>
          <w:lang w:val="en-US"/>
        </w:rPr>
        <w:t>is crucial</w:t>
      </w:r>
      <w:r w:rsidRPr="00246E46">
        <w:rPr>
          <w:lang w:val="en-US"/>
        </w:rPr>
        <w:t xml:space="preserve"> for our long-term investors," says Schuh. "</w:t>
      </w:r>
      <w:r w:rsidR="0045457D">
        <w:rPr>
          <w:lang w:val="en-US"/>
        </w:rPr>
        <w:t>Our h</w:t>
      </w:r>
      <w:r w:rsidR="00E33C65">
        <w:rPr>
          <w:lang w:val="en-US"/>
        </w:rPr>
        <w:t>ealthy</w:t>
      </w:r>
      <w:r w:rsidRPr="00246E46">
        <w:rPr>
          <w:lang w:val="en-US"/>
        </w:rPr>
        <w:t xml:space="preserve"> free cash flow allows us to remain true to our reputation as a top dividend stock even in a difficult environment."</w:t>
      </w:r>
    </w:p>
    <w:p w14:paraId="23C294B9" w14:textId="77777777" w:rsidR="00246E46" w:rsidRPr="00246E46" w:rsidRDefault="00246E46" w:rsidP="00246E46">
      <w:pPr>
        <w:rPr>
          <w:lang w:val="en-US"/>
        </w:rPr>
      </w:pPr>
    </w:p>
    <w:p w14:paraId="7AD03686" w14:textId="1F1CB554" w:rsidR="00246E46" w:rsidRPr="00246E46" w:rsidRDefault="00D77E13" w:rsidP="00246E46">
      <w:pPr>
        <w:rPr>
          <w:lang w:val="en-US"/>
        </w:rPr>
      </w:pPr>
      <w:r w:rsidRPr="6379E3BB">
        <w:rPr>
          <w:lang w:val="en-US"/>
        </w:rPr>
        <w:t>Volumes sold reflected the unfavorable conditions. They</w:t>
      </w:r>
      <w:r w:rsidR="00246E46" w:rsidRPr="6379E3BB">
        <w:rPr>
          <w:lang w:val="en-US"/>
        </w:rPr>
        <w:t xml:space="preserve"> fell by 8 percent in 202</w:t>
      </w:r>
      <w:r w:rsidR="00CC1C7C" w:rsidRPr="6379E3BB">
        <w:rPr>
          <w:lang w:val="en-US"/>
        </w:rPr>
        <w:t>3. Selling p</w:t>
      </w:r>
      <w:r w:rsidR="00246E46" w:rsidRPr="6379E3BB">
        <w:rPr>
          <w:lang w:val="en-US"/>
        </w:rPr>
        <w:t xml:space="preserve">rices </w:t>
      </w:r>
      <w:r w:rsidR="00CC1C7C" w:rsidRPr="6379E3BB">
        <w:rPr>
          <w:lang w:val="en-US"/>
        </w:rPr>
        <w:t xml:space="preserve">declined </w:t>
      </w:r>
      <w:r w:rsidR="00246E46" w:rsidRPr="6379E3BB">
        <w:rPr>
          <w:lang w:val="en-US"/>
        </w:rPr>
        <w:t xml:space="preserve">by 3 percent. Evonik </w:t>
      </w:r>
      <w:r w:rsidR="0FDCB44A" w:rsidRPr="6379E3BB">
        <w:rPr>
          <w:lang w:val="en-US"/>
        </w:rPr>
        <w:t xml:space="preserve">reported </w:t>
      </w:r>
      <w:r w:rsidR="00246E46" w:rsidRPr="6379E3BB">
        <w:rPr>
          <w:lang w:val="en-US"/>
        </w:rPr>
        <w:t>a net loss of €465 million in 2023</w:t>
      </w:r>
      <w:r w:rsidR="00DF26F9" w:rsidRPr="6379E3BB">
        <w:rPr>
          <w:lang w:val="en-US"/>
        </w:rPr>
        <w:t xml:space="preserve"> due to</w:t>
      </w:r>
      <w:r w:rsidR="00246E46" w:rsidRPr="6379E3BB">
        <w:rPr>
          <w:lang w:val="en-US"/>
        </w:rPr>
        <w:t xml:space="preserve"> exceptionally high impairments and </w:t>
      </w:r>
      <w:r w:rsidR="00A906D5" w:rsidRPr="6379E3BB">
        <w:rPr>
          <w:lang w:val="en-US"/>
        </w:rPr>
        <w:t>burdens from structural measures</w:t>
      </w:r>
      <w:r w:rsidR="5B090198" w:rsidRPr="6379E3BB">
        <w:rPr>
          <w:lang w:val="en-US"/>
        </w:rPr>
        <w:t>, most of which occurred by Sept</w:t>
      </w:r>
      <w:r w:rsidR="4369A7B2" w:rsidRPr="6379E3BB">
        <w:rPr>
          <w:lang w:val="en-US"/>
        </w:rPr>
        <w:t>ember</w:t>
      </w:r>
      <w:r w:rsidR="5B090198" w:rsidRPr="6379E3BB">
        <w:rPr>
          <w:lang w:val="en-US"/>
        </w:rPr>
        <w:t xml:space="preserve"> 30</w:t>
      </w:r>
      <w:r w:rsidR="00246E46" w:rsidRPr="6379E3BB">
        <w:rPr>
          <w:lang w:val="en-US"/>
        </w:rPr>
        <w:t xml:space="preserve">. In the previous year, </w:t>
      </w:r>
      <w:r w:rsidR="00D04B1F" w:rsidRPr="6379E3BB">
        <w:rPr>
          <w:lang w:val="en-US"/>
        </w:rPr>
        <w:t xml:space="preserve">Evonik reported a </w:t>
      </w:r>
      <w:r w:rsidR="00246E46" w:rsidRPr="6379E3BB">
        <w:rPr>
          <w:lang w:val="en-US"/>
        </w:rPr>
        <w:t xml:space="preserve">net income </w:t>
      </w:r>
      <w:r w:rsidR="00D04B1F" w:rsidRPr="6379E3BB">
        <w:rPr>
          <w:lang w:val="en-US"/>
        </w:rPr>
        <w:t>of</w:t>
      </w:r>
      <w:r w:rsidR="00246E46" w:rsidRPr="6379E3BB">
        <w:rPr>
          <w:lang w:val="en-US"/>
        </w:rPr>
        <w:t xml:space="preserve"> €540 million.</w:t>
      </w:r>
    </w:p>
    <w:p w14:paraId="20C8B129" w14:textId="77777777" w:rsidR="00246E46" w:rsidRPr="00246E46" w:rsidRDefault="00246E46" w:rsidP="00246E46">
      <w:pPr>
        <w:rPr>
          <w:lang w:val="en-US"/>
        </w:rPr>
      </w:pPr>
    </w:p>
    <w:p w14:paraId="4E413CBF" w14:textId="44BAB5C9" w:rsidR="00246E46" w:rsidRPr="00246E46" w:rsidRDefault="00246E46" w:rsidP="00246E46">
      <w:pPr>
        <w:rPr>
          <w:lang w:val="en-US"/>
        </w:rPr>
      </w:pPr>
      <w:r w:rsidRPr="25CB468E">
        <w:rPr>
          <w:lang w:val="en-US"/>
        </w:rPr>
        <w:t>Evonik does not expect a</w:t>
      </w:r>
      <w:r w:rsidR="00A906D5" w:rsidRPr="25CB468E">
        <w:rPr>
          <w:lang w:val="en-US"/>
        </w:rPr>
        <w:t>n</w:t>
      </w:r>
      <w:r w:rsidRPr="25CB468E">
        <w:rPr>
          <w:lang w:val="en-US"/>
        </w:rPr>
        <w:t xml:space="preserve"> economic recovery</w:t>
      </w:r>
      <w:r w:rsidR="00426B5B" w:rsidRPr="25CB468E">
        <w:rPr>
          <w:lang w:val="en-US"/>
        </w:rPr>
        <w:t xml:space="preserve"> during</w:t>
      </w:r>
      <w:r w:rsidRPr="25CB468E">
        <w:rPr>
          <w:lang w:val="en-US"/>
        </w:rPr>
        <w:t xml:space="preserve"> 2024. </w:t>
      </w:r>
      <w:r w:rsidR="00426B5B" w:rsidRPr="25CB468E">
        <w:rPr>
          <w:lang w:val="en-US"/>
        </w:rPr>
        <w:t>Hence, c</w:t>
      </w:r>
      <w:r w:rsidRPr="25CB468E">
        <w:rPr>
          <w:lang w:val="en-US"/>
        </w:rPr>
        <w:t>apital expenditure</w:t>
      </w:r>
      <w:r w:rsidR="00426B5B" w:rsidRPr="25CB468E">
        <w:rPr>
          <w:lang w:val="en-US"/>
        </w:rPr>
        <w:t xml:space="preserve">s </w:t>
      </w:r>
      <w:r w:rsidRPr="25CB468E">
        <w:rPr>
          <w:lang w:val="en-US"/>
        </w:rPr>
        <w:t xml:space="preserve">will be limited to around €750 million. </w:t>
      </w:r>
      <w:r w:rsidR="002B320C" w:rsidRPr="25CB468E">
        <w:rPr>
          <w:lang w:val="en-US"/>
        </w:rPr>
        <w:t>The company expects a</w:t>
      </w:r>
      <w:r w:rsidR="00D46A63" w:rsidRPr="25CB468E">
        <w:rPr>
          <w:lang w:val="en-US"/>
        </w:rPr>
        <w:t xml:space="preserve">n increase </w:t>
      </w:r>
      <w:r w:rsidR="5E29D9F0" w:rsidRPr="25CB468E">
        <w:rPr>
          <w:lang w:val="en-US"/>
        </w:rPr>
        <w:t>in</w:t>
      </w:r>
      <w:r w:rsidR="00D46A63" w:rsidRPr="25CB468E">
        <w:rPr>
          <w:lang w:val="en-US"/>
        </w:rPr>
        <w:t xml:space="preserve"> a</w:t>
      </w:r>
      <w:r w:rsidRPr="25CB468E">
        <w:rPr>
          <w:lang w:val="en-US"/>
        </w:rPr>
        <w:t xml:space="preserve">djusted EBITDA to </w:t>
      </w:r>
      <w:r w:rsidR="00BE475B" w:rsidRPr="25CB468E">
        <w:rPr>
          <w:lang w:val="en-US"/>
        </w:rPr>
        <w:t xml:space="preserve">a range </w:t>
      </w:r>
      <w:r w:rsidRPr="25CB468E">
        <w:rPr>
          <w:lang w:val="en-US"/>
        </w:rPr>
        <w:t xml:space="preserve">between €1.7 </w:t>
      </w:r>
      <w:r w:rsidR="008A7E22" w:rsidRPr="25CB468E">
        <w:rPr>
          <w:lang w:val="en-US"/>
        </w:rPr>
        <w:t xml:space="preserve">billion </w:t>
      </w:r>
      <w:r w:rsidRPr="25CB468E">
        <w:rPr>
          <w:lang w:val="en-US"/>
        </w:rPr>
        <w:t>and €2.0 billion, with sales between €15</w:t>
      </w:r>
      <w:r w:rsidR="008A7E22" w:rsidRPr="25CB468E">
        <w:rPr>
          <w:lang w:val="en-US"/>
        </w:rPr>
        <w:t xml:space="preserve"> billion</w:t>
      </w:r>
      <w:r w:rsidRPr="25CB468E">
        <w:rPr>
          <w:lang w:val="en-US"/>
        </w:rPr>
        <w:t xml:space="preserve"> and €17 billion. The cash conversion rate should be around 40 percent. </w:t>
      </w:r>
    </w:p>
    <w:p w14:paraId="37C456D6" w14:textId="77777777" w:rsidR="00246E46" w:rsidRPr="00246E46" w:rsidRDefault="00246E46" w:rsidP="00246E46">
      <w:pPr>
        <w:rPr>
          <w:lang w:val="en-US"/>
        </w:rPr>
      </w:pPr>
    </w:p>
    <w:p w14:paraId="0244155B" w14:textId="7C4E4828" w:rsidR="00246E46" w:rsidRPr="00246E46" w:rsidRDefault="00246E46" w:rsidP="00246E46">
      <w:pPr>
        <w:rPr>
          <w:lang w:val="en-US"/>
        </w:rPr>
      </w:pPr>
      <w:r w:rsidRPr="00246E46">
        <w:rPr>
          <w:lang w:val="en-US"/>
        </w:rPr>
        <w:t xml:space="preserve">"We must not delude ourselves, even if there are slight signs of </w:t>
      </w:r>
      <w:r w:rsidR="00AE67FB">
        <w:rPr>
          <w:lang w:val="en-US"/>
        </w:rPr>
        <w:t xml:space="preserve">a </w:t>
      </w:r>
      <w:r w:rsidRPr="00246E46">
        <w:rPr>
          <w:lang w:val="en-US"/>
        </w:rPr>
        <w:t xml:space="preserve">recovery: What we are currently experiencing </w:t>
      </w:r>
      <w:r w:rsidR="0075396B">
        <w:rPr>
          <w:lang w:val="en-US"/>
        </w:rPr>
        <w:t>are</w:t>
      </w:r>
      <w:r w:rsidRPr="00246E46">
        <w:rPr>
          <w:lang w:val="en-US"/>
        </w:rPr>
        <w:t xml:space="preserve"> not </w:t>
      </w:r>
      <w:r w:rsidR="00F25EC2">
        <w:rPr>
          <w:lang w:val="en-US"/>
        </w:rPr>
        <w:t>cyclical</w:t>
      </w:r>
      <w:r w:rsidRPr="00246E46">
        <w:rPr>
          <w:lang w:val="en-US"/>
        </w:rPr>
        <w:t xml:space="preserve"> fluctuation</w:t>
      </w:r>
      <w:r w:rsidR="0075396B">
        <w:rPr>
          <w:lang w:val="en-US"/>
        </w:rPr>
        <w:t>s</w:t>
      </w:r>
      <w:r w:rsidRPr="00246E46">
        <w:rPr>
          <w:lang w:val="en-US"/>
        </w:rPr>
        <w:t xml:space="preserve">, but massive, </w:t>
      </w:r>
      <w:r w:rsidR="00D44D10">
        <w:rPr>
          <w:lang w:val="en-US"/>
        </w:rPr>
        <w:t>consequential</w:t>
      </w:r>
      <w:r w:rsidR="00D44D10" w:rsidRPr="00246E46">
        <w:rPr>
          <w:lang w:val="en-US"/>
        </w:rPr>
        <w:t xml:space="preserve"> </w:t>
      </w:r>
      <w:r w:rsidRPr="00246E46">
        <w:rPr>
          <w:lang w:val="en-US"/>
        </w:rPr>
        <w:t>change</w:t>
      </w:r>
      <w:r w:rsidR="0097086C">
        <w:rPr>
          <w:lang w:val="en-US"/>
        </w:rPr>
        <w:t>s</w:t>
      </w:r>
      <w:r w:rsidRPr="00246E46">
        <w:rPr>
          <w:lang w:val="en-US"/>
        </w:rPr>
        <w:t xml:space="preserve"> </w:t>
      </w:r>
      <w:r w:rsidR="00AC2652">
        <w:rPr>
          <w:lang w:val="en-US"/>
        </w:rPr>
        <w:t>of</w:t>
      </w:r>
      <w:r w:rsidRPr="00246E46">
        <w:rPr>
          <w:lang w:val="en-US"/>
        </w:rPr>
        <w:t xml:space="preserve"> our economic environment," says Kullmann. "</w:t>
      </w:r>
      <w:bookmarkStart w:id="6" w:name="_Hlk159600886"/>
      <w:r w:rsidRPr="00246E46">
        <w:rPr>
          <w:lang w:val="en-US"/>
        </w:rPr>
        <w:t xml:space="preserve">We are </w:t>
      </w:r>
      <w:r w:rsidR="00E83FA9">
        <w:rPr>
          <w:lang w:val="en-US"/>
        </w:rPr>
        <w:t>addressing</w:t>
      </w:r>
      <w:r w:rsidR="005F3EC9">
        <w:rPr>
          <w:lang w:val="en-US"/>
        </w:rPr>
        <w:t xml:space="preserve"> this challenge </w:t>
      </w:r>
      <w:r w:rsidRPr="00246E46">
        <w:rPr>
          <w:lang w:val="en-US"/>
        </w:rPr>
        <w:t xml:space="preserve">with </w:t>
      </w:r>
      <w:r w:rsidR="005F3EC9">
        <w:rPr>
          <w:lang w:val="en-US"/>
        </w:rPr>
        <w:t xml:space="preserve">the </w:t>
      </w:r>
      <w:r w:rsidR="005F3EC9" w:rsidRPr="005F3EC9">
        <w:rPr>
          <w:lang w:val="en-US"/>
        </w:rPr>
        <w:t>'Evonik Tailor Made' program</w:t>
      </w:r>
      <w:r w:rsidR="005F3EC9">
        <w:rPr>
          <w:lang w:val="en-US"/>
        </w:rPr>
        <w:t xml:space="preserve"> which will </w:t>
      </w:r>
      <w:r w:rsidRPr="00246E46">
        <w:rPr>
          <w:lang w:val="en-US"/>
        </w:rPr>
        <w:t>change our organizational structure</w:t>
      </w:r>
      <w:r w:rsidR="00A906D5">
        <w:rPr>
          <w:lang w:val="en-US"/>
        </w:rPr>
        <w:t xml:space="preserve"> for good</w:t>
      </w:r>
      <w:bookmarkEnd w:id="6"/>
      <w:r w:rsidR="00162093">
        <w:rPr>
          <w:lang w:val="en-US"/>
        </w:rPr>
        <w:t>.</w:t>
      </w:r>
      <w:r w:rsidRPr="00246E46">
        <w:rPr>
          <w:lang w:val="en-US"/>
        </w:rPr>
        <w:t>"</w:t>
      </w:r>
    </w:p>
    <w:p w14:paraId="08F3EDB9" w14:textId="77777777" w:rsidR="00246E46" w:rsidRPr="00246E46" w:rsidRDefault="00246E46" w:rsidP="00246E46">
      <w:pPr>
        <w:rPr>
          <w:lang w:val="en-US"/>
        </w:rPr>
      </w:pPr>
    </w:p>
    <w:p w14:paraId="10F38563" w14:textId="19083FF1" w:rsidR="00246E46" w:rsidRPr="00246E46" w:rsidRDefault="009E60E2" w:rsidP="00246E46">
      <w:pPr>
        <w:rPr>
          <w:lang w:val="en-US"/>
        </w:rPr>
      </w:pPr>
      <w:r w:rsidRPr="25CB468E">
        <w:rPr>
          <w:lang w:val="en-US"/>
        </w:rPr>
        <w:t xml:space="preserve">The first phase of ‘Evonik Tailor Made’ has been completed. </w:t>
      </w:r>
      <w:r w:rsidR="0041404B" w:rsidRPr="25CB468E">
        <w:rPr>
          <w:lang w:val="en-US"/>
        </w:rPr>
        <w:t>A</w:t>
      </w:r>
      <w:r w:rsidR="00246E46" w:rsidRPr="25CB468E">
        <w:rPr>
          <w:lang w:val="en-US"/>
        </w:rPr>
        <w:t xml:space="preserve">ll </w:t>
      </w:r>
      <w:bookmarkStart w:id="7" w:name="_Int_fIPo3NT2"/>
      <w:r w:rsidR="00246E46" w:rsidRPr="25CB468E">
        <w:rPr>
          <w:lang w:val="en-US"/>
        </w:rPr>
        <w:t>structures</w:t>
      </w:r>
      <w:bookmarkEnd w:id="7"/>
      <w:r w:rsidR="00246E46" w:rsidRPr="25CB468E">
        <w:rPr>
          <w:lang w:val="en-US"/>
        </w:rPr>
        <w:t xml:space="preserve"> and processes </w:t>
      </w:r>
      <w:r w:rsidR="0041404B" w:rsidRPr="25CB468E">
        <w:rPr>
          <w:lang w:val="en-US"/>
        </w:rPr>
        <w:t>of</w:t>
      </w:r>
      <w:r w:rsidR="00246E46" w:rsidRPr="25CB468E">
        <w:rPr>
          <w:lang w:val="en-US"/>
        </w:rPr>
        <w:t xml:space="preserve"> the company have been analyzed </w:t>
      </w:r>
      <w:r w:rsidR="00667E49" w:rsidRPr="25CB468E">
        <w:rPr>
          <w:lang w:val="en-US"/>
        </w:rPr>
        <w:t xml:space="preserve">extensively </w:t>
      </w:r>
      <w:r w:rsidR="00246E46" w:rsidRPr="25CB468E">
        <w:rPr>
          <w:lang w:val="en-US"/>
        </w:rPr>
        <w:t>over the past months. Based on th</w:t>
      </w:r>
      <w:r w:rsidRPr="25CB468E">
        <w:rPr>
          <w:lang w:val="en-US"/>
        </w:rPr>
        <w:t>is analysis</w:t>
      </w:r>
      <w:r w:rsidR="00246E46" w:rsidRPr="25CB468E">
        <w:rPr>
          <w:lang w:val="en-US"/>
        </w:rPr>
        <w:t xml:space="preserve">, </w:t>
      </w:r>
      <w:r w:rsidR="00A00793" w:rsidRPr="25CB468E">
        <w:rPr>
          <w:lang w:val="en-US"/>
        </w:rPr>
        <w:t xml:space="preserve">Evonik will </w:t>
      </w:r>
      <w:r w:rsidR="00062424" w:rsidRPr="25CB468E">
        <w:rPr>
          <w:lang w:val="en-US"/>
        </w:rPr>
        <w:t xml:space="preserve">design and establish </w:t>
      </w:r>
      <w:r w:rsidR="00246E46" w:rsidRPr="25CB468E">
        <w:rPr>
          <w:lang w:val="en-US"/>
        </w:rPr>
        <w:t>a new organization</w:t>
      </w:r>
      <w:r w:rsidR="00A00793" w:rsidRPr="25CB468E">
        <w:rPr>
          <w:lang w:val="en-US"/>
        </w:rPr>
        <w:t>al</w:t>
      </w:r>
      <w:r w:rsidR="00062424" w:rsidRPr="25CB468E">
        <w:rPr>
          <w:lang w:val="en-US"/>
        </w:rPr>
        <w:t xml:space="preserve"> structure</w:t>
      </w:r>
      <w:r w:rsidR="00246E46" w:rsidRPr="25CB468E">
        <w:rPr>
          <w:lang w:val="en-US"/>
        </w:rPr>
        <w:t xml:space="preserve"> by the end of 2026. Evonik </w:t>
      </w:r>
      <w:r w:rsidR="001E333A" w:rsidRPr="25CB468E">
        <w:rPr>
          <w:lang w:val="en-US"/>
        </w:rPr>
        <w:t xml:space="preserve">aims </w:t>
      </w:r>
      <w:r w:rsidR="00BA7B1A" w:rsidRPr="25CB468E">
        <w:rPr>
          <w:lang w:val="en-US"/>
        </w:rPr>
        <w:t xml:space="preserve">to </w:t>
      </w:r>
      <w:r w:rsidR="00A906D5" w:rsidRPr="25CB468E">
        <w:rPr>
          <w:lang w:val="en-US"/>
        </w:rPr>
        <w:t xml:space="preserve">do without </w:t>
      </w:r>
      <w:r w:rsidR="00246E46" w:rsidRPr="25CB468E">
        <w:rPr>
          <w:lang w:val="en-US"/>
        </w:rPr>
        <w:t xml:space="preserve">administrative activities that do not directly support </w:t>
      </w:r>
      <w:r w:rsidR="009751CD" w:rsidRPr="25CB468E">
        <w:rPr>
          <w:lang w:val="en-US"/>
        </w:rPr>
        <w:t>its</w:t>
      </w:r>
      <w:r w:rsidR="00246E46" w:rsidRPr="25CB468E">
        <w:rPr>
          <w:lang w:val="en-US"/>
        </w:rPr>
        <w:t xml:space="preserve"> business</w:t>
      </w:r>
      <w:r w:rsidR="00BA7B1A" w:rsidRPr="25CB468E">
        <w:rPr>
          <w:lang w:val="en-US"/>
        </w:rPr>
        <w:t>es</w:t>
      </w:r>
      <w:r w:rsidR="00246E46" w:rsidRPr="25CB468E">
        <w:rPr>
          <w:lang w:val="en-US"/>
        </w:rPr>
        <w:t xml:space="preserve">. </w:t>
      </w:r>
      <w:r w:rsidR="00810F29" w:rsidRPr="25CB468E">
        <w:rPr>
          <w:lang w:val="en-US"/>
        </w:rPr>
        <w:t xml:space="preserve">At the same time, key tasks will be consistently bundled in the new structure. </w:t>
      </w:r>
      <w:r w:rsidR="00246E46" w:rsidRPr="25CB468E">
        <w:rPr>
          <w:lang w:val="en-US"/>
        </w:rPr>
        <w:t xml:space="preserve">The </w:t>
      </w:r>
      <w:r w:rsidR="00246E46" w:rsidRPr="25CB468E">
        <w:rPr>
          <w:lang w:val="en-US"/>
        </w:rPr>
        <w:lastRenderedPageBreak/>
        <w:t xml:space="preserve">number of hierarchical levels below the Executive Board will be reduced to a maximum of six, while review and approval procedures will be significantly accelerated. </w:t>
      </w:r>
      <w:r w:rsidR="00166AED" w:rsidRPr="25CB468E">
        <w:rPr>
          <w:lang w:val="en-US"/>
        </w:rPr>
        <w:t>Group-wide, m</w:t>
      </w:r>
      <w:r w:rsidR="00246E46" w:rsidRPr="25CB468E">
        <w:rPr>
          <w:lang w:val="en-US"/>
        </w:rPr>
        <w:t xml:space="preserve">anagers will then lead a median of seven </w:t>
      </w:r>
      <w:r w:rsidR="00981DE2" w:rsidRPr="25CB468E">
        <w:rPr>
          <w:lang w:val="en-US"/>
        </w:rPr>
        <w:t>direct reports</w:t>
      </w:r>
      <w:r w:rsidR="00246E46" w:rsidRPr="25CB468E">
        <w:rPr>
          <w:lang w:val="en-US"/>
        </w:rPr>
        <w:t xml:space="preserve">, compared to the current </w:t>
      </w:r>
      <w:r w:rsidR="00BC56A7" w:rsidRPr="25CB468E">
        <w:rPr>
          <w:lang w:val="en-US"/>
        </w:rPr>
        <w:t>span of control</w:t>
      </w:r>
      <w:r w:rsidR="00246E46" w:rsidRPr="25CB468E">
        <w:rPr>
          <w:lang w:val="en-US"/>
        </w:rPr>
        <w:t xml:space="preserve"> of one to four. </w:t>
      </w:r>
    </w:p>
    <w:p w14:paraId="6950F3C1" w14:textId="77777777" w:rsidR="00246E46" w:rsidRPr="00246E46" w:rsidRDefault="00246E46" w:rsidP="00246E46">
      <w:pPr>
        <w:rPr>
          <w:lang w:val="en-US"/>
        </w:rPr>
      </w:pPr>
    </w:p>
    <w:p w14:paraId="61A42B09" w14:textId="42232E25" w:rsidR="00246E46" w:rsidRPr="00246E46" w:rsidRDefault="00246E46" w:rsidP="00246E46">
      <w:pPr>
        <w:rPr>
          <w:lang w:val="en-US"/>
        </w:rPr>
      </w:pPr>
      <w:r w:rsidRPr="00246E46">
        <w:rPr>
          <w:lang w:val="en-US"/>
        </w:rPr>
        <w:t>As a result, Evonik will become leaner</w:t>
      </w:r>
      <w:r w:rsidR="00240B05">
        <w:rPr>
          <w:lang w:val="en-US"/>
        </w:rPr>
        <w:t xml:space="preserve">, </w:t>
      </w:r>
      <w:r w:rsidRPr="00246E46">
        <w:rPr>
          <w:lang w:val="en-US"/>
        </w:rPr>
        <w:t>faster</w:t>
      </w:r>
      <w:r w:rsidR="00240B05">
        <w:rPr>
          <w:lang w:val="en-US"/>
        </w:rPr>
        <w:t>, and have</w:t>
      </w:r>
      <w:r w:rsidRPr="00246E46">
        <w:rPr>
          <w:lang w:val="en-US"/>
        </w:rPr>
        <w:t xml:space="preserve"> </w:t>
      </w:r>
      <w:r w:rsidR="00240B05">
        <w:rPr>
          <w:lang w:val="en-US"/>
        </w:rPr>
        <w:t>a</w:t>
      </w:r>
      <w:r w:rsidR="00D824C6">
        <w:rPr>
          <w:lang w:val="en-US"/>
        </w:rPr>
        <w:t xml:space="preserve"> </w:t>
      </w:r>
      <w:r w:rsidRPr="00246E46">
        <w:rPr>
          <w:lang w:val="en-US"/>
        </w:rPr>
        <w:t>significantly</w:t>
      </w:r>
      <w:r w:rsidR="00D824C6">
        <w:rPr>
          <w:lang w:val="en-US"/>
        </w:rPr>
        <w:t xml:space="preserve"> reduce</w:t>
      </w:r>
      <w:r w:rsidR="00240B05">
        <w:rPr>
          <w:lang w:val="en-US"/>
        </w:rPr>
        <w:t>d</w:t>
      </w:r>
      <w:r w:rsidR="00D824C6">
        <w:rPr>
          <w:lang w:val="en-US"/>
        </w:rPr>
        <w:t xml:space="preserve"> cost structure</w:t>
      </w:r>
      <w:r w:rsidRPr="00246E46">
        <w:rPr>
          <w:lang w:val="en-US"/>
        </w:rPr>
        <w:t xml:space="preserve">. Up to 2,000 jobs </w:t>
      </w:r>
      <w:r w:rsidR="00AE276A">
        <w:rPr>
          <w:lang w:val="en-US"/>
        </w:rPr>
        <w:t>will</w:t>
      </w:r>
      <w:r w:rsidRPr="00246E46">
        <w:rPr>
          <w:lang w:val="en-US"/>
        </w:rPr>
        <w:t xml:space="preserve"> be cut worldwide, including a disproportionate</w:t>
      </w:r>
      <w:r w:rsidR="0059588E">
        <w:rPr>
          <w:lang w:val="en-US"/>
        </w:rPr>
        <w:t xml:space="preserve"> </w:t>
      </w:r>
      <w:r w:rsidRPr="00246E46">
        <w:rPr>
          <w:lang w:val="en-US"/>
        </w:rPr>
        <w:t xml:space="preserve">number of management positions. The majority of these adjustments, around 1,500 jobs, will be </w:t>
      </w:r>
      <w:r w:rsidR="00030FAC">
        <w:rPr>
          <w:lang w:val="en-US"/>
        </w:rPr>
        <w:t xml:space="preserve">made </w:t>
      </w:r>
      <w:r w:rsidRPr="00246E46">
        <w:rPr>
          <w:lang w:val="en-US"/>
        </w:rPr>
        <w:t>in Germany. Evonik expects cost</w:t>
      </w:r>
      <w:r w:rsidR="00030FAC">
        <w:rPr>
          <w:lang w:val="en-US"/>
        </w:rPr>
        <w:t xml:space="preserve"> reduction</w:t>
      </w:r>
      <w:r w:rsidR="0059588E">
        <w:rPr>
          <w:lang w:val="en-US"/>
        </w:rPr>
        <w:t>s</w:t>
      </w:r>
      <w:r w:rsidR="00030FAC">
        <w:rPr>
          <w:lang w:val="en-US"/>
        </w:rPr>
        <w:t xml:space="preserve"> of</w:t>
      </w:r>
      <w:r w:rsidR="0059588E">
        <w:rPr>
          <w:lang w:val="en-US"/>
        </w:rPr>
        <w:t xml:space="preserve"> </w:t>
      </w:r>
      <w:r w:rsidRPr="00246E46">
        <w:rPr>
          <w:lang w:val="en-US"/>
        </w:rPr>
        <w:t xml:space="preserve">around €400 million </w:t>
      </w:r>
      <w:r w:rsidR="00030FAC">
        <w:rPr>
          <w:lang w:val="en-US"/>
        </w:rPr>
        <w:t xml:space="preserve">annually after </w:t>
      </w:r>
      <w:r w:rsidRPr="00246E46">
        <w:rPr>
          <w:lang w:val="en-US"/>
        </w:rPr>
        <w:t>the program</w:t>
      </w:r>
      <w:r w:rsidR="00030FAC">
        <w:rPr>
          <w:lang w:val="en-US"/>
        </w:rPr>
        <w:t xml:space="preserve">’s </w:t>
      </w:r>
      <w:r w:rsidRPr="00246E46">
        <w:rPr>
          <w:lang w:val="en-US"/>
        </w:rPr>
        <w:t>complet</w:t>
      </w:r>
      <w:r w:rsidR="00030FAC">
        <w:rPr>
          <w:lang w:val="en-US"/>
        </w:rPr>
        <w:t>ion</w:t>
      </w:r>
      <w:r w:rsidRPr="00246E46">
        <w:rPr>
          <w:lang w:val="en-US"/>
        </w:rPr>
        <w:t xml:space="preserve"> in 2026. Around 80 percent of these savings will </w:t>
      </w:r>
      <w:r w:rsidR="00CF6590">
        <w:rPr>
          <w:lang w:val="en-US"/>
        </w:rPr>
        <w:t>derive f</w:t>
      </w:r>
      <w:r w:rsidR="00DA78E7">
        <w:rPr>
          <w:lang w:val="en-US"/>
        </w:rPr>
        <w:t>rom</w:t>
      </w:r>
      <w:r w:rsidRPr="00246E46">
        <w:rPr>
          <w:lang w:val="en-US"/>
        </w:rPr>
        <w:t xml:space="preserve"> personnel </w:t>
      </w:r>
      <w:r w:rsidR="00CF6590">
        <w:rPr>
          <w:lang w:val="en-US"/>
        </w:rPr>
        <w:t>reduction</w:t>
      </w:r>
      <w:r w:rsidR="00DA78E7">
        <w:rPr>
          <w:lang w:val="en-US"/>
        </w:rPr>
        <w:t>s</w:t>
      </w:r>
      <w:r w:rsidR="00763416">
        <w:rPr>
          <w:lang w:val="en-US"/>
        </w:rPr>
        <w:t>,</w:t>
      </w:r>
      <w:r w:rsidRPr="00246E46">
        <w:rPr>
          <w:lang w:val="en-US"/>
        </w:rPr>
        <w:t xml:space="preserve"> </w:t>
      </w:r>
      <w:r w:rsidR="00763416">
        <w:rPr>
          <w:lang w:val="en-US"/>
        </w:rPr>
        <w:t xml:space="preserve">the rest will </w:t>
      </w:r>
      <w:r w:rsidR="00CF6590">
        <w:rPr>
          <w:lang w:val="en-US"/>
        </w:rPr>
        <w:t>come from</w:t>
      </w:r>
      <w:r w:rsidR="00DA78E7">
        <w:rPr>
          <w:lang w:val="en-US"/>
        </w:rPr>
        <w:t xml:space="preserve"> lower</w:t>
      </w:r>
      <w:r w:rsidR="00CF6590">
        <w:rPr>
          <w:lang w:val="en-US"/>
        </w:rPr>
        <w:t xml:space="preserve"> </w:t>
      </w:r>
      <w:r w:rsidRPr="00246E46">
        <w:rPr>
          <w:lang w:val="en-US"/>
        </w:rPr>
        <w:t xml:space="preserve">material </w:t>
      </w:r>
      <w:r w:rsidR="00DA78E7">
        <w:rPr>
          <w:lang w:val="en-US"/>
        </w:rPr>
        <w:t>costs</w:t>
      </w:r>
      <w:r w:rsidRPr="00246E46">
        <w:rPr>
          <w:lang w:val="en-US"/>
        </w:rPr>
        <w:t xml:space="preserve">. </w:t>
      </w:r>
      <w:r w:rsidR="00810F29">
        <w:rPr>
          <w:lang w:val="en-US"/>
        </w:rPr>
        <w:t>F</w:t>
      </w:r>
      <w:r w:rsidRPr="00246E46">
        <w:rPr>
          <w:lang w:val="en-US"/>
        </w:rPr>
        <w:t>irst effects</w:t>
      </w:r>
      <w:r w:rsidR="00F0296C">
        <w:rPr>
          <w:lang w:val="en-US"/>
        </w:rPr>
        <w:t xml:space="preserve"> of ‘Evonik Tailor Made’</w:t>
      </w:r>
      <w:r w:rsidRPr="00246E46">
        <w:rPr>
          <w:lang w:val="en-US"/>
        </w:rPr>
        <w:t xml:space="preserve"> </w:t>
      </w:r>
      <w:r w:rsidR="00B05683">
        <w:rPr>
          <w:lang w:val="en-US"/>
        </w:rPr>
        <w:t>should</w:t>
      </w:r>
      <w:r w:rsidRPr="00246E46">
        <w:rPr>
          <w:lang w:val="en-US"/>
        </w:rPr>
        <w:t xml:space="preserve"> </w:t>
      </w:r>
      <w:r w:rsidR="00B05683">
        <w:rPr>
          <w:lang w:val="en-US"/>
        </w:rPr>
        <w:t>materialize</w:t>
      </w:r>
      <w:r w:rsidRPr="00246E46">
        <w:rPr>
          <w:lang w:val="en-US"/>
        </w:rPr>
        <w:t xml:space="preserve"> in the current year</w:t>
      </w:r>
      <w:r w:rsidR="00810F29">
        <w:rPr>
          <w:lang w:val="en-US"/>
        </w:rPr>
        <w:t xml:space="preserve"> already</w:t>
      </w:r>
      <w:r w:rsidRPr="00246E46">
        <w:rPr>
          <w:lang w:val="en-US"/>
        </w:rPr>
        <w:t xml:space="preserve">. </w:t>
      </w:r>
    </w:p>
    <w:p w14:paraId="7213DA6C" w14:textId="77777777" w:rsidR="00246E46" w:rsidRPr="00246E46" w:rsidRDefault="00246E46" w:rsidP="00246E46">
      <w:pPr>
        <w:rPr>
          <w:lang w:val="en-US"/>
        </w:rPr>
      </w:pPr>
    </w:p>
    <w:p w14:paraId="7EAF5F7C" w14:textId="324926C1" w:rsidR="00246E46" w:rsidRPr="00246E46" w:rsidRDefault="00246E46" w:rsidP="00246E46">
      <w:pPr>
        <w:rPr>
          <w:lang w:val="en-US"/>
        </w:rPr>
      </w:pPr>
      <w:r w:rsidRPr="00246E46">
        <w:rPr>
          <w:lang w:val="en-US"/>
        </w:rPr>
        <w:t xml:space="preserve">"We have chosen our own, tailor-made path for Evonik without external consultants to achieve </w:t>
      </w:r>
      <w:r w:rsidR="009356A8">
        <w:rPr>
          <w:lang w:val="en-US"/>
        </w:rPr>
        <w:t>the</w:t>
      </w:r>
      <w:r w:rsidR="009356A8" w:rsidRPr="00246E46">
        <w:rPr>
          <w:lang w:val="en-US"/>
        </w:rPr>
        <w:t xml:space="preserve"> </w:t>
      </w:r>
      <w:r w:rsidRPr="00246E46">
        <w:rPr>
          <w:lang w:val="en-US"/>
        </w:rPr>
        <w:t xml:space="preserve">best possible </w:t>
      </w:r>
      <w:r w:rsidR="009356A8">
        <w:rPr>
          <w:lang w:val="en-US"/>
        </w:rPr>
        <w:t>results</w:t>
      </w:r>
      <w:r w:rsidRPr="00246E46">
        <w:rPr>
          <w:lang w:val="en-US"/>
        </w:rPr>
        <w:t xml:space="preserve">," says Thomas Wessel, Chief Human Resources Officer and Labor Director. "It is clear that our company will look </w:t>
      </w:r>
      <w:r w:rsidR="00EB6D6B">
        <w:rPr>
          <w:lang w:val="en-US"/>
        </w:rPr>
        <w:t xml:space="preserve">very </w:t>
      </w:r>
      <w:r w:rsidRPr="00246E46">
        <w:rPr>
          <w:lang w:val="en-US"/>
        </w:rPr>
        <w:t xml:space="preserve">different in two years </w:t>
      </w:r>
      <w:r w:rsidR="00EB6D6B">
        <w:rPr>
          <w:rFonts w:cs="Lucida Sans Unicode"/>
          <w:lang w:val="en-US"/>
        </w:rPr>
        <w:t>─</w:t>
      </w:r>
      <w:r w:rsidRPr="00246E46">
        <w:rPr>
          <w:lang w:val="en-US"/>
        </w:rPr>
        <w:t xml:space="preserve"> much more dynamic and efficient. </w:t>
      </w:r>
      <w:r w:rsidRPr="00A543F1">
        <w:rPr>
          <w:lang w:val="en-US"/>
        </w:rPr>
        <w:t>We will achieve this in the</w:t>
      </w:r>
      <w:r w:rsidR="005427DB" w:rsidRPr="00984BAA">
        <w:rPr>
          <w:lang w:val="en-US"/>
        </w:rPr>
        <w:t xml:space="preserve"> fair </w:t>
      </w:r>
      <w:r w:rsidR="00604CE4" w:rsidRPr="00984BAA">
        <w:rPr>
          <w:lang w:val="en-US"/>
        </w:rPr>
        <w:t>manner</w:t>
      </w:r>
      <w:r w:rsidRPr="00A543F1">
        <w:rPr>
          <w:lang w:val="en-US"/>
        </w:rPr>
        <w:t xml:space="preserve"> Evonik is known for: </w:t>
      </w:r>
      <w:r w:rsidR="000964AB" w:rsidRPr="00984BAA">
        <w:rPr>
          <w:lang w:val="en-US"/>
        </w:rPr>
        <w:t xml:space="preserve">focused on </w:t>
      </w:r>
      <w:r w:rsidR="00C774D9" w:rsidRPr="00984BAA">
        <w:rPr>
          <w:lang w:val="en-US"/>
        </w:rPr>
        <w:t>joint</w:t>
      </w:r>
      <w:r w:rsidR="000964AB" w:rsidRPr="00984BAA">
        <w:rPr>
          <w:lang w:val="en-US"/>
        </w:rPr>
        <w:t xml:space="preserve"> goals</w:t>
      </w:r>
      <w:r w:rsidRPr="00A543F1">
        <w:rPr>
          <w:lang w:val="en-US"/>
        </w:rPr>
        <w:t xml:space="preserve"> and </w:t>
      </w:r>
      <w:r w:rsidR="002F596A" w:rsidRPr="00984BAA">
        <w:rPr>
          <w:lang w:val="en-US"/>
        </w:rPr>
        <w:t xml:space="preserve">respectful </w:t>
      </w:r>
      <w:r w:rsidRPr="00A543F1">
        <w:rPr>
          <w:lang w:val="en-US"/>
        </w:rPr>
        <w:t>in our dealings with each other."</w:t>
      </w:r>
    </w:p>
    <w:p w14:paraId="28EF1ACC" w14:textId="77777777" w:rsidR="00246E46" w:rsidRPr="00246E46" w:rsidRDefault="00246E46" w:rsidP="00246E46">
      <w:pPr>
        <w:rPr>
          <w:lang w:val="en-US"/>
        </w:rPr>
      </w:pPr>
    </w:p>
    <w:p w14:paraId="41D23A84" w14:textId="7868460C" w:rsidR="006E636E" w:rsidRPr="006E636E" w:rsidRDefault="00007F6B" w:rsidP="00246E46">
      <w:pPr>
        <w:rPr>
          <w:lang w:val="en-US"/>
        </w:rPr>
      </w:pPr>
      <w:r>
        <w:rPr>
          <w:lang w:val="en-US"/>
        </w:rPr>
        <w:t>I</w:t>
      </w:r>
      <w:r w:rsidRPr="00246E46">
        <w:rPr>
          <w:lang w:val="en-US"/>
        </w:rPr>
        <w:t>n the coming weeks</w:t>
      </w:r>
      <w:r w:rsidR="00A543F1">
        <w:rPr>
          <w:lang w:val="en-US"/>
        </w:rPr>
        <w:t>,</w:t>
      </w:r>
      <w:r w:rsidRPr="00246E46">
        <w:rPr>
          <w:lang w:val="en-US"/>
        </w:rPr>
        <w:t xml:space="preserve"> </w:t>
      </w:r>
      <w:r>
        <w:rPr>
          <w:lang w:val="en-US"/>
        </w:rPr>
        <w:t>t</w:t>
      </w:r>
      <w:r w:rsidR="00246E46" w:rsidRPr="00246E46">
        <w:rPr>
          <w:lang w:val="en-US"/>
        </w:rPr>
        <w:t xml:space="preserve">he Executive Board and </w:t>
      </w:r>
      <w:r>
        <w:rPr>
          <w:lang w:val="en-US"/>
        </w:rPr>
        <w:t xml:space="preserve">the </w:t>
      </w:r>
      <w:r w:rsidR="00246E46" w:rsidRPr="00246E46">
        <w:rPr>
          <w:lang w:val="en-US"/>
        </w:rPr>
        <w:t xml:space="preserve">co-determination </w:t>
      </w:r>
      <w:r>
        <w:rPr>
          <w:lang w:val="en-US"/>
        </w:rPr>
        <w:t xml:space="preserve">bodies </w:t>
      </w:r>
      <w:r w:rsidR="00246E46" w:rsidRPr="00246E46">
        <w:rPr>
          <w:lang w:val="en-US"/>
        </w:rPr>
        <w:t xml:space="preserve">will negotiate how the planned job cuts will be </w:t>
      </w:r>
      <w:r w:rsidR="00436C94">
        <w:rPr>
          <w:lang w:val="en-US"/>
        </w:rPr>
        <w:t>executed</w:t>
      </w:r>
      <w:r w:rsidR="00436C94" w:rsidRPr="00246E46">
        <w:rPr>
          <w:lang w:val="en-US"/>
        </w:rPr>
        <w:t xml:space="preserve"> </w:t>
      </w:r>
      <w:r w:rsidR="00246E46" w:rsidRPr="00246E46">
        <w:rPr>
          <w:lang w:val="en-US"/>
        </w:rPr>
        <w:t>in a socially responsible manner.</w:t>
      </w:r>
      <w:r w:rsidR="00663B85">
        <w:rPr>
          <w:lang w:val="en-US"/>
        </w:rPr>
        <w:t xml:space="preserve"> </w:t>
      </w:r>
    </w:p>
    <w:p w14:paraId="0CEA11A9" w14:textId="77777777" w:rsidR="006E636E" w:rsidRDefault="006E636E" w:rsidP="006E636E">
      <w:pPr>
        <w:rPr>
          <w:lang w:val="en-US"/>
        </w:rPr>
      </w:pPr>
    </w:p>
    <w:p w14:paraId="1B2C13B8" w14:textId="77777777" w:rsidR="002C0EDD" w:rsidRDefault="002C0EDD" w:rsidP="009125A5">
      <w:pPr>
        <w:rPr>
          <w:rStyle w:val="Forte"/>
          <w:rFonts w:cs="Lucida Sans Unicode"/>
          <w:szCs w:val="22"/>
          <w:lang w:val="en-US"/>
        </w:rPr>
      </w:pPr>
    </w:p>
    <w:p w14:paraId="61C1E0C5" w14:textId="3D8E67AC" w:rsidR="009645ED" w:rsidRPr="007B4E96" w:rsidRDefault="009645ED" w:rsidP="009125A5">
      <w:pPr>
        <w:rPr>
          <w:rStyle w:val="Forte"/>
          <w:rFonts w:cs="Lucida Sans Unicode"/>
          <w:szCs w:val="22"/>
          <w:lang w:val="en-US"/>
        </w:rPr>
      </w:pPr>
      <w:r w:rsidRPr="007B4E96">
        <w:rPr>
          <w:rStyle w:val="Forte"/>
          <w:rFonts w:cs="Lucida Sans Unicode"/>
          <w:szCs w:val="22"/>
          <w:lang w:val="en-US"/>
        </w:rPr>
        <w:t xml:space="preserve">Development </w:t>
      </w:r>
      <w:r w:rsidR="002B44E5" w:rsidRPr="007B4E96">
        <w:rPr>
          <w:rStyle w:val="Forte"/>
          <w:rFonts w:cs="Lucida Sans Unicode"/>
          <w:szCs w:val="22"/>
          <w:lang w:val="en-US"/>
        </w:rPr>
        <w:t>in</w:t>
      </w:r>
      <w:r w:rsidRPr="007B4E96">
        <w:rPr>
          <w:rStyle w:val="Forte"/>
          <w:rFonts w:cs="Lucida Sans Unicode"/>
          <w:szCs w:val="22"/>
          <w:lang w:val="en-US"/>
        </w:rPr>
        <w:t xml:space="preserve"> the </w:t>
      </w:r>
      <w:r w:rsidR="00810F29">
        <w:rPr>
          <w:rStyle w:val="Forte"/>
          <w:rFonts w:cs="Lucida Sans Unicode"/>
          <w:szCs w:val="22"/>
          <w:lang w:val="en-US"/>
        </w:rPr>
        <w:t xml:space="preserve">chemical </w:t>
      </w:r>
      <w:r w:rsidR="002B44E5" w:rsidRPr="007B4E96">
        <w:rPr>
          <w:rStyle w:val="Forte"/>
          <w:rFonts w:cs="Lucida Sans Unicode"/>
          <w:szCs w:val="22"/>
          <w:lang w:val="en-US"/>
        </w:rPr>
        <w:t>d</w:t>
      </w:r>
      <w:r w:rsidRPr="007B4E96">
        <w:rPr>
          <w:rStyle w:val="Forte"/>
          <w:rFonts w:cs="Lucida Sans Unicode"/>
          <w:szCs w:val="22"/>
          <w:lang w:val="en-US"/>
        </w:rPr>
        <w:t>ivisions</w:t>
      </w:r>
    </w:p>
    <w:p w14:paraId="4830BF12" w14:textId="77777777" w:rsidR="009645ED" w:rsidRDefault="009645ED" w:rsidP="003F37FB">
      <w:pPr>
        <w:rPr>
          <w:rStyle w:val="Forte"/>
          <w:rFonts w:cs="Lucida Sans Unicode"/>
          <w:sz w:val="21"/>
          <w:szCs w:val="21"/>
          <w:lang w:val="en-US"/>
        </w:rPr>
      </w:pPr>
    </w:p>
    <w:p w14:paraId="00E9973A" w14:textId="77777777" w:rsidR="002B44E5" w:rsidRDefault="00137117" w:rsidP="007C329E">
      <w:pPr>
        <w:rPr>
          <w:lang w:val="en-US"/>
        </w:rPr>
      </w:pPr>
      <w:r w:rsidRPr="00137117">
        <w:rPr>
          <w:b/>
          <w:bCs/>
          <w:lang w:val="en-US"/>
        </w:rPr>
        <w:t>Specialty Additives</w:t>
      </w:r>
      <w:r>
        <w:rPr>
          <w:lang w:val="en-US"/>
        </w:rPr>
        <w:t>:</w:t>
      </w:r>
    </w:p>
    <w:p w14:paraId="352DF133" w14:textId="77902A4A" w:rsidR="00BA2C6E" w:rsidRPr="00BA2C6E" w:rsidRDefault="00984BAA" w:rsidP="007C329E">
      <w:pPr>
        <w:rPr>
          <w:lang w:val="en-US"/>
        </w:rPr>
      </w:pPr>
      <w:r w:rsidRPr="00984BAA">
        <w:rPr>
          <w:lang w:val="en-US"/>
        </w:rPr>
        <w:t>The Specialty Additives division's performance in 2023 was impacted by weak demand and a noticeable reduction in customer inventories. This resulted in underutilization of plant capacity and the associated pressure on margins.</w:t>
      </w:r>
      <w:r>
        <w:rPr>
          <w:lang w:val="en-US"/>
        </w:rPr>
        <w:t xml:space="preserve"> </w:t>
      </w:r>
      <w:r w:rsidR="004A67DD" w:rsidRPr="004A67DD">
        <w:rPr>
          <w:lang w:val="en-US"/>
        </w:rPr>
        <w:t>Sales fell by 16</w:t>
      </w:r>
      <w:r w:rsidR="000F4B89">
        <w:rPr>
          <w:lang w:val="en-US"/>
        </w:rPr>
        <w:t xml:space="preserve"> percent</w:t>
      </w:r>
      <w:r w:rsidR="004A67DD" w:rsidRPr="004A67DD">
        <w:rPr>
          <w:lang w:val="en-US"/>
        </w:rPr>
        <w:t xml:space="preserve"> to €3.52 billion</w:t>
      </w:r>
      <w:r w:rsidR="0089716A">
        <w:rPr>
          <w:lang w:val="en-US"/>
        </w:rPr>
        <w:t xml:space="preserve">, </w:t>
      </w:r>
      <w:r w:rsidR="0089716A" w:rsidRPr="004A67DD">
        <w:rPr>
          <w:lang w:val="en-US"/>
        </w:rPr>
        <w:t>primarily due to noticeably lower volumes and negative currency effects</w:t>
      </w:r>
      <w:r w:rsidR="00525CA7">
        <w:rPr>
          <w:lang w:val="en-US"/>
        </w:rPr>
        <w:t>.</w:t>
      </w:r>
      <w:r w:rsidR="0089716A">
        <w:rPr>
          <w:lang w:val="en-US"/>
        </w:rPr>
        <w:t xml:space="preserve"> </w:t>
      </w:r>
      <w:r w:rsidR="00525CA7">
        <w:rPr>
          <w:lang w:val="en-US"/>
        </w:rPr>
        <w:t>P</w:t>
      </w:r>
      <w:r w:rsidR="0089716A" w:rsidRPr="004A67DD">
        <w:rPr>
          <w:lang w:val="en-US"/>
        </w:rPr>
        <w:t xml:space="preserve">rices </w:t>
      </w:r>
      <w:r w:rsidR="00BD60C3">
        <w:rPr>
          <w:lang w:val="en-US"/>
        </w:rPr>
        <w:t>remained</w:t>
      </w:r>
      <w:r w:rsidR="0089716A">
        <w:rPr>
          <w:lang w:val="en-US"/>
        </w:rPr>
        <w:t xml:space="preserve"> </w:t>
      </w:r>
      <w:r w:rsidR="004A67DD" w:rsidRPr="004A67DD">
        <w:rPr>
          <w:lang w:val="en-US"/>
        </w:rPr>
        <w:t xml:space="preserve">stable. </w:t>
      </w:r>
      <w:r w:rsidR="004A75A5">
        <w:rPr>
          <w:lang w:val="en-US"/>
        </w:rPr>
        <w:t>D</w:t>
      </w:r>
      <w:r w:rsidR="00322659">
        <w:rPr>
          <w:lang w:val="en-US"/>
        </w:rPr>
        <w:t>emand for p</w:t>
      </w:r>
      <w:r w:rsidR="004A67DD" w:rsidRPr="004A67DD">
        <w:rPr>
          <w:lang w:val="en-US"/>
        </w:rPr>
        <w:t>roducts for the construction and coating industr</w:t>
      </w:r>
      <w:r w:rsidR="001770B5">
        <w:rPr>
          <w:lang w:val="en-US"/>
        </w:rPr>
        <w:t>ies</w:t>
      </w:r>
      <w:r w:rsidR="004A67DD" w:rsidRPr="004A67DD">
        <w:rPr>
          <w:lang w:val="en-US"/>
        </w:rPr>
        <w:t xml:space="preserve"> decline</w:t>
      </w:r>
      <w:r w:rsidR="004A75A5">
        <w:rPr>
          <w:lang w:val="en-US"/>
        </w:rPr>
        <w:t>d</w:t>
      </w:r>
      <w:r w:rsidR="004A67DD" w:rsidRPr="004A67DD">
        <w:rPr>
          <w:lang w:val="en-US"/>
        </w:rPr>
        <w:t xml:space="preserve"> </w:t>
      </w:r>
      <w:r w:rsidR="002355B7">
        <w:rPr>
          <w:lang w:val="en-US"/>
        </w:rPr>
        <w:t xml:space="preserve">in </w:t>
      </w:r>
      <w:r w:rsidR="004A67DD" w:rsidRPr="004A67DD">
        <w:rPr>
          <w:lang w:val="en-US"/>
        </w:rPr>
        <w:lastRenderedPageBreak/>
        <w:t xml:space="preserve">all regions. Sales of additives for polyurethane foams and consumer durables </w:t>
      </w:r>
      <w:r w:rsidR="00481D0B">
        <w:rPr>
          <w:lang w:val="en-US"/>
        </w:rPr>
        <w:t>decreased</w:t>
      </w:r>
      <w:r w:rsidR="004A67DD" w:rsidRPr="004A67DD">
        <w:rPr>
          <w:lang w:val="en-US"/>
        </w:rPr>
        <w:t xml:space="preserve"> </w:t>
      </w:r>
      <w:r w:rsidR="00525CA7" w:rsidRPr="004A67DD">
        <w:rPr>
          <w:lang w:val="en-US"/>
        </w:rPr>
        <w:t>because of</w:t>
      </w:r>
      <w:r w:rsidR="004A67DD" w:rsidRPr="004A67DD">
        <w:rPr>
          <w:lang w:val="en-US"/>
        </w:rPr>
        <w:t xml:space="preserve"> lower volumes and a slight drop in prices. Additives for the automotive sector </w:t>
      </w:r>
      <w:r w:rsidR="001A4D2D">
        <w:rPr>
          <w:lang w:val="en-US"/>
        </w:rPr>
        <w:t>suffered</w:t>
      </w:r>
      <w:r w:rsidR="001A4D2D" w:rsidRPr="004A67DD">
        <w:rPr>
          <w:lang w:val="en-US"/>
        </w:rPr>
        <w:t xml:space="preserve"> </w:t>
      </w:r>
      <w:r w:rsidR="004A67DD" w:rsidRPr="004A67DD">
        <w:rPr>
          <w:lang w:val="en-US"/>
        </w:rPr>
        <w:t xml:space="preserve">a </w:t>
      </w:r>
      <w:r w:rsidR="001A78C2">
        <w:rPr>
          <w:lang w:val="en-US"/>
        </w:rPr>
        <w:t xml:space="preserve">sales volume </w:t>
      </w:r>
      <w:r w:rsidR="004A67DD" w:rsidRPr="004A67DD">
        <w:rPr>
          <w:lang w:val="en-US"/>
        </w:rPr>
        <w:t xml:space="preserve">decline </w:t>
      </w:r>
      <w:r w:rsidR="000D4364">
        <w:rPr>
          <w:lang w:val="en-US"/>
        </w:rPr>
        <w:t>while</w:t>
      </w:r>
      <w:r w:rsidR="004A67DD" w:rsidRPr="004A67DD">
        <w:rPr>
          <w:lang w:val="en-US"/>
        </w:rPr>
        <w:t xml:space="preserve"> </w:t>
      </w:r>
      <w:r w:rsidR="000D4364" w:rsidRPr="004A67DD">
        <w:rPr>
          <w:lang w:val="en-US"/>
        </w:rPr>
        <w:t xml:space="preserve">prices </w:t>
      </w:r>
      <w:r w:rsidR="000D4364">
        <w:rPr>
          <w:lang w:val="en-US"/>
        </w:rPr>
        <w:t xml:space="preserve">held </w:t>
      </w:r>
      <w:r w:rsidR="000D4364" w:rsidRPr="004A67DD">
        <w:rPr>
          <w:lang w:val="en-US"/>
        </w:rPr>
        <w:t>stable</w:t>
      </w:r>
      <w:r w:rsidR="004A67DD" w:rsidRPr="004A67DD">
        <w:rPr>
          <w:lang w:val="en-US"/>
        </w:rPr>
        <w:t xml:space="preserve">. Adjusted EBITDA </w:t>
      </w:r>
      <w:r w:rsidR="00A23033">
        <w:rPr>
          <w:lang w:val="en-US"/>
        </w:rPr>
        <w:t xml:space="preserve">at the division </w:t>
      </w:r>
      <w:r w:rsidR="004A67DD" w:rsidRPr="004A67DD">
        <w:rPr>
          <w:lang w:val="en-US"/>
        </w:rPr>
        <w:t>fell by 29</w:t>
      </w:r>
      <w:r w:rsidR="000F4B89" w:rsidRPr="000F4B89">
        <w:rPr>
          <w:lang w:val="en-US"/>
        </w:rPr>
        <w:t xml:space="preserve"> </w:t>
      </w:r>
      <w:r w:rsidR="000F4B89">
        <w:rPr>
          <w:lang w:val="en-US"/>
        </w:rPr>
        <w:t>percent</w:t>
      </w:r>
      <w:r w:rsidR="004A67DD" w:rsidRPr="004A67DD">
        <w:rPr>
          <w:lang w:val="en-US"/>
        </w:rPr>
        <w:t xml:space="preserve"> to €673 million. The adjusted EBITDA margin fell from 22.6</w:t>
      </w:r>
      <w:r w:rsidR="000F4B89">
        <w:rPr>
          <w:lang w:val="en-US"/>
        </w:rPr>
        <w:t xml:space="preserve"> percent</w:t>
      </w:r>
      <w:r w:rsidR="004A67DD" w:rsidRPr="004A67DD">
        <w:rPr>
          <w:lang w:val="en-US"/>
        </w:rPr>
        <w:t xml:space="preserve"> in the previous year to 19.1</w:t>
      </w:r>
      <w:r w:rsidR="000F4B89">
        <w:rPr>
          <w:lang w:val="en-US"/>
        </w:rPr>
        <w:t xml:space="preserve"> percent</w:t>
      </w:r>
      <w:r w:rsidR="00E5017D">
        <w:rPr>
          <w:lang w:val="en-US"/>
        </w:rPr>
        <w:t xml:space="preserve"> in 2023</w:t>
      </w:r>
      <w:r w:rsidR="007C329E" w:rsidRPr="007C329E">
        <w:rPr>
          <w:lang w:val="en-US"/>
        </w:rPr>
        <w:t>.</w:t>
      </w:r>
    </w:p>
    <w:p w14:paraId="3E8AF51D" w14:textId="77777777" w:rsidR="00BA2C6E" w:rsidRDefault="00BA2C6E" w:rsidP="00BA2C6E">
      <w:pPr>
        <w:rPr>
          <w:lang w:val="en-US"/>
        </w:rPr>
      </w:pPr>
    </w:p>
    <w:p w14:paraId="7109C466" w14:textId="77777777" w:rsidR="002B44E5" w:rsidRDefault="00BE5166" w:rsidP="00D132C0">
      <w:pPr>
        <w:rPr>
          <w:lang w:val="en-US"/>
        </w:rPr>
      </w:pPr>
      <w:r w:rsidRPr="00BE5166">
        <w:rPr>
          <w:b/>
          <w:bCs/>
          <w:lang w:val="en-US"/>
        </w:rPr>
        <w:t>Nutrition &amp; Care</w:t>
      </w:r>
      <w:r>
        <w:rPr>
          <w:lang w:val="en-US"/>
        </w:rPr>
        <w:t xml:space="preserve">: </w:t>
      </w:r>
    </w:p>
    <w:p w14:paraId="58BF192A" w14:textId="4BB0F1DD" w:rsidR="00CF0A00" w:rsidRDefault="0055655D" w:rsidP="00D132C0">
      <w:pPr>
        <w:rPr>
          <w:lang w:val="en-US"/>
        </w:rPr>
      </w:pPr>
      <w:r w:rsidRPr="25CB468E">
        <w:rPr>
          <w:lang w:val="en-US"/>
        </w:rPr>
        <w:t>In</w:t>
      </w:r>
      <w:r w:rsidR="00E02C91" w:rsidRPr="25CB468E">
        <w:rPr>
          <w:lang w:val="en-US"/>
        </w:rPr>
        <w:t xml:space="preserve"> the</w:t>
      </w:r>
      <w:r w:rsidRPr="25CB468E">
        <w:rPr>
          <w:lang w:val="en-US"/>
        </w:rPr>
        <w:t xml:space="preserve"> Nutrition &amp; Care</w:t>
      </w:r>
      <w:r w:rsidR="00E02C91" w:rsidRPr="25CB468E">
        <w:rPr>
          <w:lang w:val="en-US"/>
        </w:rPr>
        <w:t xml:space="preserve"> division</w:t>
      </w:r>
      <w:r w:rsidRPr="25CB468E">
        <w:rPr>
          <w:lang w:val="en-US"/>
        </w:rPr>
        <w:t>, sales fell by 15</w:t>
      </w:r>
      <w:r w:rsidR="000F4B89" w:rsidRPr="25CB468E">
        <w:rPr>
          <w:lang w:val="en-US"/>
        </w:rPr>
        <w:t xml:space="preserve"> percent</w:t>
      </w:r>
      <w:r w:rsidRPr="25CB468E">
        <w:rPr>
          <w:lang w:val="en-US"/>
        </w:rPr>
        <w:t xml:space="preserve"> to €3.61 billion, </w:t>
      </w:r>
      <w:bookmarkStart w:id="8" w:name="_Int_RU51zSYl"/>
      <w:r w:rsidRPr="25CB468E">
        <w:rPr>
          <w:lang w:val="en-US"/>
        </w:rPr>
        <w:t>mainly due</w:t>
      </w:r>
      <w:bookmarkEnd w:id="8"/>
      <w:r w:rsidRPr="25CB468E">
        <w:rPr>
          <w:lang w:val="en-US"/>
        </w:rPr>
        <w:t xml:space="preserve"> to lower prices in </w:t>
      </w:r>
      <w:r w:rsidR="0025219A" w:rsidRPr="25CB468E">
        <w:rPr>
          <w:lang w:val="en-US"/>
        </w:rPr>
        <w:t xml:space="preserve">the </w:t>
      </w:r>
      <w:r w:rsidRPr="25CB468E">
        <w:rPr>
          <w:lang w:val="en-US"/>
        </w:rPr>
        <w:t>Animal Nutrition</w:t>
      </w:r>
      <w:r w:rsidR="0025219A" w:rsidRPr="25CB468E">
        <w:rPr>
          <w:lang w:val="en-US"/>
        </w:rPr>
        <w:t xml:space="preserve"> business</w:t>
      </w:r>
      <w:r w:rsidRPr="25CB468E">
        <w:rPr>
          <w:lang w:val="en-US"/>
        </w:rPr>
        <w:t xml:space="preserve"> and negative currency effects.</w:t>
      </w:r>
      <w:r w:rsidR="000F4B89" w:rsidRPr="25CB468E">
        <w:rPr>
          <w:lang w:val="en-US"/>
        </w:rPr>
        <w:t xml:space="preserve"> </w:t>
      </w:r>
      <w:r w:rsidRPr="25CB468E">
        <w:rPr>
          <w:lang w:val="en-US"/>
        </w:rPr>
        <w:t>Animal Nutrition recorded significantly lower prices for essential amino acids</w:t>
      </w:r>
      <w:r w:rsidR="006076C2" w:rsidRPr="25CB468E">
        <w:rPr>
          <w:lang w:val="en-US"/>
        </w:rPr>
        <w:t xml:space="preserve">, but </w:t>
      </w:r>
      <w:r w:rsidR="0BA49420" w:rsidRPr="25CB468E">
        <w:rPr>
          <w:lang w:val="en-US"/>
        </w:rPr>
        <w:t>t</w:t>
      </w:r>
      <w:r w:rsidR="006076C2" w:rsidRPr="25CB468E">
        <w:rPr>
          <w:lang w:val="en-US"/>
        </w:rPr>
        <w:t>he</w:t>
      </w:r>
      <w:r w:rsidRPr="25CB468E">
        <w:rPr>
          <w:lang w:val="en-US"/>
        </w:rPr>
        <w:t xml:space="preserve"> downward trend </w:t>
      </w:r>
      <w:r w:rsidR="00D72B0C" w:rsidRPr="25CB468E">
        <w:rPr>
          <w:lang w:val="en-US"/>
        </w:rPr>
        <w:t xml:space="preserve">slowed </w:t>
      </w:r>
      <w:r w:rsidRPr="25CB468E">
        <w:rPr>
          <w:lang w:val="en-US"/>
        </w:rPr>
        <w:t>in the second half of the year.</w:t>
      </w:r>
      <w:r w:rsidR="000F4B89" w:rsidRPr="25CB468E">
        <w:rPr>
          <w:lang w:val="en-US"/>
        </w:rPr>
        <w:t xml:space="preserve"> </w:t>
      </w:r>
      <w:r w:rsidRPr="25CB468E">
        <w:rPr>
          <w:lang w:val="en-US"/>
        </w:rPr>
        <w:t>Sales volumes increased slightly.</w:t>
      </w:r>
      <w:r w:rsidR="000F4B89" w:rsidRPr="25CB468E">
        <w:rPr>
          <w:lang w:val="en-US"/>
        </w:rPr>
        <w:t xml:space="preserve"> </w:t>
      </w:r>
      <w:r w:rsidRPr="25CB468E">
        <w:rPr>
          <w:lang w:val="en-US"/>
        </w:rPr>
        <w:t>Overall, Animal Nutrition's sales remained significantly below the previous year.</w:t>
      </w:r>
      <w:r w:rsidR="000F4B89" w:rsidRPr="25CB468E">
        <w:rPr>
          <w:lang w:val="en-US"/>
        </w:rPr>
        <w:t xml:space="preserve"> </w:t>
      </w:r>
      <w:r w:rsidR="00D24590" w:rsidRPr="25CB468E">
        <w:rPr>
          <w:lang w:val="en-US"/>
        </w:rPr>
        <w:t>I</w:t>
      </w:r>
      <w:r w:rsidRPr="25CB468E">
        <w:rPr>
          <w:lang w:val="en-US"/>
        </w:rPr>
        <w:t>n Health &amp; Care</w:t>
      </w:r>
      <w:r w:rsidR="00D24590" w:rsidRPr="25CB468E">
        <w:rPr>
          <w:lang w:val="en-US"/>
        </w:rPr>
        <w:t>, re</w:t>
      </w:r>
      <w:r w:rsidR="004D0F9A" w:rsidRPr="25CB468E">
        <w:rPr>
          <w:lang w:val="en-US"/>
        </w:rPr>
        <w:t>venue</w:t>
      </w:r>
      <w:r w:rsidRPr="25CB468E">
        <w:rPr>
          <w:lang w:val="en-US"/>
        </w:rPr>
        <w:t xml:space="preserve"> declined due to lower volumes</w:t>
      </w:r>
      <w:r w:rsidR="004D0F9A" w:rsidRPr="25CB468E">
        <w:rPr>
          <w:lang w:val="en-US"/>
        </w:rPr>
        <w:t xml:space="preserve"> despite a slight improvement in prices</w:t>
      </w:r>
      <w:r w:rsidRPr="25CB468E">
        <w:rPr>
          <w:lang w:val="en-US"/>
        </w:rPr>
        <w:t>.</w:t>
      </w:r>
      <w:r w:rsidR="003977C7" w:rsidRPr="25CB468E">
        <w:rPr>
          <w:lang w:val="en-US"/>
        </w:rPr>
        <w:t xml:space="preserve"> </w:t>
      </w:r>
      <w:r w:rsidRPr="25CB468E">
        <w:rPr>
          <w:lang w:val="en-US"/>
        </w:rPr>
        <w:t>Active cosmetic ingredients performed well, while demand for pharmaceutical lipids for use in mRNA-based vaccines declined.</w:t>
      </w:r>
      <w:r w:rsidR="00917A76" w:rsidRPr="25CB468E">
        <w:rPr>
          <w:lang w:val="en-US"/>
        </w:rPr>
        <w:t xml:space="preserve"> </w:t>
      </w:r>
      <w:r w:rsidRPr="25CB468E">
        <w:rPr>
          <w:lang w:val="en-US"/>
        </w:rPr>
        <w:t xml:space="preserve">Adjusted EBITDA </w:t>
      </w:r>
      <w:r w:rsidR="00A23033" w:rsidRPr="25CB468E">
        <w:rPr>
          <w:lang w:val="en-US"/>
        </w:rPr>
        <w:t xml:space="preserve">at the division </w:t>
      </w:r>
      <w:r w:rsidRPr="25CB468E">
        <w:rPr>
          <w:lang w:val="en-US"/>
        </w:rPr>
        <w:t>fell 43</w:t>
      </w:r>
      <w:r w:rsidR="000F4B89" w:rsidRPr="25CB468E">
        <w:rPr>
          <w:lang w:val="en-US"/>
        </w:rPr>
        <w:t xml:space="preserve"> percent</w:t>
      </w:r>
      <w:r w:rsidRPr="25CB468E">
        <w:rPr>
          <w:lang w:val="en-US"/>
        </w:rPr>
        <w:t xml:space="preserve"> to €389 million. At 10.8</w:t>
      </w:r>
      <w:r w:rsidR="000F4B89" w:rsidRPr="25CB468E">
        <w:rPr>
          <w:lang w:val="en-US"/>
        </w:rPr>
        <w:t xml:space="preserve"> percent</w:t>
      </w:r>
      <w:r w:rsidRPr="25CB468E">
        <w:rPr>
          <w:lang w:val="en-US"/>
        </w:rPr>
        <w:t>, the adjusted EBITDA margin was below the level of the same period in the previous year (16.0</w:t>
      </w:r>
      <w:r w:rsidR="000F4B89" w:rsidRPr="25CB468E">
        <w:rPr>
          <w:lang w:val="en-US"/>
        </w:rPr>
        <w:t xml:space="preserve"> percent</w:t>
      </w:r>
      <w:r w:rsidRPr="25CB468E">
        <w:rPr>
          <w:lang w:val="en-US"/>
        </w:rPr>
        <w:t>). In response to the weak performance, Evonik adjust</w:t>
      </w:r>
      <w:r w:rsidR="00BC6EFA" w:rsidRPr="25CB468E">
        <w:rPr>
          <w:lang w:val="en-US"/>
        </w:rPr>
        <w:t>ed</w:t>
      </w:r>
      <w:r w:rsidRPr="25CB468E">
        <w:rPr>
          <w:lang w:val="en-US"/>
        </w:rPr>
        <w:t xml:space="preserve"> the operating model for amino acids</w:t>
      </w:r>
      <w:r w:rsidR="00BC6EFA" w:rsidRPr="25CB468E">
        <w:rPr>
          <w:lang w:val="en-US"/>
        </w:rPr>
        <w:t xml:space="preserve"> at the beginning of the year</w:t>
      </w:r>
      <w:r w:rsidRPr="25CB468E">
        <w:rPr>
          <w:lang w:val="en-US"/>
        </w:rPr>
        <w:t xml:space="preserve">, which </w:t>
      </w:r>
      <w:r w:rsidR="00BC6EFA" w:rsidRPr="25CB468E">
        <w:rPr>
          <w:lang w:val="en-US"/>
        </w:rPr>
        <w:t xml:space="preserve">already yielded </w:t>
      </w:r>
      <w:r w:rsidR="486708AD" w:rsidRPr="25CB468E">
        <w:rPr>
          <w:lang w:val="en-US"/>
        </w:rPr>
        <w:t xml:space="preserve">noticeable </w:t>
      </w:r>
      <w:r w:rsidRPr="25CB468E">
        <w:rPr>
          <w:lang w:val="en-US"/>
        </w:rPr>
        <w:t xml:space="preserve">positive effects in 2023. Total savings of around €200 million </w:t>
      </w:r>
      <w:r w:rsidR="00EB1B72" w:rsidRPr="25CB468E">
        <w:rPr>
          <w:lang w:val="en-US"/>
        </w:rPr>
        <w:t>should materialize</w:t>
      </w:r>
      <w:r w:rsidRPr="25CB468E">
        <w:rPr>
          <w:lang w:val="en-US"/>
        </w:rPr>
        <w:t xml:space="preserve"> by 2025</w:t>
      </w:r>
      <w:r w:rsidR="00A333D9" w:rsidRPr="25CB468E">
        <w:rPr>
          <w:lang w:val="en-US"/>
        </w:rPr>
        <w:t>.</w:t>
      </w:r>
    </w:p>
    <w:p w14:paraId="029489DD" w14:textId="77777777" w:rsidR="00583CD3" w:rsidRDefault="00583CD3" w:rsidP="00D132C0">
      <w:pPr>
        <w:rPr>
          <w:lang w:val="en-US"/>
        </w:rPr>
      </w:pPr>
    </w:p>
    <w:p w14:paraId="59F54A39" w14:textId="77777777" w:rsidR="002B44E5" w:rsidRDefault="00BE5166" w:rsidP="004C578D">
      <w:pPr>
        <w:rPr>
          <w:lang w:val="en-US"/>
        </w:rPr>
      </w:pPr>
      <w:r w:rsidRPr="00BE5166">
        <w:rPr>
          <w:b/>
          <w:bCs/>
          <w:lang w:val="en-US"/>
        </w:rPr>
        <w:t>Smart Materials</w:t>
      </w:r>
      <w:r>
        <w:rPr>
          <w:lang w:val="en-US"/>
        </w:rPr>
        <w:t xml:space="preserve">: </w:t>
      </w:r>
    </w:p>
    <w:p w14:paraId="79B1C3AF" w14:textId="0352C69A" w:rsidR="00BA2C6E" w:rsidRDefault="004E4811" w:rsidP="004C578D">
      <w:pPr>
        <w:rPr>
          <w:lang w:val="en-US"/>
        </w:rPr>
      </w:pPr>
      <w:r w:rsidRPr="25CB468E">
        <w:rPr>
          <w:lang w:val="en-US"/>
        </w:rPr>
        <w:t xml:space="preserve">Sales in </w:t>
      </w:r>
      <w:r w:rsidR="00E02C91" w:rsidRPr="25CB468E">
        <w:rPr>
          <w:lang w:val="en-US"/>
        </w:rPr>
        <w:t xml:space="preserve">the </w:t>
      </w:r>
      <w:r w:rsidRPr="25CB468E">
        <w:rPr>
          <w:lang w:val="en-US"/>
        </w:rPr>
        <w:t xml:space="preserve">Smart Materials </w:t>
      </w:r>
      <w:r w:rsidR="00E02C91" w:rsidRPr="25CB468E">
        <w:rPr>
          <w:lang w:val="en-US"/>
        </w:rPr>
        <w:t xml:space="preserve">division </w:t>
      </w:r>
      <w:r w:rsidRPr="25CB468E">
        <w:rPr>
          <w:lang w:val="en-US"/>
        </w:rPr>
        <w:t>fell by 15</w:t>
      </w:r>
      <w:r w:rsidR="000F4B89" w:rsidRPr="25CB468E">
        <w:rPr>
          <w:lang w:val="en-US"/>
        </w:rPr>
        <w:t xml:space="preserve"> percent</w:t>
      </w:r>
      <w:r w:rsidRPr="25CB468E">
        <w:rPr>
          <w:lang w:val="en-US"/>
        </w:rPr>
        <w:t xml:space="preserve"> to €4.46 billion due to a noticeable d</w:t>
      </w:r>
      <w:r w:rsidR="00CD5D52" w:rsidRPr="25CB468E">
        <w:rPr>
          <w:lang w:val="en-US"/>
        </w:rPr>
        <w:t>rop</w:t>
      </w:r>
      <w:r w:rsidRPr="25CB468E">
        <w:rPr>
          <w:lang w:val="en-US"/>
        </w:rPr>
        <w:t xml:space="preserve"> in demand and negative currency effects. </w:t>
      </w:r>
      <w:r w:rsidR="00CD22E8" w:rsidRPr="25CB468E">
        <w:rPr>
          <w:lang w:val="en-US"/>
        </w:rPr>
        <w:t>P</w:t>
      </w:r>
      <w:r w:rsidRPr="25CB468E">
        <w:rPr>
          <w:lang w:val="en-US"/>
        </w:rPr>
        <w:t xml:space="preserve">rices remained stable. Inorganic products achieved significantly lower sales </w:t>
      </w:r>
      <w:r w:rsidR="00116973" w:rsidRPr="25CB468E">
        <w:rPr>
          <w:lang w:val="en-US"/>
        </w:rPr>
        <w:t>because of</w:t>
      </w:r>
      <w:r w:rsidRPr="25CB468E">
        <w:rPr>
          <w:lang w:val="en-US"/>
        </w:rPr>
        <w:t xml:space="preserve"> declining demand </w:t>
      </w:r>
      <w:r w:rsidR="006115B5" w:rsidRPr="25CB468E">
        <w:rPr>
          <w:lang w:val="en-US"/>
        </w:rPr>
        <w:t>in</w:t>
      </w:r>
      <w:r w:rsidRPr="25CB468E">
        <w:rPr>
          <w:lang w:val="en-US"/>
        </w:rPr>
        <w:t xml:space="preserve"> almost all market segments. While environmentally friendly specialty applications for hydrogen peroxide developed positively, production facilities in Asia </w:t>
      </w:r>
      <w:r w:rsidR="008F3451" w:rsidRPr="25CB468E">
        <w:rPr>
          <w:lang w:val="en-US"/>
        </w:rPr>
        <w:t>were</w:t>
      </w:r>
      <w:r w:rsidRPr="25CB468E">
        <w:rPr>
          <w:lang w:val="en-US"/>
        </w:rPr>
        <w:t xml:space="preserve"> </w:t>
      </w:r>
      <w:r w:rsidR="4B3889D9" w:rsidRPr="25CB468E">
        <w:rPr>
          <w:lang w:val="en-US"/>
        </w:rPr>
        <w:t>temporarily</w:t>
      </w:r>
      <w:r w:rsidRPr="25CB468E">
        <w:rPr>
          <w:lang w:val="en-US"/>
        </w:rPr>
        <w:t xml:space="preserve"> </w:t>
      </w:r>
      <w:r w:rsidR="008F3451" w:rsidRPr="25CB468E">
        <w:rPr>
          <w:lang w:val="en-US"/>
        </w:rPr>
        <w:t>idled</w:t>
      </w:r>
      <w:r w:rsidRPr="25CB468E">
        <w:rPr>
          <w:lang w:val="en-US"/>
        </w:rPr>
        <w:t xml:space="preserve"> </w:t>
      </w:r>
      <w:r w:rsidR="00B073C6" w:rsidRPr="25CB468E">
        <w:rPr>
          <w:lang w:val="en-US"/>
        </w:rPr>
        <w:t>due to</w:t>
      </w:r>
      <w:r w:rsidR="00BF7A7D" w:rsidRPr="25CB468E">
        <w:rPr>
          <w:lang w:val="en-US"/>
        </w:rPr>
        <w:t xml:space="preserve"> </w:t>
      </w:r>
      <w:r w:rsidRPr="25CB468E">
        <w:rPr>
          <w:lang w:val="en-US"/>
        </w:rPr>
        <w:t>lack</w:t>
      </w:r>
      <w:r w:rsidR="00BF7A7D" w:rsidRPr="25CB468E">
        <w:rPr>
          <w:lang w:val="en-US"/>
        </w:rPr>
        <w:t>luster</w:t>
      </w:r>
      <w:r w:rsidRPr="25CB468E">
        <w:rPr>
          <w:lang w:val="en-US"/>
        </w:rPr>
        <w:t xml:space="preserve"> demand. </w:t>
      </w:r>
      <w:r w:rsidR="006C10FF" w:rsidRPr="25CB468E">
        <w:rPr>
          <w:lang w:val="en-US"/>
        </w:rPr>
        <w:t>While s</w:t>
      </w:r>
      <w:r w:rsidRPr="25CB468E">
        <w:rPr>
          <w:lang w:val="en-US"/>
        </w:rPr>
        <w:t xml:space="preserve">ilicas for the automotive </w:t>
      </w:r>
      <w:r w:rsidR="000C5379" w:rsidRPr="25CB468E">
        <w:rPr>
          <w:lang w:val="en-US"/>
        </w:rPr>
        <w:t>industry</w:t>
      </w:r>
      <w:r w:rsidRPr="25CB468E">
        <w:rPr>
          <w:lang w:val="en-US"/>
        </w:rPr>
        <w:t xml:space="preserve"> </w:t>
      </w:r>
      <w:r w:rsidR="006F61BC" w:rsidRPr="25CB468E">
        <w:rPr>
          <w:lang w:val="en-US"/>
        </w:rPr>
        <w:t>saw a</w:t>
      </w:r>
      <w:r w:rsidRPr="25CB468E">
        <w:rPr>
          <w:lang w:val="en-US"/>
        </w:rPr>
        <w:t xml:space="preserve"> stable </w:t>
      </w:r>
      <w:r w:rsidR="005514B0" w:rsidRPr="25CB468E">
        <w:rPr>
          <w:lang w:val="en-US"/>
        </w:rPr>
        <w:t>trend</w:t>
      </w:r>
      <w:r w:rsidR="006F61BC" w:rsidRPr="25CB468E">
        <w:rPr>
          <w:lang w:val="en-US"/>
        </w:rPr>
        <w:t xml:space="preserve">, </w:t>
      </w:r>
      <w:r w:rsidRPr="25CB468E">
        <w:rPr>
          <w:lang w:val="en-US"/>
        </w:rPr>
        <w:t xml:space="preserve">demand was weaker in other end markets. </w:t>
      </w:r>
      <w:r w:rsidR="00A23033" w:rsidRPr="25CB468E">
        <w:rPr>
          <w:lang w:val="en-US"/>
        </w:rPr>
        <w:t>H</w:t>
      </w:r>
      <w:r w:rsidRPr="25CB468E">
        <w:rPr>
          <w:lang w:val="en-US"/>
        </w:rPr>
        <w:t xml:space="preserve">igh-performance polymers recorded both higher prices and volumes, supported by new production capacities. Adjusted EBITDA </w:t>
      </w:r>
      <w:r w:rsidR="00A23033" w:rsidRPr="25CB468E">
        <w:rPr>
          <w:lang w:val="en-US"/>
        </w:rPr>
        <w:t xml:space="preserve">at the division </w:t>
      </w:r>
      <w:r w:rsidRPr="25CB468E">
        <w:rPr>
          <w:lang w:val="en-US"/>
        </w:rPr>
        <w:t>decreased by 27</w:t>
      </w:r>
      <w:r w:rsidR="000F4B89" w:rsidRPr="25CB468E">
        <w:rPr>
          <w:lang w:val="en-US"/>
        </w:rPr>
        <w:t xml:space="preserve"> percent</w:t>
      </w:r>
      <w:r w:rsidRPr="25CB468E">
        <w:rPr>
          <w:lang w:val="en-US"/>
        </w:rPr>
        <w:t xml:space="preserve"> to €540 million. Earnings were </w:t>
      </w:r>
      <w:r w:rsidRPr="25CB468E">
        <w:rPr>
          <w:lang w:val="en-US"/>
        </w:rPr>
        <w:lastRenderedPageBreak/>
        <w:t>also negatively impacted by a planned maintenance shutdown for the high-performance plastic polyamide 12. At 12.1</w:t>
      </w:r>
      <w:r w:rsidR="000F4B89" w:rsidRPr="25CB468E">
        <w:rPr>
          <w:lang w:val="en-US"/>
        </w:rPr>
        <w:t xml:space="preserve"> percent</w:t>
      </w:r>
      <w:r w:rsidRPr="25CB468E">
        <w:rPr>
          <w:lang w:val="en-US"/>
        </w:rPr>
        <w:t>, the adjusted EBITDA margin was below the previous year</w:t>
      </w:r>
      <w:r w:rsidR="009E3102" w:rsidRPr="25CB468E">
        <w:rPr>
          <w:lang w:val="en-US"/>
        </w:rPr>
        <w:t xml:space="preserve"> </w:t>
      </w:r>
      <w:r w:rsidRPr="25CB468E">
        <w:rPr>
          <w:lang w:val="en-US"/>
        </w:rPr>
        <w:t>(14.2</w:t>
      </w:r>
      <w:r w:rsidR="000F4B89" w:rsidRPr="25CB468E">
        <w:rPr>
          <w:lang w:val="en-US"/>
        </w:rPr>
        <w:t xml:space="preserve"> percent</w:t>
      </w:r>
      <w:r w:rsidRPr="25CB468E">
        <w:rPr>
          <w:lang w:val="en-US"/>
        </w:rPr>
        <w:t>)</w:t>
      </w:r>
      <w:r w:rsidR="0076457A" w:rsidRPr="25CB468E">
        <w:rPr>
          <w:lang w:val="en-US"/>
        </w:rPr>
        <w:t>.</w:t>
      </w:r>
    </w:p>
    <w:p w14:paraId="17D2DB7B" w14:textId="77777777" w:rsidR="00440620" w:rsidRDefault="00440620" w:rsidP="005B3116">
      <w:pPr>
        <w:rPr>
          <w:lang w:val="en-US"/>
        </w:rPr>
      </w:pPr>
    </w:p>
    <w:p w14:paraId="101D41D5" w14:textId="77777777" w:rsidR="002B44E5" w:rsidRDefault="00BE5166" w:rsidP="00230AC6">
      <w:pPr>
        <w:rPr>
          <w:lang w:val="en-US"/>
        </w:rPr>
      </w:pPr>
      <w:r w:rsidRPr="00CE3A94">
        <w:rPr>
          <w:b/>
          <w:bCs/>
          <w:lang w:val="en-US"/>
        </w:rPr>
        <w:t>Performance Materials</w:t>
      </w:r>
      <w:r>
        <w:rPr>
          <w:lang w:val="en-US"/>
        </w:rPr>
        <w:t xml:space="preserve">: </w:t>
      </w:r>
    </w:p>
    <w:p w14:paraId="6EB8E4B6" w14:textId="43B9FB87" w:rsidR="00CF0A00" w:rsidRDefault="00933627" w:rsidP="00984BAA">
      <w:pPr>
        <w:rPr>
          <w:lang w:val="en-US"/>
        </w:rPr>
      </w:pPr>
      <w:r w:rsidRPr="00933627">
        <w:rPr>
          <w:lang w:val="en-US"/>
        </w:rPr>
        <w:t>Sales in the Performance Materials division fell by 22</w:t>
      </w:r>
      <w:r w:rsidR="000F4B89">
        <w:rPr>
          <w:lang w:val="en-US"/>
        </w:rPr>
        <w:t xml:space="preserve"> percent</w:t>
      </w:r>
      <w:r w:rsidRPr="00933627">
        <w:rPr>
          <w:lang w:val="en-US"/>
        </w:rPr>
        <w:t xml:space="preserve"> to €2.55 billion. The previous year included </w:t>
      </w:r>
      <w:r w:rsidR="009175F0">
        <w:rPr>
          <w:lang w:val="en-US"/>
        </w:rPr>
        <w:t>full</w:t>
      </w:r>
      <w:r w:rsidRPr="00933627">
        <w:rPr>
          <w:lang w:val="en-US"/>
        </w:rPr>
        <w:t xml:space="preserve"> annual sales </w:t>
      </w:r>
      <w:r w:rsidR="009175F0">
        <w:rPr>
          <w:lang w:val="en-US"/>
        </w:rPr>
        <w:t>for</w:t>
      </w:r>
      <w:r w:rsidRPr="00933627">
        <w:rPr>
          <w:lang w:val="en-US"/>
        </w:rPr>
        <w:t xml:space="preserve"> the site</w:t>
      </w:r>
      <w:r w:rsidR="00AE75C5" w:rsidRPr="00AE75C5">
        <w:rPr>
          <w:lang w:val="en-US"/>
        </w:rPr>
        <w:t xml:space="preserve"> </w:t>
      </w:r>
      <w:r w:rsidR="00AE75C5">
        <w:rPr>
          <w:lang w:val="en-US"/>
        </w:rPr>
        <w:t xml:space="preserve">in </w:t>
      </w:r>
      <w:proofErr w:type="spellStart"/>
      <w:r w:rsidR="00AE75C5" w:rsidRPr="00933627">
        <w:rPr>
          <w:lang w:val="en-US"/>
        </w:rPr>
        <w:t>L</w:t>
      </w:r>
      <w:r w:rsidR="00583CD3">
        <w:rPr>
          <w:lang w:val="en-US"/>
        </w:rPr>
        <w:t>ue</w:t>
      </w:r>
      <w:r w:rsidR="00AE75C5" w:rsidRPr="00933627">
        <w:rPr>
          <w:lang w:val="en-US"/>
        </w:rPr>
        <w:t>lsdorf</w:t>
      </w:r>
      <w:proofErr w:type="spellEnd"/>
      <w:r w:rsidRPr="00933627">
        <w:rPr>
          <w:lang w:val="en-US"/>
        </w:rPr>
        <w:t xml:space="preserve">, </w:t>
      </w:r>
      <w:r w:rsidR="00AE75C5">
        <w:rPr>
          <w:lang w:val="en-US"/>
        </w:rPr>
        <w:t xml:space="preserve">Germany, </w:t>
      </w:r>
      <w:r w:rsidRPr="00933627">
        <w:rPr>
          <w:lang w:val="en-US"/>
        </w:rPr>
        <w:t xml:space="preserve">which was sold on June 30, 2023. </w:t>
      </w:r>
      <w:r w:rsidR="00B43FE4">
        <w:rPr>
          <w:lang w:val="en-US"/>
        </w:rPr>
        <w:t>The b</w:t>
      </w:r>
      <w:r w:rsidRPr="00933627">
        <w:rPr>
          <w:lang w:val="en-US"/>
        </w:rPr>
        <w:t>usiness with products from the C</w:t>
      </w:r>
      <w:r w:rsidRPr="000F4B89">
        <w:rPr>
          <w:vertAlign w:val="subscript"/>
          <w:lang w:val="en-US"/>
        </w:rPr>
        <w:t>4</w:t>
      </w:r>
      <w:r w:rsidRPr="00933627">
        <w:rPr>
          <w:lang w:val="en-US"/>
        </w:rPr>
        <w:t xml:space="preserve"> </w:t>
      </w:r>
      <w:r w:rsidR="00D77973">
        <w:rPr>
          <w:lang w:val="en-US"/>
        </w:rPr>
        <w:t>chain</w:t>
      </w:r>
      <w:r w:rsidRPr="00933627">
        <w:rPr>
          <w:lang w:val="en-US"/>
        </w:rPr>
        <w:t xml:space="preserve"> </w:t>
      </w:r>
      <w:r w:rsidR="005512E0">
        <w:rPr>
          <w:lang w:val="en-US"/>
        </w:rPr>
        <w:t xml:space="preserve">saw </w:t>
      </w:r>
      <w:r w:rsidRPr="00933627">
        <w:rPr>
          <w:lang w:val="en-US"/>
        </w:rPr>
        <w:t>declin</w:t>
      </w:r>
      <w:r w:rsidR="005512E0">
        <w:rPr>
          <w:lang w:val="en-US"/>
        </w:rPr>
        <w:t>ing volumes</w:t>
      </w:r>
      <w:r w:rsidR="008031D2">
        <w:rPr>
          <w:lang w:val="en-US"/>
        </w:rPr>
        <w:t xml:space="preserve"> and</w:t>
      </w:r>
      <w:r w:rsidR="00B143B8">
        <w:rPr>
          <w:lang w:val="en-US"/>
        </w:rPr>
        <w:t xml:space="preserve"> significantly </w:t>
      </w:r>
      <w:r w:rsidRPr="00933627">
        <w:rPr>
          <w:lang w:val="en-US"/>
        </w:rPr>
        <w:t>lower</w:t>
      </w:r>
      <w:r w:rsidR="008031D2">
        <w:rPr>
          <w:lang w:val="en-US"/>
        </w:rPr>
        <w:t xml:space="preserve"> prices</w:t>
      </w:r>
      <w:r w:rsidRPr="00933627">
        <w:rPr>
          <w:lang w:val="en-US"/>
        </w:rPr>
        <w:t xml:space="preserve">. </w:t>
      </w:r>
      <w:r w:rsidR="00426265">
        <w:rPr>
          <w:lang w:val="en-US"/>
        </w:rPr>
        <w:t>As a result, s</w:t>
      </w:r>
      <w:r w:rsidRPr="00933627">
        <w:rPr>
          <w:lang w:val="en-US"/>
        </w:rPr>
        <w:t xml:space="preserve">ales </w:t>
      </w:r>
      <w:r w:rsidR="00426265" w:rsidRPr="00933627">
        <w:rPr>
          <w:lang w:val="en-US"/>
        </w:rPr>
        <w:t>de</w:t>
      </w:r>
      <w:r w:rsidR="00426265">
        <w:rPr>
          <w:lang w:val="en-US"/>
        </w:rPr>
        <w:t xml:space="preserve">creased </w:t>
      </w:r>
      <w:r w:rsidRPr="00933627">
        <w:rPr>
          <w:lang w:val="en-US"/>
        </w:rPr>
        <w:t xml:space="preserve">significantly. Sales of superabsorbents were also down due to lower demand from Europe. Adjusted EBITDA </w:t>
      </w:r>
      <w:r w:rsidR="00A23033">
        <w:rPr>
          <w:lang w:val="en-US"/>
        </w:rPr>
        <w:t xml:space="preserve">at the division </w:t>
      </w:r>
      <w:r w:rsidRPr="00933627">
        <w:rPr>
          <w:lang w:val="en-US"/>
        </w:rPr>
        <w:t>fell by 68</w:t>
      </w:r>
      <w:r w:rsidR="000F4B89">
        <w:rPr>
          <w:lang w:val="en-US"/>
        </w:rPr>
        <w:t xml:space="preserve"> percent</w:t>
      </w:r>
      <w:r w:rsidRPr="00933627">
        <w:rPr>
          <w:lang w:val="en-US"/>
        </w:rPr>
        <w:t xml:space="preserve"> to €111 million. The adjusted EBITDA margin fell from 10.8</w:t>
      </w:r>
      <w:r w:rsidR="000F4B89">
        <w:rPr>
          <w:lang w:val="en-US"/>
        </w:rPr>
        <w:t xml:space="preserve"> percent</w:t>
      </w:r>
      <w:r w:rsidR="00783487">
        <w:rPr>
          <w:lang w:val="en-US"/>
        </w:rPr>
        <w:t xml:space="preserve"> in 2022</w:t>
      </w:r>
      <w:r w:rsidRPr="00933627">
        <w:rPr>
          <w:lang w:val="en-US"/>
        </w:rPr>
        <w:t xml:space="preserve"> to 4.4</w:t>
      </w:r>
      <w:r w:rsidR="000F4B89">
        <w:rPr>
          <w:lang w:val="en-US"/>
        </w:rPr>
        <w:t xml:space="preserve"> percent</w:t>
      </w:r>
      <w:r w:rsidR="00783487">
        <w:rPr>
          <w:lang w:val="en-US"/>
        </w:rPr>
        <w:t xml:space="preserve"> in 2023</w:t>
      </w:r>
      <w:r w:rsidR="00230AC6" w:rsidRPr="00230AC6">
        <w:rPr>
          <w:lang w:val="en-US"/>
        </w:rPr>
        <w:t>.</w:t>
      </w:r>
    </w:p>
    <w:p w14:paraId="555DC474" w14:textId="77777777" w:rsidR="00CF0A00" w:rsidRDefault="00CF0A00" w:rsidP="00CF0A00">
      <w:pPr>
        <w:spacing w:line="240" w:lineRule="auto"/>
        <w:rPr>
          <w:lang w:val="en-US"/>
        </w:rPr>
      </w:pPr>
      <w:bookmarkStart w:id="9" w:name="RANGE!B37:N47"/>
      <w:bookmarkStart w:id="10" w:name="RANGE!B51:F62"/>
      <w:bookmarkEnd w:id="5"/>
      <w:bookmarkEnd w:id="9"/>
      <w:bookmarkEnd w:id="10"/>
    </w:p>
    <w:p w14:paraId="73C1505F" w14:textId="77777777" w:rsidR="00CB45CB" w:rsidRDefault="00CB45CB" w:rsidP="00CF0A00">
      <w:pPr>
        <w:spacing w:line="240" w:lineRule="auto"/>
        <w:rPr>
          <w:lang w:val="en-US"/>
        </w:rPr>
      </w:pPr>
    </w:p>
    <w:tbl>
      <w:tblPr>
        <w:tblW w:w="0" w:type="dxa"/>
        <w:tblLayout w:type="fixed"/>
        <w:tblCellMar>
          <w:left w:w="0" w:type="dxa"/>
          <w:right w:w="0" w:type="dxa"/>
        </w:tblCellMar>
        <w:tblLook w:val="04A0" w:firstRow="1" w:lastRow="0" w:firstColumn="1" w:lastColumn="0" w:noHBand="0" w:noVBand="1"/>
        <w:tblDescription w:val="SNEID_b1e7300309d644548b2e448a0b24ee15"/>
      </w:tblPr>
      <w:tblGrid>
        <w:gridCol w:w="2914"/>
        <w:gridCol w:w="119"/>
        <w:gridCol w:w="1021"/>
        <w:gridCol w:w="119"/>
        <w:gridCol w:w="1021"/>
        <w:gridCol w:w="119"/>
        <w:gridCol w:w="1021"/>
        <w:gridCol w:w="119"/>
        <w:gridCol w:w="1021"/>
        <w:gridCol w:w="119"/>
        <w:gridCol w:w="1021"/>
        <w:gridCol w:w="119"/>
        <w:gridCol w:w="1021"/>
      </w:tblGrid>
      <w:tr w:rsidR="00325294" w:rsidRPr="0045457D" w14:paraId="5F48EFC3" w14:textId="77777777" w:rsidTr="00F7615C">
        <w:tc>
          <w:tcPr>
            <w:tcW w:w="9754" w:type="dxa"/>
            <w:gridSpan w:val="13"/>
            <w:vAlign w:val="bottom"/>
          </w:tcPr>
          <w:p w14:paraId="7A45B54B" w14:textId="77777777" w:rsidR="00325294" w:rsidRDefault="00325294" w:rsidP="00F7615C">
            <w:pPr>
              <w:pStyle w:val="TTitleText"/>
            </w:pPr>
            <w:bookmarkStart w:id="11" w:name="SNEID_b1e7300309d644548b2e448a0b24ee15"/>
            <w:r>
              <w:t>Excerpt from the income statement</w:t>
            </w:r>
          </w:p>
        </w:tc>
      </w:tr>
      <w:tr w:rsidR="00325294" w:rsidRPr="0045457D" w14:paraId="0C3A3927" w14:textId="77777777" w:rsidTr="00F7615C">
        <w:tc>
          <w:tcPr>
            <w:tcW w:w="2914" w:type="dxa"/>
            <w:tcBorders>
              <w:top w:val="single" w:sz="8" w:space="0" w:color="000000"/>
            </w:tcBorders>
            <w:vAlign w:val="bottom"/>
          </w:tcPr>
          <w:p w14:paraId="0C22ECE0" w14:textId="77777777" w:rsidR="00325294" w:rsidRDefault="00325294" w:rsidP="00F7615C">
            <w:pPr>
              <w:pStyle w:val="TDummy"/>
              <w:keepNext/>
            </w:pPr>
          </w:p>
        </w:tc>
        <w:tc>
          <w:tcPr>
            <w:tcW w:w="119" w:type="dxa"/>
            <w:tcBorders>
              <w:top w:val="single" w:sz="8" w:space="0" w:color="000000"/>
            </w:tcBorders>
            <w:vAlign w:val="bottom"/>
          </w:tcPr>
          <w:p w14:paraId="32E60978" w14:textId="77777777" w:rsidR="00325294" w:rsidRDefault="00325294" w:rsidP="00F7615C">
            <w:pPr>
              <w:pStyle w:val="TDummy"/>
              <w:keepNext/>
            </w:pPr>
          </w:p>
        </w:tc>
        <w:tc>
          <w:tcPr>
            <w:tcW w:w="1021" w:type="dxa"/>
            <w:tcBorders>
              <w:top w:val="single" w:sz="8" w:space="0" w:color="000000"/>
            </w:tcBorders>
            <w:vAlign w:val="bottom"/>
          </w:tcPr>
          <w:p w14:paraId="3E060DFF" w14:textId="77777777" w:rsidR="00325294" w:rsidRDefault="00325294" w:rsidP="00F7615C">
            <w:pPr>
              <w:pStyle w:val="TDummy"/>
              <w:keepNext/>
            </w:pPr>
          </w:p>
        </w:tc>
        <w:tc>
          <w:tcPr>
            <w:tcW w:w="119" w:type="dxa"/>
            <w:tcBorders>
              <w:top w:val="single" w:sz="8" w:space="0" w:color="000000"/>
            </w:tcBorders>
            <w:vAlign w:val="bottom"/>
          </w:tcPr>
          <w:p w14:paraId="0953BB78" w14:textId="77777777" w:rsidR="00325294" w:rsidRDefault="00325294" w:rsidP="00F7615C">
            <w:pPr>
              <w:pStyle w:val="TDummy"/>
              <w:keepNext/>
            </w:pPr>
          </w:p>
        </w:tc>
        <w:tc>
          <w:tcPr>
            <w:tcW w:w="1021" w:type="dxa"/>
            <w:tcBorders>
              <w:top w:val="single" w:sz="8" w:space="0" w:color="000000"/>
            </w:tcBorders>
            <w:vAlign w:val="bottom"/>
          </w:tcPr>
          <w:p w14:paraId="6C4B972C" w14:textId="77777777" w:rsidR="00325294" w:rsidRDefault="00325294" w:rsidP="00F7615C">
            <w:pPr>
              <w:pStyle w:val="TDummy"/>
              <w:keepNext/>
            </w:pPr>
          </w:p>
        </w:tc>
        <w:tc>
          <w:tcPr>
            <w:tcW w:w="119" w:type="dxa"/>
            <w:tcBorders>
              <w:top w:val="single" w:sz="8" w:space="0" w:color="000000"/>
            </w:tcBorders>
            <w:vAlign w:val="bottom"/>
          </w:tcPr>
          <w:p w14:paraId="2AF3761C" w14:textId="77777777" w:rsidR="00325294" w:rsidRDefault="00325294" w:rsidP="00F7615C">
            <w:pPr>
              <w:pStyle w:val="TDummy"/>
              <w:keepNext/>
            </w:pPr>
          </w:p>
        </w:tc>
        <w:tc>
          <w:tcPr>
            <w:tcW w:w="1021" w:type="dxa"/>
            <w:tcBorders>
              <w:top w:val="single" w:sz="8" w:space="0" w:color="000000"/>
            </w:tcBorders>
            <w:vAlign w:val="bottom"/>
          </w:tcPr>
          <w:p w14:paraId="5906E537" w14:textId="77777777" w:rsidR="00325294" w:rsidRDefault="00325294" w:rsidP="00F7615C">
            <w:pPr>
              <w:pStyle w:val="TDummy"/>
              <w:keepNext/>
            </w:pPr>
          </w:p>
        </w:tc>
        <w:tc>
          <w:tcPr>
            <w:tcW w:w="119" w:type="dxa"/>
            <w:tcBorders>
              <w:top w:val="single" w:sz="8" w:space="0" w:color="000000"/>
            </w:tcBorders>
            <w:vAlign w:val="bottom"/>
          </w:tcPr>
          <w:p w14:paraId="78944F09" w14:textId="77777777" w:rsidR="00325294" w:rsidRDefault="00325294" w:rsidP="00F7615C">
            <w:pPr>
              <w:pStyle w:val="TDummy"/>
              <w:keepNext/>
            </w:pPr>
          </w:p>
        </w:tc>
        <w:tc>
          <w:tcPr>
            <w:tcW w:w="1021" w:type="dxa"/>
            <w:tcBorders>
              <w:top w:val="single" w:sz="8" w:space="0" w:color="000000"/>
            </w:tcBorders>
            <w:vAlign w:val="bottom"/>
          </w:tcPr>
          <w:p w14:paraId="6CA90739" w14:textId="77777777" w:rsidR="00325294" w:rsidRDefault="00325294" w:rsidP="00F7615C">
            <w:pPr>
              <w:pStyle w:val="TDummy"/>
              <w:keepNext/>
            </w:pPr>
          </w:p>
        </w:tc>
        <w:tc>
          <w:tcPr>
            <w:tcW w:w="119" w:type="dxa"/>
            <w:tcBorders>
              <w:top w:val="single" w:sz="8" w:space="0" w:color="000000"/>
            </w:tcBorders>
            <w:vAlign w:val="bottom"/>
          </w:tcPr>
          <w:p w14:paraId="2B8718C2" w14:textId="77777777" w:rsidR="00325294" w:rsidRDefault="00325294" w:rsidP="00F7615C">
            <w:pPr>
              <w:pStyle w:val="TDummy"/>
              <w:keepNext/>
            </w:pPr>
          </w:p>
        </w:tc>
        <w:tc>
          <w:tcPr>
            <w:tcW w:w="1021" w:type="dxa"/>
            <w:tcBorders>
              <w:top w:val="single" w:sz="8" w:space="0" w:color="000000"/>
            </w:tcBorders>
            <w:vAlign w:val="bottom"/>
          </w:tcPr>
          <w:p w14:paraId="78CD9879" w14:textId="77777777" w:rsidR="00325294" w:rsidRDefault="00325294" w:rsidP="00F7615C">
            <w:pPr>
              <w:pStyle w:val="TDummy"/>
              <w:keepNext/>
            </w:pPr>
          </w:p>
        </w:tc>
        <w:tc>
          <w:tcPr>
            <w:tcW w:w="119" w:type="dxa"/>
            <w:tcBorders>
              <w:top w:val="single" w:sz="8" w:space="0" w:color="000000"/>
            </w:tcBorders>
            <w:vAlign w:val="bottom"/>
          </w:tcPr>
          <w:p w14:paraId="025F5D89" w14:textId="77777777" w:rsidR="00325294" w:rsidRDefault="00325294" w:rsidP="00F7615C">
            <w:pPr>
              <w:pStyle w:val="TDummy"/>
              <w:keepNext/>
            </w:pPr>
          </w:p>
        </w:tc>
        <w:tc>
          <w:tcPr>
            <w:tcW w:w="1021" w:type="dxa"/>
            <w:tcBorders>
              <w:top w:val="single" w:sz="8" w:space="0" w:color="000000"/>
            </w:tcBorders>
            <w:vAlign w:val="bottom"/>
          </w:tcPr>
          <w:p w14:paraId="1F9402C0" w14:textId="77777777" w:rsidR="00325294" w:rsidRDefault="00325294" w:rsidP="00F7615C">
            <w:pPr>
              <w:pStyle w:val="TDummy"/>
              <w:keepNext/>
            </w:pPr>
          </w:p>
        </w:tc>
      </w:tr>
      <w:tr w:rsidR="00325294" w14:paraId="4A4CB164" w14:textId="77777777" w:rsidTr="00F7615C">
        <w:tc>
          <w:tcPr>
            <w:tcW w:w="2914" w:type="dxa"/>
            <w:shd w:val="clear" w:color="000000" w:fill="FFFFFF"/>
            <w:vAlign w:val="bottom"/>
          </w:tcPr>
          <w:p w14:paraId="30AF3688" w14:textId="77777777" w:rsidR="00325294" w:rsidRPr="003352A4" w:rsidRDefault="00325294" w:rsidP="00F7615C">
            <w:pPr>
              <w:pStyle w:val="THeadfirstNumber"/>
              <w:rPr>
                <w:lang w:val="en-US"/>
              </w:rPr>
            </w:pPr>
          </w:p>
        </w:tc>
        <w:tc>
          <w:tcPr>
            <w:tcW w:w="119" w:type="dxa"/>
            <w:vAlign w:val="bottom"/>
          </w:tcPr>
          <w:p w14:paraId="4CCBBD12" w14:textId="77777777" w:rsidR="00325294" w:rsidRPr="003352A4" w:rsidRDefault="00325294" w:rsidP="00F7615C">
            <w:pPr>
              <w:pStyle w:val="THeadfirstNumber"/>
              <w:rPr>
                <w:lang w:val="en-US"/>
              </w:rPr>
            </w:pPr>
          </w:p>
        </w:tc>
        <w:tc>
          <w:tcPr>
            <w:tcW w:w="3301" w:type="dxa"/>
            <w:gridSpan w:val="5"/>
            <w:tcBorders>
              <w:bottom w:val="single" w:sz="4" w:space="0" w:color="A59C94"/>
            </w:tcBorders>
            <w:shd w:val="clear" w:color="000000" w:fill="FFFFFF"/>
            <w:vAlign w:val="bottom"/>
          </w:tcPr>
          <w:p w14:paraId="3F21482F" w14:textId="77777777" w:rsidR="00325294" w:rsidRDefault="00325294" w:rsidP="00F7615C">
            <w:pPr>
              <w:pStyle w:val="THeadfirstNumber"/>
            </w:pPr>
            <w:r>
              <w:t>4th quarter</w:t>
            </w:r>
          </w:p>
        </w:tc>
        <w:tc>
          <w:tcPr>
            <w:tcW w:w="119" w:type="dxa"/>
            <w:vAlign w:val="bottom"/>
          </w:tcPr>
          <w:p w14:paraId="7ADB1B72" w14:textId="77777777" w:rsidR="00325294" w:rsidRDefault="00325294" w:rsidP="00F7615C">
            <w:pPr>
              <w:pStyle w:val="THeadfirstNumber"/>
            </w:pPr>
          </w:p>
        </w:tc>
        <w:tc>
          <w:tcPr>
            <w:tcW w:w="3301" w:type="dxa"/>
            <w:gridSpan w:val="5"/>
            <w:tcBorders>
              <w:bottom w:val="single" w:sz="4" w:space="0" w:color="A59C94"/>
            </w:tcBorders>
            <w:shd w:val="clear" w:color="000000" w:fill="FFFFFF"/>
            <w:vAlign w:val="bottom"/>
          </w:tcPr>
          <w:p w14:paraId="42B8E597" w14:textId="77777777" w:rsidR="00325294" w:rsidRDefault="00325294" w:rsidP="00F7615C">
            <w:pPr>
              <w:pStyle w:val="THeadfirstNumber"/>
            </w:pPr>
            <w:r>
              <w:t>Full year</w:t>
            </w:r>
          </w:p>
        </w:tc>
      </w:tr>
      <w:tr w:rsidR="00325294" w14:paraId="05C48B67" w14:textId="77777777" w:rsidTr="00F7615C">
        <w:tc>
          <w:tcPr>
            <w:tcW w:w="2914" w:type="dxa"/>
            <w:tcBorders>
              <w:bottom w:val="single" w:sz="4" w:space="0" w:color="000000"/>
            </w:tcBorders>
            <w:shd w:val="clear" w:color="000000" w:fill="FFFFFF"/>
            <w:vAlign w:val="bottom"/>
          </w:tcPr>
          <w:p w14:paraId="7B3E1381" w14:textId="77777777" w:rsidR="00325294" w:rsidRDefault="00325294" w:rsidP="00F7615C">
            <w:pPr>
              <w:pStyle w:val="THeadlastText"/>
            </w:pPr>
            <w:r>
              <w:t>in € million</w:t>
            </w:r>
          </w:p>
        </w:tc>
        <w:tc>
          <w:tcPr>
            <w:tcW w:w="119" w:type="dxa"/>
            <w:vAlign w:val="bottom"/>
          </w:tcPr>
          <w:p w14:paraId="177F3553"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062D7591" w14:textId="77777777" w:rsidR="00325294" w:rsidRDefault="00325294" w:rsidP="00F7615C">
            <w:pPr>
              <w:pStyle w:val="THeadlastNumber"/>
            </w:pPr>
            <w:r>
              <w:t>2022</w:t>
            </w:r>
          </w:p>
        </w:tc>
        <w:tc>
          <w:tcPr>
            <w:tcW w:w="119" w:type="dxa"/>
            <w:vAlign w:val="bottom"/>
          </w:tcPr>
          <w:p w14:paraId="1903E8EF"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460BE793" w14:textId="77777777" w:rsidR="00325294" w:rsidRDefault="00325294" w:rsidP="00F7615C">
            <w:pPr>
              <w:pStyle w:val="THeadlastNumberbold"/>
            </w:pPr>
            <w:r>
              <w:t>2023</w:t>
            </w:r>
          </w:p>
        </w:tc>
        <w:tc>
          <w:tcPr>
            <w:tcW w:w="119" w:type="dxa"/>
            <w:vAlign w:val="bottom"/>
          </w:tcPr>
          <w:p w14:paraId="51BFC892"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457E5E88" w14:textId="77777777" w:rsidR="00325294" w:rsidRDefault="00325294" w:rsidP="00F7615C">
            <w:pPr>
              <w:pStyle w:val="THeaddifferenceNumber"/>
              <w:keepNext/>
            </w:pPr>
            <w:r>
              <w:t>Change in %</w:t>
            </w:r>
          </w:p>
        </w:tc>
        <w:tc>
          <w:tcPr>
            <w:tcW w:w="119" w:type="dxa"/>
            <w:vAlign w:val="bottom"/>
          </w:tcPr>
          <w:p w14:paraId="1BFD6AEA"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63FB4EE0" w14:textId="77777777" w:rsidR="00325294" w:rsidRDefault="00325294" w:rsidP="00F7615C">
            <w:pPr>
              <w:pStyle w:val="THeadlastNumber"/>
            </w:pPr>
            <w:r>
              <w:t>2022</w:t>
            </w:r>
          </w:p>
        </w:tc>
        <w:tc>
          <w:tcPr>
            <w:tcW w:w="119" w:type="dxa"/>
            <w:vAlign w:val="bottom"/>
          </w:tcPr>
          <w:p w14:paraId="3B0DC63C"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1A7AC3FD" w14:textId="77777777" w:rsidR="00325294" w:rsidRDefault="00325294" w:rsidP="00F7615C">
            <w:pPr>
              <w:pStyle w:val="THeadlastNumberbold"/>
            </w:pPr>
            <w:r>
              <w:t>2023</w:t>
            </w:r>
          </w:p>
        </w:tc>
        <w:tc>
          <w:tcPr>
            <w:tcW w:w="119" w:type="dxa"/>
            <w:vAlign w:val="bottom"/>
          </w:tcPr>
          <w:p w14:paraId="72BD92BB" w14:textId="77777777" w:rsidR="00325294" w:rsidRDefault="00325294" w:rsidP="00F7615C">
            <w:pPr>
              <w:pStyle w:val="THeadlastNumber"/>
            </w:pPr>
          </w:p>
        </w:tc>
        <w:tc>
          <w:tcPr>
            <w:tcW w:w="1021" w:type="dxa"/>
            <w:tcBorders>
              <w:top w:val="single" w:sz="4" w:space="0" w:color="A59C94"/>
              <w:bottom w:val="single" w:sz="4" w:space="0" w:color="000000"/>
            </w:tcBorders>
            <w:shd w:val="clear" w:color="000000" w:fill="FFFFFF"/>
            <w:vAlign w:val="bottom"/>
          </w:tcPr>
          <w:p w14:paraId="6DB2F742" w14:textId="77777777" w:rsidR="00325294" w:rsidRDefault="00325294" w:rsidP="00F7615C">
            <w:pPr>
              <w:pStyle w:val="THeaddifferenceNumber"/>
              <w:keepNext/>
            </w:pPr>
            <w:r>
              <w:t>Change in %</w:t>
            </w:r>
          </w:p>
        </w:tc>
      </w:tr>
      <w:tr w:rsidR="00325294" w14:paraId="7DED66AF" w14:textId="77777777" w:rsidTr="00F7615C">
        <w:tc>
          <w:tcPr>
            <w:tcW w:w="2914" w:type="dxa"/>
            <w:tcBorders>
              <w:top w:val="single" w:sz="4" w:space="0" w:color="000000"/>
              <w:bottom w:val="single" w:sz="4" w:space="0" w:color="A59C94"/>
            </w:tcBorders>
            <w:vAlign w:val="bottom"/>
          </w:tcPr>
          <w:p w14:paraId="60249B99" w14:textId="77777777" w:rsidR="00325294" w:rsidRDefault="00325294" w:rsidP="00F7615C">
            <w:pPr>
              <w:pStyle w:val="TBodysubtotalText"/>
              <w:keepNext/>
            </w:pPr>
            <w:r>
              <w:t>Sales</w:t>
            </w:r>
          </w:p>
        </w:tc>
        <w:tc>
          <w:tcPr>
            <w:tcW w:w="119" w:type="dxa"/>
            <w:vAlign w:val="bottom"/>
          </w:tcPr>
          <w:p w14:paraId="77722AB9" w14:textId="77777777" w:rsidR="00325294" w:rsidRDefault="00325294" w:rsidP="00F7615C">
            <w:pPr>
              <w:pStyle w:val="TBodysubtotalNumber"/>
              <w:keepNext/>
            </w:pPr>
          </w:p>
        </w:tc>
        <w:tc>
          <w:tcPr>
            <w:tcW w:w="1021" w:type="dxa"/>
            <w:tcBorders>
              <w:top w:val="single" w:sz="4" w:space="0" w:color="000000"/>
              <w:bottom w:val="single" w:sz="4" w:space="0" w:color="A59C94"/>
            </w:tcBorders>
            <w:vAlign w:val="bottom"/>
          </w:tcPr>
          <w:p w14:paraId="71DDFBDB" w14:textId="77777777" w:rsidR="00325294" w:rsidRDefault="00325294" w:rsidP="00F7615C">
            <w:pPr>
              <w:pStyle w:val="TBodysubtotalNumber"/>
              <w:keepNext/>
            </w:pPr>
            <w:r>
              <w:t>4,340</w:t>
            </w:r>
          </w:p>
        </w:tc>
        <w:tc>
          <w:tcPr>
            <w:tcW w:w="119" w:type="dxa"/>
            <w:vAlign w:val="bottom"/>
          </w:tcPr>
          <w:p w14:paraId="6C13FC1D" w14:textId="77777777" w:rsidR="00325294" w:rsidRDefault="00325294" w:rsidP="00F7615C">
            <w:pPr>
              <w:pStyle w:val="TBodysubtotalNumber"/>
              <w:keepNext/>
            </w:pPr>
          </w:p>
        </w:tc>
        <w:tc>
          <w:tcPr>
            <w:tcW w:w="1021" w:type="dxa"/>
            <w:tcBorders>
              <w:top w:val="single" w:sz="4" w:space="0" w:color="000000"/>
              <w:bottom w:val="single" w:sz="4" w:space="0" w:color="A59C94"/>
            </w:tcBorders>
            <w:shd w:val="clear" w:color="000000" w:fill="DAD5C9"/>
            <w:vAlign w:val="bottom"/>
          </w:tcPr>
          <w:p w14:paraId="55BBD29B" w14:textId="77777777" w:rsidR="00325294" w:rsidRDefault="00325294" w:rsidP="00F7615C">
            <w:pPr>
              <w:pStyle w:val="TBodysubtotalNumber"/>
              <w:keepNext/>
            </w:pPr>
            <w:r>
              <w:t>3,604</w:t>
            </w:r>
          </w:p>
        </w:tc>
        <w:tc>
          <w:tcPr>
            <w:tcW w:w="119" w:type="dxa"/>
            <w:vAlign w:val="bottom"/>
          </w:tcPr>
          <w:p w14:paraId="218B57B5" w14:textId="77777777" w:rsidR="00325294" w:rsidRDefault="00325294" w:rsidP="00F7615C">
            <w:pPr>
              <w:pStyle w:val="TBodysubtotalNumber"/>
              <w:keepNext/>
            </w:pPr>
          </w:p>
        </w:tc>
        <w:tc>
          <w:tcPr>
            <w:tcW w:w="1021" w:type="dxa"/>
            <w:tcBorders>
              <w:top w:val="single" w:sz="4" w:space="0" w:color="000000"/>
              <w:bottom w:val="single" w:sz="4" w:space="0" w:color="A59C94"/>
            </w:tcBorders>
            <w:vAlign w:val="bottom"/>
          </w:tcPr>
          <w:p w14:paraId="79B07498" w14:textId="77777777" w:rsidR="00325294" w:rsidRDefault="00325294" w:rsidP="00F7615C">
            <w:pPr>
              <w:pStyle w:val="TBodysubtotalNumber"/>
              <w:keepNext/>
            </w:pPr>
            <w:r>
              <w:t>-17</w:t>
            </w:r>
          </w:p>
        </w:tc>
        <w:tc>
          <w:tcPr>
            <w:tcW w:w="119" w:type="dxa"/>
            <w:vAlign w:val="bottom"/>
          </w:tcPr>
          <w:p w14:paraId="0175F41E" w14:textId="77777777" w:rsidR="00325294" w:rsidRDefault="00325294" w:rsidP="00F7615C">
            <w:pPr>
              <w:pStyle w:val="TBodysubtotalNumber"/>
              <w:keepNext/>
            </w:pPr>
          </w:p>
        </w:tc>
        <w:tc>
          <w:tcPr>
            <w:tcW w:w="1021" w:type="dxa"/>
            <w:tcBorders>
              <w:top w:val="single" w:sz="4" w:space="0" w:color="000000"/>
              <w:bottom w:val="single" w:sz="4" w:space="0" w:color="A59C94"/>
            </w:tcBorders>
            <w:vAlign w:val="bottom"/>
          </w:tcPr>
          <w:p w14:paraId="2522D0FB" w14:textId="77777777" w:rsidR="00325294" w:rsidRDefault="00325294" w:rsidP="00F7615C">
            <w:pPr>
              <w:pStyle w:val="TBodysubtotalNumber"/>
              <w:keepNext/>
            </w:pPr>
            <w:r>
              <w:t>18,488</w:t>
            </w:r>
          </w:p>
        </w:tc>
        <w:tc>
          <w:tcPr>
            <w:tcW w:w="119" w:type="dxa"/>
            <w:vAlign w:val="bottom"/>
          </w:tcPr>
          <w:p w14:paraId="43B7FBDC" w14:textId="77777777" w:rsidR="00325294" w:rsidRDefault="00325294" w:rsidP="00F7615C">
            <w:pPr>
              <w:pStyle w:val="TBodysubtotalNumber"/>
              <w:keepNext/>
            </w:pPr>
          </w:p>
        </w:tc>
        <w:tc>
          <w:tcPr>
            <w:tcW w:w="1021" w:type="dxa"/>
            <w:tcBorders>
              <w:top w:val="single" w:sz="4" w:space="0" w:color="000000"/>
              <w:bottom w:val="single" w:sz="4" w:space="0" w:color="A59C94"/>
            </w:tcBorders>
            <w:shd w:val="clear" w:color="000000" w:fill="DAD5C9"/>
            <w:vAlign w:val="bottom"/>
          </w:tcPr>
          <w:p w14:paraId="044601A0" w14:textId="77777777" w:rsidR="00325294" w:rsidRDefault="00325294" w:rsidP="00F7615C">
            <w:pPr>
              <w:pStyle w:val="TBodysubtotalNumber"/>
              <w:keepNext/>
            </w:pPr>
            <w:r>
              <w:t>15,267</w:t>
            </w:r>
          </w:p>
        </w:tc>
        <w:tc>
          <w:tcPr>
            <w:tcW w:w="119" w:type="dxa"/>
            <w:vAlign w:val="bottom"/>
          </w:tcPr>
          <w:p w14:paraId="0CB91911" w14:textId="77777777" w:rsidR="00325294" w:rsidRDefault="00325294" w:rsidP="00F7615C">
            <w:pPr>
              <w:pStyle w:val="TBodysubtotalNumber"/>
              <w:keepNext/>
            </w:pPr>
          </w:p>
        </w:tc>
        <w:tc>
          <w:tcPr>
            <w:tcW w:w="1021" w:type="dxa"/>
            <w:tcBorders>
              <w:top w:val="single" w:sz="4" w:space="0" w:color="000000"/>
              <w:bottom w:val="single" w:sz="4" w:space="0" w:color="A59C94"/>
            </w:tcBorders>
            <w:vAlign w:val="bottom"/>
          </w:tcPr>
          <w:p w14:paraId="34034EA9" w14:textId="77777777" w:rsidR="00325294" w:rsidRDefault="00325294" w:rsidP="00F7615C">
            <w:pPr>
              <w:pStyle w:val="TBodysubtotalNumber"/>
              <w:keepNext/>
            </w:pPr>
            <w:r>
              <w:t>-17</w:t>
            </w:r>
          </w:p>
        </w:tc>
      </w:tr>
      <w:tr w:rsidR="00325294" w14:paraId="107B6461" w14:textId="77777777" w:rsidTr="00F7615C">
        <w:tc>
          <w:tcPr>
            <w:tcW w:w="2914" w:type="dxa"/>
            <w:tcBorders>
              <w:top w:val="single" w:sz="4" w:space="0" w:color="A59C94"/>
              <w:bottom w:val="single" w:sz="4" w:space="0" w:color="A59C94"/>
            </w:tcBorders>
            <w:vAlign w:val="bottom"/>
          </w:tcPr>
          <w:p w14:paraId="178937BF" w14:textId="77777777" w:rsidR="00325294" w:rsidRDefault="00325294" w:rsidP="00F7615C">
            <w:pPr>
              <w:pStyle w:val="TBodysubtotalText"/>
              <w:keepNext/>
            </w:pPr>
            <w:r>
              <w:t>Adjusted EBITDA</w:t>
            </w:r>
          </w:p>
        </w:tc>
        <w:tc>
          <w:tcPr>
            <w:tcW w:w="119" w:type="dxa"/>
            <w:vAlign w:val="bottom"/>
          </w:tcPr>
          <w:p w14:paraId="062C4AB8"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6C3B2E63" w14:textId="77777777" w:rsidR="00325294" w:rsidRDefault="00325294" w:rsidP="00F7615C">
            <w:pPr>
              <w:pStyle w:val="TBodysubtotalNumber"/>
              <w:keepNext/>
            </w:pPr>
            <w:r>
              <w:t>413</w:t>
            </w:r>
          </w:p>
        </w:tc>
        <w:tc>
          <w:tcPr>
            <w:tcW w:w="119" w:type="dxa"/>
            <w:vAlign w:val="bottom"/>
          </w:tcPr>
          <w:p w14:paraId="356F78FD" w14:textId="77777777" w:rsidR="00325294" w:rsidRDefault="00325294" w:rsidP="00F7615C">
            <w:pPr>
              <w:pStyle w:val="TBodysubtotalNumber"/>
              <w:keepNext/>
            </w:pPr>
          </w:p>
        </w:tc>
        <w:tc>
          <w:tcPr>
            <w:tcW w:w="1021" w:type="dxa"/>
            <w:tcBorders>
              <w:top w:val="single" w:sz="4" w:space="0" w:color="A59C94"/>
              <w:bottom w:val="single" w:sz="4" w:space="0" w:color="A59C94"/>
            </w:tcBorders>
            <w:shd w:val="clear" w:color="000000" w:fill="DAD5C9"/>
            <w:vAlign w:val="bottom"/>
          </w:tcPr>
          <w:p w14:paraId="1081407A" w14:textId="77777777" w:rsidR="00325294" w:rsidRDefault="00325294" w:rsidP="00F7615C">
            <w:pPr>
              <w:pStyle w:val="TBodysubtotalNumber"/>
              <w:keepNext/>
            </w:pPr>
            <w:r>
              <w:t>312</w:t>
            </w:r>
          </w:p>
        </w:tc>
        <w:tc>
          <w:tcPr>
            <w:tcW w:w="119" w:type="dxa"/>
            <w:vAlign w:val="bottom"/>
          </w:tcPr>
          <w:p w14:paraId="4993557F"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3443C66C" w14:textId="77777777" w:rsidR="00325294" w:rsidRDefault="00325294" w:rsidP="00F7615C">
            <w:pPr>
              <w:pStyle w:val="TBodysubtotalNumber"/>
              <w:keepNext/>
            </w:pPr>
            <w:r>
              <w:t>-24</w:t>
            </w:r>
          </w:p>
        </w:tc>
        <w:tc>
          <w:tcPr>
            <w:tcW w:w="119" w:type="dxa"/>
            <w:vAlign w:val="bottom"/>
          </w:tcPr>
          <w:p w14:paraId="271FFC8C"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11283C23" w14:textId="77777777" w:rsidR="00325294" w:rsidRDefault="00325294" w:rsidP="00F7615C">
            <w:pPr>
              <w:pStyle w:val="TBodysubtotalNumber"/>
              <w:keepNext/>
            </w:pPr>
            <w:r>
              <w:t>2,490</w:t>
            </w:r>
          </w:p>
        </w:tc>
        <w:tc>
          <w:tcPr>
            <w:tcW w:w="119" w:type="dxa"/>
            <w:vAlign w:val="bottom"/>
          </w:tcPr>
          <w:p w14:paraId="4F97C3CF" w14:textId="77777777" w:rsidR="00325294" w:rsidRDefault="00325294" w:rsidP="00F7615C">
            <w:pPr>
              <w:pStyle w:val="TBodysubtotalNumber"/>
              <w:keepNext/>
            </w:pPr>
          </w:p>
        </w:tc>
        <w:tc>
          <w:tcPr>
            <w:tcW w:w="1021" w:type="dxa"/>
            <w:tcBorders>
              <w:top w:val="single" w:sz="4" w:space="0" w:color="A59C94"/>
              <w:bottom w:val="single" w:sz="4" w:space="0" w:color="A59C94"/>
            </w:tcBorders>
            <w:shd w:val="clear" w:color="000000" w:fill="DAD5C9"/>
            <w:vAlign w:val="bottom"/>
          </w:tcPr>
          <w:p w14:paraId="0C3FC5C7" w14:textId="77777777" w:rsidR="00325294" w:rsidRDefault="00325294" w:rsidP="00F7615C">
            <w:pPr>
              <w:pStyle w:val="TBodysubtotalNumber"/>
              <w:keepNext/>
            </w:pPr>
            <w:r>
              <w:t>1,656</w:t>
            </w:r>
          </w:p>
        </w:tc>
        <w:tc>
          <w:tcPr>
            <w:tcW w:w="119" w:type="dxa"/>
            <w:vAlign w:val="bottom"/>
          </w:tcPr>
          <w:p w14:paraId="05931426"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7678B9C3" w14:textId="77777777" w:rsidR="00325294" w:rsidRDefault="00325294" w:rsidP="00F7615C">
            <w:pPr>
              <w:pStyle w:val="TBodysubtotalNumber"/>
              <w:keepNext/>
            </w:pPr>
            <w:r>
              <w:t>-33</w:t>
            </w:r>
          </w:p>
        </w:tc>
      </w:tr>
      <w:tr w:rsidR="00325294" w14:paraId="3EA2CCA5" w14:textId="77777777" w:rsidTr="00F7615C">
        <w:tc>
          <w:tcPr>
            <w:tcW w:w="2914" w:type="dxa"/>
            <w:tcBorders>
              <w:top w:val="single" w:sz="4" w:space="0" w:color="A59C94"/>
              <w:bottom w:val="single" w:sz="4" w:space="0" w:color="A59C94"/>
            </w:tcBorders>
            <w:vAlign w:val="bottom"/>
          </w:tcPr>
          <w:p w14:paraId="68C69E80" w14:textId="77777777" w:rsidR="00325294" w:rsidRDefault="00325294" w:rsidP="00F7615C">
            <w:pPr>
              <w:pStyle w:val="TBodysubtotalText"/>
              <w:keepNext/>
            </w:pPr>
            <w:r>
              <w:t>Adjusted EBIT</w:t>
            </w:r>
          </w:p>
        </w:tc>
        <w:tc>
          <w:tcPr>
            <w:tcW w:w="119" w:type="dxa"/>
            <w:vAlign w:val="bottom"/>
          </w:tcPr>
          <w:p w14:paraId="26BB765C"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00B86372" w14:textId="77777777" w:rsidR="00325294" w:rsidRDefault="00325294" w:rsidP="00F7615C">
            <w:pPr>
              <w:pStyle w:val="TBodysubtotalNumber"/>
              <w:keepNext/>
            </w:pPr>
            <w:r>
              <w:t>80</w:t>
            </w:r>
          </w:p>
        </w:tc>
        <w:tc>
          <w:tcPr>
            <w:tcW w:w="119" w:type="dxa"/>
            <w:vAlign w:val="bottom"/>
          </w:tcPr>
          <w:p w14:paraId="3CCBAC7C" w14:textId="77777777" w:rsidR="00325294" w:rsidRDefault="00325294" w:rsidP="00F7615C">
            <w:pPr>
              <w:pStyle w:val="TBodysubtotalNumber"/>
              <w:keepNext/>
            </w:pPr>
          </w:p>
        </w:tc>
        <w:tc>
          <w:tcPr>
            <w:tcW w:w="1021" w:type="dxa"/>
            <w:tcBorders>
              <w:top w:val="single" w:sz="4" w:space="0" w:color="A59C94"/>
              <w:bottom w:val="single" w:sz="4" w:space="0" w:color="A59C94"/>
            </w:tcBorders>
            <w:shd w:val="clear" w:color="000000" w:fill="DAD5C9"/>
            <w:vAlign w:val="bottom"/>
          </w:tcPr>
          <w:p w14:paraId="6CA4E0FE" w14:textId="77777777" w:rsidR="00325294" w:rsidRDefault="00325294" w:rsidP="00F7615C">
            <w:pPr>
              <w:pStyle w:val="TBodysubtotalNumber"/>
              <w:keepNext/>
            </w:pPr>
            <w:r>
              <w:t>32</w:t>
            </w:r>
          </w:p>
        </w:tc>
        <w:tc>
          <w:tcPr>
            <w:tcW w:w="119" w:type="dxa"/>
            <w:vAlign w:val="bottom"/>
          </w:tcPr>
          <w:p w14:paraId="0C5874AD"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3880C2D3" w14:textId="77777777" w:rsidR="00325294" w:rsidRDefault="00325294" w:rsidP="00F7615C">
            <w:pPr>
              <w:pStyle w:val="TBodysubtotalNumber"/>
              <w:keepNext/>
            </w:pPr>
            <w:r>
              <w:t>-60</w:t>
            </w:r>
          </w:p>
        </w:tc>
        <w:tc>
          <w:tcPr>
            <w:tcW w:w="119" w:type="dxa"/>
            <w:vAlign w:val="bottom"/>
          </w:tcPr>
          <w:p w14:paraId="3EBEF869"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3F4CB33B" w14:textId="77777777" w:rsidR="00325294" w:rsidRDefault="00325294" w:rsidP="00F7615C">
            <w:pPr>
              <w:pStyle w:val="TBodysubtotalNumber"/>
              <w:keepNext/>
            </w:pPr>
            <w:r>
              <w:t>1,350</w:t>
            </w:r>
          </w:p>
        </w:tc>
        <w:tc>
          <w:tcPr>
            <w:tcW w:w="119" w:type="dxa"/>
            <w:vAlign w:val="bottom"/>
          </w:tcPr>
          <w:p w14:paraId="7C84A52A" w14:textId="77777777" w:rsidR="00325294" w:rsidRDefault="00325294" w:rsidP="00F7615C">
            <w:pPr>
              <w:pStyle w:val="TBodysubtotalNumber"/>
              <w:keepNext/>
            </w:pPr>
          </w:p>
        </w:tc>
        <w:tc>
          <w:tcPr>
            <w:tcW w:w="1021" w:type="dxa"/>
            <w:tcBorders>
              <w:top w:val="single" w:sz="4" w:space="0" w:color="A59C94"/>
              <w:bottom w:val="single" w:sz="4" w:space="0" w:color="A59C94"/>
            </w:tcBorders>
            <w:shd w:val="clear" w:color="000000" w:fill="DAD5C9"/>
            <w:vAlign w:val="bottom"/>
          </w:tcPr>
          <w:p w14:paraId="07C12815" w14:textId="77777777" w:rsidR="00325294" w:rsidRDefault="00325294" w:rsidP="00F7615C">
            <w:pPr>
              <w:pStyle w:val="TBodysubtotalNumber"/>
              <w:keepNext/>
            </w:pPr>
            <w:bookmarkStart w:id="12" w:name="SNAMD_e6840f7616f847d5a3ccf64c583e88be"/>
            <w:r>
              <w:t>521</w:t>
            </w:r>
            <w:bookmarkEnd w:id="12"/>
          </w:p>
        </w:tc>
        <w:tc>
          <w:tcPr>
            <w:tcW w:w="119" w:type="dxa"/>
            <w:vAlign w:val="bottom"/>
          </w:tcPr>
          <w:p w14:paraId="182B6FCB" w14:textId="77777777" w:rsidR="00325294" w:rsidRDefault="00325294" w:rsidP="00F7615C">
            <w:pPr>
              <w:pStyle w:val="TBodysubtotalNumber"/>
              <w:keepNext/>
            </w:pPr>
          </w:p>
        </w:tc>
        <w:tc>
          <w:tcPr>
            <w:tcW w:w="1021" w:type="dxa"/>
            <w:tcBorders>
              <w:top w:val="single" w:sz="4" w:space="0" w:color="A59C94"/>
              <w:bottom w:val="single" w:sz="4" w:space="0" w:color="A59C94"/>
            </w:tcBorders>
            <w:vAlign w:val="bottom"/>
          </w:tcPr>
          <w:p w14:paraId="556C8122" w14:textId="77777777" w:rsidR="00325294" w:rsidRDefault="00325294" w:rsidP="00F7615C">
            <w:pPr>
              <w:pStyle w:val="TBodysubtotalNumber"/>
              <w:keepNext/>
            </w:pPr>
            <w:r>
              <w:t>-61</w:t>
            </w:r>
          </w:p>
        </w:tc>
      </w:tr>
      <w:tr w:rsidR="00325294" w14:paraId="6D2B5C98" w14:textId="77777777" w:rsidTr="00F7615C">
        <w:tc>
          <w:tcPr>
            <w:tcW w:w="2914" w:type="dxa"/>
            <w:tcBorders>
              <w:top w:val="single" w:sz="4" w:space="0" w:color="A59C94"/>
              <w:bottom w:val="single" w:sz="4" w:space="0" w:color="A59C94"/>
            </w:tcBorders>
            <w:vAlign w:val="bottom"/>
          </w:tcPr>
          <w:p w14:paraId="0691A0E0" w14:textId="77777777" w:rsidR="00325294" w:rsidRDefault="00325294" w:rsidP="00F7615C">
            <w:pPr>
              <w:pStyle w:val="TBodynormalText"/>
            </w:pPr>
            <w:r>
              <w:t>Adjustments</w:t>
            </w:r>
          </w:p>
        </w:tc>
        <w:tc>
          <w:tcPr>
            <w:tcW w:w="119" w:type="dxa"/>
            <w:vAlign w:val="bottom"/>
          </w:tcPr>
          <w:p w14:paraId="1BD55711"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6279E8A9" w14:textId="77777777" w:rsidR="00325294" w:rsidRDefault="00325294" w:rsidP="00F7615C">
            <w:pPr>
              <w:pStyle w:val="TBodynormalNumber"/>
              <w:keepNext/>
            </w:pPr>
            <w:r>
              <w:t>-340</w:t>
            </w:r>
          </w:p>
        </w:tc>
        <w:tc>
          <w:tcPr>
            <w:tcW w:w="119" w:type="dxa"/>
            <w:vAlign w:val="bottom"/>
          </w:tcPr>
          <w:p w14:paraId="79DF9227" w14:textId="77777777" w:rsidR="00325294" w:rsidRDefault="00325294" w:rsidP="00F7615C">
            <w:pPr>
              <w:pStyle w:val="TBodynormalNumber"/>
              <w:keepNext/>
            </w:pPr>
          </w:p>
        </w:tc>
        <w:tc>
          <w:tcPr>
            <w:tcW w:w="1021" w:type="dxa"/>
            <w:tcBorders>
              <w:top w:val="single" w:sz="4" w:space="0" w:color="A59C94"/>
              <w:bottom w:val="single" w:sz="4" w:space="0" w:color="A59C94"/>
            </w:tcBorders>
            <w:shd w:val="clear" w:color="000000" w:fill="DAD5C9"/>
            <w:vAlign w:val="bottom"/>
          </w:tcPr>
          <w:p w14:paraId="10F6DE8D" w14:textId="77777777" w:rsidR="00325294" w:rsidRDefault="00325294" w:rsidP="00F7615C">
            <w:pPr>
              <w:pStyle w:val="TBodynormalNumber"/>
              <w:keepNext/>
            </w:pPr>
            <w:r>
              <w:t>-2</w:t>
            </w:r>
          </w:p>
        </w:tc>
        <w:tc>
          <w:tcPr>
            <w:tcW w:w="119" w:type="dxa"/>
            <w:vAlign w:val="bottom"/>
          </w:tcPr>
          <w:p w14:paraId="69C48EC7"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34A6540A" w14:textId="77777777" w:rsidR="00325294" w:rsidRDefault="00325294" w:rsidP="00F7615C">
            <w:pPr>
              <w:pStyle w:val="TBodynormalNumber"/>
              <w:keepNext/>
            </w:pPr>
          </w:p>
        </w:tc>
        <w:tc>
          <w:tcPr>
            <w:tcW w:w="119" w:type="dxa"/>
            <w:vAlign w:val="bottom"/>
          </w:tcPr>
          <w:p w14:paraId="6BF2E51D"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604C6F70" w14:textId="77777777" w:rsidR="00325294" w:rsidRDefault="00325294" w:rsidP="00F7615C">
            <w:pPr>
              <w:pStyle w:val="TBodynormalNumber"/>
              <w:keepNext/>
            </w:pPr>
            <w:r>
              <w:t>-408</w:t>
            </w:r>
          </w:p>
        </w:tc>
        <w:tc>
          <w:tcPr>
            <w:tcW w:w="119" w:type="dxa"/>
            <w:vAlign w:val="bottom"/>
          </w:tcPr>
          <w:p w14:paraId="6F5BF6B9" w14:textId="77777777" w:rsidR="00325294" w:rsidRDefault="00325294" w:rsidP="00F7615C">
            <w:pPr>
              <w:pStyle w:val="TBodynormalNumber"/>
              <w:keepNext/>
            </w:pPr>
          </w:p>
        </w:tc>
        <w:tc>
          <w:tcPr>
            <w:tcW w:w="1021" w:type="dxa"/>
            <w:tcBorders>
              <w:top w:val="single" w:sz="4" w:space="0" w:color="A59C94"/>
              <w:bottom w:val="single" w:sz="4" w:space="0" w:color="A59C94"/>
            </w:tcBorders>
            <w:shd w:val="clear" w:color="000000" w:fill="DAD5C9"/>
            <w:vAlign w:val="bottom"/>
          </w:tcPr>
          <w:p w14:paraId="36150BA6" w14:textId="77777777" w:rsidR="00325294" w:rsidRDefault="00325294" w:rsidP="00F7615C">
            <w:pPr>
              <w:pStyle w:val="TBodynormalNumber"/>
              <w:keepNext/>
            </w:pPr>
            <w:r>
              <w:t>-764</w:t>
            </w:r>
          </w:p>
        </w:tc>
        <w:tc>
          <w:tcPr>
            <w:tcW w:w="119" w:type="dxa"/>
            <w:vAlign w:val="bottom"/>
          </w:tcPr>
          <w:p w14:paraId="606C9D45"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41DA4239" w14:textId="77777777" w:rsidR="00325294" w:rsidRDefault="00325294" w:rsidP="00F7615C">
            <w:pPr>
              <w:pStyle w:val="TBodynormalNumber"/>
              <w:keepNext/>
            </w:pPr>
          </w:p>
        </w:tc>
      </w:tr>
      <w:tr w:rsidR="00325294" w14:paraId="7842E5FF" w14:textId="77777777" w:rsidTr="00F7615C">
        <w:tc>
          <w:tcPr>
            <w:tcW w:w="2914" w:type="dxa"/>
            <w:tcBorders>
              <w:top w:val="single" w:sz="4" w:space="0" w:color="A59C94"/>
              <w:bottom w:val="single" w:sz="4" w:space="0" w:color="A59C94"/>
            </w:tcBorders>
            <w:vAlign w:val="bottom"/>
          </w:tcPr>
          <w:p w14:paraId="338C35E5" w14:textId="77777777" w:rsidR="00325294" w:rsidRDefault="00325294" w:rsidP="00F7615C">
            <w:pPr>
              <w:pStyle w:val="TBodynormalText"/>
            </w:pPr>
            <w:r>
              <w:t>Financial result</w:t>
            </w:r>
          </w:p>
        </w:tc>
        <w:tc>
          <w:tcPr>
            <w:tcW w:w="119" w:type="dxa"/>
            <w:vAlign w:val="bottom"/>
          </w:tcPr>
          <w:p w14:paraId="24FC63A4"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01874F11" w14:textId="77777777" w:rsidR="00325294" w:rsidRDefault="00325294" w:rsidP="00F7615C">
            <w:pPr>
              <w:pStyle w:val="TBodynormalNumber"/>
              <w:keepNext/>
            </w:pPr>
            <w:r>
              <w:t>9</w:t>
            </w:r>
          </w:p>
        </w:tc>
        <w:tc>
          <w:tcPr>
            <w:tcW w:w="119" w:type="dxa"/>
            <w:vAlign w:val="bottom"/>
          </w:tcPr>
          <w:p w14:paraId="3EF0F367" w14:textId="77777777" w:rsidR="00325294" w:rsidRDefault="00325294" w:rsidP="00F7615C">
            <w:pPr>
              <w:pStyle w:val="TBodynormalNumber"/>
              <w:keepNext/>
            </w:pPr>
          </w:p>
        </w:tc>
        <w:tc>
          <w:tcPr>
            <w:tcW w:w="1021" w:type="dxa"/>
            <w:tcBorders>
              <w:top w:val="single" w:sz="4" w:space="0" w:color="A59C94"/>
              <w:bottom w:val="single" w:sz="4" w:space="0" w:color="A59C94"/>
            </w:tcBorders>
            <w:shd w:val="clear" w:color="000000" w:fill="DAD5C9"/>
            <w:vAlign w:val="bottom"/>
          </w:tcPr>
          <w:p w14:paraId="3CB6810C" w14:textId="77777777" w:rsidR="00325294" w:rsidRDefault="00325294" w:rsidP="00F7615C">
            <w:pPr>
              <w:pStyle w:val="TBodynormalNumber"/>
              <w:keepNext/>
            </w:pPr>
            <w:r>
              <w:t>-50</w:t>
            </w:r>
          </w:p>
        </w:tc>
        <w:tc>
          <w:tcPr>
            <w:tcW w:w="119" w:type="dxa"/>
            <w:vAlign w:val="bottom"/>
          </w:tcPr>
          <w:p w14:paraId="40818B5E"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44CC5F1A" w14:textId="77777777" w:rsidR="00325294" w:rsidRDefault="00325294" w:rsidP="00F7615C">
            <w:pPr>
              <w:pStyle w:val="TBodynormalNumber"/>
              <w:keepNext/>
            </w:pPr>
          </w:p>
        </w:tc>
        <w:tc>
          <w:tcPr>
            <w:tcW w:w="119" w:type="dxa"/>
            <w:vAlign w:val="bottom"/>
          </w:tcPr>
          <w:p w14:paraId="6F694CFF"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35BBC9B3" w14:textId="77777777" w:rsidR="00325294" w:rsidRDefault="00325294" w:rsidP="00F7615C">
            <w:pPr>
              <w:pStyle w:val="TBodynormalNumber"/>
              <w:keepNext/>
            </w:pPr>
            <w:r>
              <w:t>-19</w:t>
            </w:r>
          </w:p>
        </w:tc>
        <w:tc>
          <w:tcPr>
            <w:tcW w:w="119" w:type="dxa"/>
            <w:vAlign w:val="bottom"/>
          </w:tcPr>
          <w:p w14:paraId="0035A3A2" w14:textId="77777777" w:rsidR="00325294" w:rsidRDefault="00325294" w:rsidP="00F7615C">
            <w:pPr>
              <w:pStyle w:val="TBodynormalNumber"/>
              <w:keepNext/>
            </w:pPr>
          </w:p>
        </w:tc>
        <w:tc>
          <w:tcPr>
            <w:tcW w:w="1021" w:type="dxa"/>
            <w:tcBorders>
              <w:top w:val="single" w:sz="4" w:space="0" w:color="A59C94"/>
              <w:bottom w:val="single" w:sz="4" w:space="0" w:color="A59C94"/>
            </w:tcBorders>
            <w:shd w:val="clear" w:color="000000" w:fill="DAD5C9"/>
            <w:vAlign w:val="bottom"/>
          </w:tcPr>
          <w:p w14:paraId="24D33BE5" w14:textId="77777777" w:rsidR="00325294" w:rsidRDefault="00325294" w:rsidP="00F7615C">
            <w:pPr>
              <w:pStyle w:val="TBodynormalNumber"/>
              <w:keepNext/>
            </w:pPr>
            <w:r>
              <w:t>-108</w:t>
            </w:r>
          </w:p>
        </w:tc>
        <w:tc>
          <w:tcPr>
            <w:tcW w:w="119" w:type="dxa"/>
            <w:vAlign w:val="bottom"/>
          </w:tcPr>
          <w:p w14:paraId="56AD82F4" w14:textId="77777777" w:rsidR="00325294" w:rsidRDefault="00325294" w:rsidP="00F7615C">
            <w:pPr>
              <w:pStyle w:val="TBodynormalNumber"/>
              <w:keepNext/>
            </w:pPr>
          </w:p>
        </w:tc>
        <w:tc>
          <w:tcPr>
            <w:tcW w:w="1021" w:type="dxa"/>
            <w:tcBorders>
              <w:top w:val="single" w:sz="4" w:space="0" w:color="A59C94"/>
              <w:bottom w:val="single" w:sz="4" w:space="0" w:color="A59C94"/>
            </w:tcBorders>
            <w:vAlign w:val="bottom"/>
          </w:tcPr>
          <w:p w14:paraId="5985ACCC" w14:textId="77777777" w:rsidR="00325294" w:rsidRDefault="00325294" w:rsidP="00F7615C">
            <w:pPr>
              <w:pStyle w:val="TBodynormalNumber"/>
              <w:keepNext/>
            </w:pPr>
          </w:p>
        </w:tc>
      </w:tr>
      <w:tr w:rsidR="00325294" w14:paraId="0345C95B" w14:textId="77777777" w:rsidTr="00F7615C">
        <w:tc>
          <w:tcPr>
            <w:tcW w:w="2914" w:type="dxa"/>
            <w:tcBorders>
              <w:top w:val="single" w:sz="4" w:space="0" w:color="A59C94"/>
              <w:bottom w:val="single" w:sz="4" w:space="0" w:color="000000"/>
            </w:tcBorders>
            <w:vAlign w:val="bottom"/>
          </w:tcPr>
          <w:p w14:paraId="397E6A50" w14:textId="77777777" w:rsidR="00325294" w:rsidRPr="003352A4" w:rsidRDefault="00325294" w:rsidP="00F7615C">
            <w:pPr>
              <w:pStyle w:val="TBodysubtotalText"/>
              <w:keepNext/>
              <w:rPr>
                <w:lang w:val="en-US"/>
              </w:rPr>
            </w:pPr>
            <w:r w:rsidRPr="003352A4">
              <w:rPr>
                <w:lang w:val="en-US"/>
              </w:rPr>
              <w:t>Income before income taxes, continuing operations</w:t>
            </w:r>
          </w:p>
        </w:tc>
        <w:tc>
          <w:tcPr>
            <w:tcW w:w="119" w:type="dxa"/>
            <w:vAlign w:val="bottom"/>
          </w:tcPr>
          <w:p w14:paraId="41C15083" w14:textId="77777777" w:rsidR="00325294" w:rsidRPr="003352A4" w:rsidRDefault="00325294" w:rsidP="00F7615C">
            <w:pPr>
              <w:pStyle w:val="TBodysubtotalNumber"/>
              <w:keepNext/>
              <w:rPr>
                <w:lang w:val="en-US"/>
              </w:rPr>
            </w:pPr>
          </w:p>
        </w:tc>
        <w:tc>
          <w:tcPr>
            <w:tcW w:w="1021" w:type="dxa"/>
            <w:tcBorders>
              <w:top w:val="single" w:sz="4" w:space="0" w:color="A59C94"/>
              <w:bottom w:val="single" w:sz="4" w:space="0" w:color="000000"/>
            </w:tcBorders>
            <w:vAlign w:val="bottom"/>
          </w:tcPr>
          <w:p w14:paraId="303A7613" w14:textId="77777777" w:rsidR="00325294" w:rsidRDefault="00325294" w:rsidP="00F7615C">
            <w:pPr>
              <w:pStyle w:val="TBodysubtotalNumber"/>
              <w:keepNext/>
            </w:pPr>
            <w:r>
              <w:t>-251</w:t>
            </w:r>
          </w:p>
        </w:tc>
        <w:tc>
          <w:tcPr>
            <w:tcW w:w="119" w:type="dxa"/>
            <w:vAlign w:val="bottom"/>
          </w:tcPr>
          <w:p w14:paraId="4DD0917D"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556A5967" w14:textId="77777777" w:rsidR="00325294" w:rsidRDefault="00325294" w:rsidP="00F7615C">
            <w:pPr>
              <w:pStyle w:val="TBodysubtotalNumber"/>
              <w:keepNext/>
            </w:pPr>
            <w:r>
              <w:t>-20</w:t>
            </w:r>
          </w:p>
        </w:tc>
        <w:tc>
          <w:tcPr>
            <w:tcW w:w="119" w:type="dxa"/>
            <w:vAlign w:val="bottom"/>
          </w:tcPr>
          <w:p w14:paraId="6BF49AF5"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21E9A157" w14:textId="77777777" w:rsidR="00325294" w:rsidRDefault="00325294" w:rsidP="00F7615C">
            <w:pPr>
              <w:pStyle w:val="TBodysubtotalNumber"/>
              <w:keepNext/>
            </w:pPr>
            <w:r>
              <w:t>-92</w:t>
            </w:r>
          </w:p>
        </w:tc>
        <w:tc>
          <w:tcPr>
            <w:tcW w:w="119" w:type="dxa"/>
            <w:vAlign w:val="bottom"/>
          </w:tcPr>
          <w:p w14:paraId="1ADF55A8"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04E5D9B6" w14:textId="77777777" w:rsidR="00325294" w:rsidRDefault="00325294" w:rsidP="00F7615C">
            <w:pPr>
              <w:pStyle w:val="TBodysubtotalNumber"/>
              <w:keepNext/>
            </w:pPr>
            <w:bookmarkStart w:id="13" w:name="SNAMD_8debda43e8e64deb96213d90d0c4fc36"/>
            <w:r>
              <w:t>923</w:t>
            </w:r>
            <w:bookmarkEnd w:id="13"/>
          </w:p>
        </w:tc>
        <w:tc>
          <w:tcPr>
            <w:tcW w:w="119" w:type="dxa"/>
            <w:vAlign w:val="bottom"/>
          </w:tcPr>
          <w:p w14:paraId="00DDE021"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5AEC10A1" w14:textId="77777777" w:rsidR="00325294" w:rsidRDefault="00325294" w:rsidP="00F7615C">
            <w:pPr>
              <w:pStyle w:val="TBodysubtotalNumber"/>
              <w:keepNext/>
            </w:pPr>
            <w:bookmarkStart w:id="14" w:name="SNAMD_8d9d9070f7604ab391b61733c6a6d6b2"/>
            <w:r>
              <w:t>-351</w:t>
            </w:r>
            <w:bookmarkEnd w:id="14"/>
          </w:p>
        </w:tc>
        <w:tc>
          <w:tcPr>
            <w:tcW w:w="119" w:type="dxa"/>
            <w:vAlign w:val="bottom"/>
          </w:tcPr>
          <w:p w14:paraId="2D46C4A3"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0EF25F7C" w14:textId="77777777" w:rsidR="00325294" w:rsidRDefault="00325294" w:rsidP="00F7615C">
            <w:pPr>
              <w:pStyle w:val="TBodysubtotalNumber"/>
              <w:keepNext/>
            </w:pPr>
            <w:r>
              <w:t>-138</w:t>
            </w:r>
          </w:p>
        </w:tc>
      </w:tr>
      <w:tr w:rsidR="00325294" w14:paraId="3B8DC6FB" w14:textId="77777777" w:rsidTr="00F7615C">
        <w:tc>
          <w:tcPr>
            <w:tcW w:w="2914" w:type="dxa"/>
            <w:tcBorders>
              <w:top w:val="single" w:sz="4" w:space="0" w:color="000000"/>
              <w:bottom w:val="single" w:sz="4" w:space="0" w:color="A59C94"/>
            </w:tcBorders>
            <w:vAlign w:val="bottom"/>
          </w:tcPr>
          <w:p w14:paraId="274A491B" w14:textId="77777777" w:rsidR="00325294" w:rsidRDefault="00325294" w:rsidP="00F7615C">
            <w:pPr>
              <w:pStyle w:val="TBodynormalText"/>
            </w:pPr>
            <w:r>
              <w:t>Income taxes</w:t>
            </w:r>
          </w:p>
        </w:tc>
        <w:tc>
          <w:tcPr>
            <w:tcW w:w="119" w:type="dxa"/>
            <w:vAlign w:val="bottom"/>
          </w:tcPr>
          <w:p w14:paraId="67E34841"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1557E658" w14:textId="77777777" w:rsidR="00325294" w:rsidRDefault="00325294" w:rsidP="00F7615C">
            <w:pPr>
              <w:pStyle w:val="TBodynormalNumber"/>
              <w:keepNext/>
            </w:pPr>
            <w:r>
              <w:t>-30</w:t>
            </w:r>
          </w:p>
        </w:tc>
        <w:tc>
          <w:tcPr>
            <w:tcW w:w="119" w:type="dxa"/>
            <w:vAlign w:val="bottom"/>
          </w:tcPr>
          <w:p w14:paraId="682C73B1" w14:textId="77777777" w:rsidR="00325294" w:rsidRDefault="00325294" w:rsidP="00F7615C">
            <w:pPr>
              <w:pStyle w:val="TBodynormalNumber"/>
              <w:keepNext/>
            </w:pPr>
          </w:p>
        </w:tc>
        <w:tc>
          <w:tcPr>
            <w:tcW w:w="1021" w:type="dxa"/>
            <w:tcBorders>
              <w:top w:val="single" w:sz="4" w:space="0" w:color="000000"/>
              <w:bottom w:val="single" w:sz="4" w:space="0" w:color="A59C94"/>
            </w:tcBorders>
            <w:shd w:val="clear" w:color="000000" w:fill="DAD5C9"/>
            <w:vAlign w:val="bottom"/>
          </w:tcPr>
          <w:p w14:paraId="0C5F3036" w14:textId="77777777" w:rsidR="00325294" w:rsidRDefault="00325294" w:rsidP="00F7615C">
            <w:pPr>
              <w:pStyle w:val="TBodynormalNumber"/>
              <w:keepNext/>
            </w:pPr>
            <w:r>
              <w:t>-124</w:t>
            </w:r>
          </w:p>
        </w:tc>
        <w:tc>
          <w:tcPr>
            <w:tcW w:w="119" w:type="dxa"/>
            <w:vAlign w:val="bottom"/>
          </w:tcPr>
          <w:p w14:paraId="3AC9321A"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5393E8E9" w14:textId="77777777" w:rsidR="00325294" w:rsidRDefault="00325294" w:rsidP="00F7615C">
            <w:pPr>
              <w:pStyle w:val="TBodynormalNumber"/>
              <w:keepNext/>
            </w:pPr>
          </w:p>
        </w:tc>
        <w:tc>
          <w:tcPr>
            <w:tcW w:w="119" w:type="dxa"/>
            <w:vAlign w:val="bottom"/>
          </w:tcPr>
          <w:p w14:paraId="6C5B07D6"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7B488ABC" w14:textId="77777777" w:rsidR="00325294" w:rsidRDefault="00325294" w:rsidP="00F7615C">
            <w:pPr>
              <w:pStyle w:val="TBodynormalNumber"/>
              <w:keepNext/>
            </w:pPr>
            <w:r>
              <w:t>-369</w:t>
            </w:r>
          </w:p>
        </w:tc>
        <w:tc>
          <w:tcPr>
            <w:tcW w:w="119" w:type="dxa"/>
            <w:vAlign w:val="bottom"/>
          </w:tcPr>
          <w:p w14:paraId="28FF4104" w14:textId="77777777" w:rsidR="00325294" w:rsidRDefault="00325294" w:rsidP="00F7615C">
            <w:pPr>
              <w:pStyle w:val="TBodynormalNumber"/>
              <w:keepNext/>
            </w:pPr>
          </w:p>
        </w:tc>
        <w:tc>
          <w:tcPr>
            <w:tcW w:w="1021" w:type="dxa"/>
            <w:tcBorders>
              <w:top w:val="single" w:sz="4" w:space="0" w:color="000000"/>
              <w:bottom w:val="single" w:sz="4" w:space="0" w:color="A59C94"/>
            </w:tcBorders>
            <w:shd w:val="clear" w:color="000000" w:fill="DAD5C9"/>
            <w:vAlign w:val="bottom"/>
          </w:tcPr>
          <w:p w14:paraId="636DED86" w14:textId="77777777" w:rsidR="00325294" w:rsidRDefault="00325294" w:rsidP="00F7615C">
            <w:pPr>
              <w:pStyle w:val="TBodynormalNumber"/>
              <w:keepNext/>
            </w:pPr>
            <w:r>
              <w:t>-101</w:t>
            </w:r>
          </w:p>
        </w:tc>
        <w:tc>
          <w:tcPr>
            <w:tcW w:w="119" w:type="dxa"/>
            <w:vAlign w:val="bottom"/>
          </w:tcPr>
          <w:p w14:paraId="0B3E1AEE"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689BC97E" w14:textId="77777777" w:rsidR="00325294" w:rsidRDefault="00325294" w:rsidP="00F7615C">
            <w:pPr>
              <w:pStyle w:val="TBodynormalNumber"/>
              <w:keepNext/>
            </w:pPr>
          </w:p>
        </w:tc>
      </w:tr>
      <w:tr w:rsidR="00325294" w14:paraId="1DBCFCC4" w14:textId="77777777" w:rsidTr="00F7615C">
        <w:tc>
          <w:tcPr>
            <w:tcW w:w="2914" w:type="dxa"/>
            <w:tcBorders>
              <w:top w:val="single" w:sz="4" w:space="0" w:color="A59C94"/>
              <w:bottom w:val="single" w:sz="4" w:space="0" w:color="000000"/>
            </w:tcBorders>
            <w:vAlign w:val="bottom"/>
          </w:tcPr>
          <w:p w14:paraId="49176DB7" w14:textId="77777777" w:rsidR="00325294" w:rsidRPr="003352A4" w:rsidRDefault="00325294" w:rsidP="00F7615C">
            <w:pPr>
              <w:pStyle w:val="TBodysubtotalText"/>
              <w:keepNext/>
              <w:rPr>
                <w:lang w:val="en-US"/>
              </w:rPr>
            </w:pPr>
            <w:r w:rsidRPr="003352A4">
              <w:rPr>
                <w:lang w:val="en-US"/>
              </w:rPr>
              <w:t>Income after taxes, continuing operations</w:t>
            </w:r>
          </w:p>
        </w:tc>
        <w:tc>
          <w:tcPr>
            <w:tcW w:w="119" w:type="dxa"/>
            <w:vAlign w:val="bottom"/>
          </w:tcPr>
          <w:p w14:paraId="22D8D9DA" w14:textId="77777777" w:rsidR="00325294" w:rsidRPr="003352A4" w:rsidRDefault="00325294" w:rsidP="00F7615C">
            <w:pPr>
              <w:pStyle w:val="TBodysubtotalNumber"/>
              <w:keepNext/>
              <w:rPr>
                <w:lang w:val="en-US"/>
              </w:rPr>
            </w:pPr>
          </w:p>
        </w:tc>
        <w:tc>
          <w:tcPr>
            <w:tcW w:w="1021" w:type="dxa"/>
            <w:tcBorders>
              <w:top w:val="single" w:sz="4" w:space="0" w:color="A59C94"/>
              <w:bottom w:val="single" w:sz="4" w:space="0" w:color="000000"/>
            </w:tcBorders>
            <w:vAlign w:val="bottom"/>
          </w:tcPr>
          <w:p w14:paraId="742A47E6" w14:textId="77777777" w:rsidR="00325294" w:rsidRDefault="00325294" w:rsidP="00F7615C">
            <w:pPr>
              <w:pStyle w:val="TBodysubtotalNumber"/>
              <w:keepNext/>
            </w:pPr>
            <w:r>
              <w:t>-281</w:t>
            </w:r>
          </w:p>
        </w:tc>
        <w:tc>
          <w:tcPr>
            <w:tcW w:w="119" w:type="dxa"/>
            <w:vAlign w:val="bottom"/>
          </w:tcPr>
          <w:p w14:paraId="15153C3E"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6AB4C966" w14:textId="77777777" w:rsidR="00325294" w:rsidRDefault="00325294" w:rsidP="00F7615C">
            <w:pPr>
              <w:pStyle w:val="TBodysubtotalNumber"/>
              <w:keepNext/>
            </w:pPr>
            <w:r>
              <w:t>-144</w:t>
            </w:r>
          </w:p>
        </w:tc>
        <w:tc>
          <w:tcPr>
            <w:tcW w:w="119" w:type="dxa"/>
            <w:vAlign w:val="bottom"/>
          </w:tcPr>
          <w:p w14:paraId="349F34B5"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5AB5D7BF" w14:textId="77777777" w:rsidR="00325294" w:rsidRDefault="00325294" w:rsidP="00F7615C">
            <w:pPr>
              <w:pStyle w:val="TBodysubtotalNumber"/>
              <w:keepNext/>
            </w:pPr>
            <w:r>
              <w:t>-49</w:t>
            </w:r>
          </w:p>
        </w:tc>
        <w:tc>
          <w:tcPr>
            <w:tcW w:w="119" w:type="dxa"/>
            <w:vAlign w:val="bottom"/>
          </w:tcPr>
          <w:p w14:paraId="0D22ABFB"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062C7DC0" w14:textId="77777777" w:rsidR="00325294" w:rsidRDefault="00325294" w:rsidP="00F7615C">
            <w:pPr>
              <w:pStyle w:val="TBodysubtotalNumber"/>
              <w:keepNext/>
            </w:pPr>
            <w:r>
              <w:t>554</w:t>
            </w:r>
          </w:p>
        </w:tc>
        <w:tc>
          <w:tcPr>
            <w:tcW w:w="119" w:type="dxa"/>
            <w:vAlign w:val="bottom"/>
          </w:tcPr>
          <w:p w14:paraId="73E0DFC0"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14F4C103" w14:textId="77777777" w:rsidR="00325294" w:rsidRDefault="00325294" w:rsidP="00F7615C">
            <w:pPr>
              <w:pStyle w:val="TBodysubtotalNumber"/>
              <w:keepNext/>
            </w:pPr>
            <w:r>
              <w:t>-452</w:t>
            </w:r>
          </w:p>
        </w:tc>
        <w:tc>
          <w:tcPr>
            <w:tcW w:w="119" w:type="dxa"/>
            <w:vAlign w:val="bottom"/>
          </w:tcPr>
          <w:p w14:paraId="0C9D5819"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0B497FEA" w14:textId="77777777" w:rsidR="00325294" w:rsidRDefault="00325294" w:rsidP="00F7615C">
            <w:pPr>
              <w:pStyle w:val="TBodysubtotalNumber"/>
              <w:keepNext/>
            </w:pPr>
            <w:r>
              <w:t>-182</w:t>
            </w:r>
          </w:p>
        </w:tc>
      </w:tr>
      <w:tr w:rsidR="00325294" w14:paraId="67E49582" w14:textId="77777777" w:rsidTr="00F7615C">
        <w:tc>
          <w:tcPr>
            <w:tcW w:w="2914" w:type="dxa"/>
            <w:tcBorders>
              <w:top w:val="single" w:sz="4" w:space="0" w:color="000000"/>
              <w:bottom w:val="single" w:sz="4" w:space="0" w:color="A59C94"/>
            </w:tcBorders>
            <w:vAlign w:val="bottom"/>
          </w:tcPr>
          <w:p w14:paraId="7639ACFD" w14:textId="77777777" w:rsidR="00325294" w:rsidRPr="003352A4" w:rsidRDefault="00325294" w:rsidP="00F7615C">
            <w:pPr>
              <w:pStyle w:val="TBodynormalText"/>
              <w:rPr>
                <w:lang w:val="en-US"/>
              </w:rPr>
            </w:pPr>
            <w:r w:rsidRPr="003352A4">
              <w:rPr>
                <w:lang w:val="en-US"/>
              </w:rPr>
              <w:t>Income after taxes, discontinued operations</w:t>
            </w:r>
          </w:p>
        </w:tc>
        <w:tc>
          <w:tcPr>
            <w:tcW w:w="119" w:type="dxa"/>
            <w:vAlign w:val="bottom"/>
          </w:tcPr>
          <w:p w14:paraId="1DAE522F" w14:textId="77777777" w:rsidR="00325294" w:rsidRPr="003352A4" w:rsidRDefault="00325294" w:rsidP="00F7615C">
            <w:pPr>
              <w:pStyle w:val="TBodynormalNumber"/>
              <w:keepNext/>
              <w:rPr>
                <w:lang w:val="en-US"/>
              </w:rPr>
            </w:pPr>
          </w:p>
        </w:tc>
        <w:tc>
          <w:tcPr>
            <w:tcW w:w="1021" w:type="dxa"/>
            <w:tcBorders>
              <w:top w:val="single" w:sz="4" w:space="0" w:color="000000"/>
              <w:bottom w:val="single" w:sz="4" w:space="0" w:color="A59C94"/>
            </w:tcBorders>
            <w:vAlign w:val="bottom"/>
          </w:tcPr>
          <w:p w14:paraId="43939AAF" w14:textId="77777777" w:rsidR="00325294" w:rsidRDefault="00325294" w:rsidP="00F7615C">
            <w:pPr>
              <w:pStyle w:val="TBodynormalNumber"/>
              <w:keepNext/>
            </w:pPr>
            <w:r>
              <w:t>–</w:t>
            </w:r>
          </w:p>
        </w:tc>
        <w:tc>
          <w:tcPr>
            <w:tcW w:w="119" w:type="dxa"/>
            <w:vAlign w:val="bottom"/>
          </w:tcPr>
          <w:p w14:paraId="10A1FB9A" w14:textId="77777777" w:rsidR="00325294" w:rsidRDefault="00325294" w:rsidP="00F7615C">
            <w:pPr>
              <w:pStyle w:val="TBodynormalNumber"/>
              <w:keepNext/>
            </w:pPr>
          </w:p>
        </w:tc>
        <w:tc>
          <w:tcPr>
            <w:tcW w:w="1021" w:type="dxa"/>
            <w:tcBorders>
              <w:top w:val="single" w:sz="4" w:space="0" w:color="000000"/>
              <w:bottom w:val="single" w:sz="4" w:space="0" w:color="A59C94"/>
            </w:tcBorders>
            <w:shd w:val="clear" w:color="000000" w:fill="DAD5C9"/>
            <w:vAlign w:val="bottom"/>
          </w:tcPr>
          <w:p w14:paraId="313DF61F" w14:textId="77777777" w:rsidR="00325294" w:rsidRDefault="00325294" w:rsidP="00F7615C">
            <w:pPr>
              <w:pStyle w:val="TBodynormalNumber"/>
              <w:keepNext/>
            </w:pPr>
            <w:r>
              <w:t>–</w:t>
            </w:r>
          </w:p>
        </w:tc>
        <w:tc>
          <w:tcPr>
            <w:tcW w:w="119" w:type="dxa"/>
            <w:vAlign w:val="bottom"/>
          </w:tcPr>
          <w:p w14:paraId="3117DF6D"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7BE31C1B" w14:textId="77777777" w:rsidR="00325294" w:rsidRDefault="00325294" w:rsidP="00F7615C">
            <w:pPr>
              <w:pStyle w:val="TBodynormalNumber"/>
              <w:keepNext/>
            </w:pPr>
          </w:p>
        </w:tc>
        <w:tc>
          <w:tcPr>
            <w:tcW w:w="119" w:type="dxa"/>
            <w:vAlign w:val="bottom"/>
          </w:tcPr>
          <w:p w14:paraId="52BA2AE6"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4B0C9365" w14:textId="77777777" w:rsidR="00325294" w:rsidRDefault="00325294" w:rsidP="00F7615C">
            <w:pPr>
              <w:pStyle w:val="TBodynormalNumber"/>
              <w:keepNext/>
            </w:pPr>
            <w:r>
              <w:t>1</w:t>
            </w:r>
          </w:p>
        </w:tc>
        <w:tc>
          <w:tcPr>
            <w:tcW w:w="119" w:type="dxa"/>
            <w:vAlign w:val="bottom"/>
          </w:tcPr>
          <w:p w14:paraId="3C7F5B5D" w14:textId="77777777" w:rsidR="00325294" w:rsidRDefault="00325294" w:rsidP="00F7615C">
            <w:pPr>
              <w:pStyle w:val="TBodynormalNumber"/>
              <w:keepNext/>
            </w:pPr>
          </w:p>
        </w:tc>
        <w:tc>
          <w:tcPr>
            <w:tcW w:w="1021" w:type="dxa"/>
            <w:tcBorders>
              <w:top w:val="single" w:sz="4" w:space="0" w:color="000000"/>
              <w:bottom w:val="single" w:sz="4" w:space="0" w:color="A59C94"/>
            </w:tcBorders>
            <w:shd w:val="clear" w:color="000000" w:fill="DAD5C9"/>
            <w:vAlign w:val="bottom"/>
          </w:tcPr>
          <w:p w14:paraId="7CE0D82C" w14:textId="77777777" w:rsidR="00325294" w:rsidRDefault="00325294" w:rsidP="00F7615C">
            <w:pPr>
              <w:pStyle w:val="TBodynormalNumber"/>
              <w:keepNext/>
            </w:pPr>
            <w:r>
              <w:t>–</w:t>
            </w:r>
          </w:p>
        </w:tc>
        <w:tc>
          <w:tcPr>
            <w:tcW w:w="119" w:type="dxa"/>
            <w:vAlign w:val="bottom"/>
          </w:tcPr>
          <w:p w14:paraId="58D20492" w14:textId="77777777" w:rsidR="00325294" w:rsidRDefault="00325294" w:rsidP="00F7615C">
            <w:pPr>
              <w:pStyle w:val="TBodynormalNumber"/>
              <w:keepNext/>
            </w:pPr>
          </w:p>
        </w:tc>
        <w:tc>
          <w:tcPr>
            <w:tcW w:w="1021" w:type="dxa"/>
            <w:tcBorders>
              <w:top w:val="single" w:sz="4" w:space="0" w:color="000000"/>
              <w:bottom w:val="single" w:sz="4" w:space="0" w:color="A59C94"/>
            </w:tcBorders>
            <w:vAlign w:val="bottom"/>
          </w:tcPr>
          <w:p w14:paraId="0C064729" w14:textId="77777777" w:rsidR="00325294" w:rsidRDefault="00325294" w:rsidP="00F7615C">
            <w:pPr>
              <w:pStyle w:val="TBodynormalNumber"/>
              <w:keepNext/>
            </w:pPr>
          </w:p>
        </w:tc>
      </w:tr>
      <w:tr w:rsidR="00325294" w14:paraId="3CFF59CA" w14:textId="77777777" w:rsidTr="00F7615C">
        <w:tc>
          <w:tcPr>
            <w:tcW w:w="2914" w:type="dxa"/>
            <w:tcBorders>
              <w:top w:val="single" w:sz="4" w:space="0" w:color="A59C94"/>
              <w:bottom w:val="single" w:sz="4" w:space="0" w:color="000000"/>
            </w:tcBorders>
            <w:vAlign w:val="bottom"/>
          </w:tcPr>
          <w:p w14:paraId="47487D1C" w14:textId="77777777" w:rsidR="00325294" w:rsidRDefault="00325294" w:rsidP="00F7615C">
            <w:pPr>
              <w:pStyle w:val="TBodysubtotalText"/>
              <w:keepNext/>
            </w:pPr>
            <w:r>
              <w:t>Income after taxes</w:t>
            </w:r>
          </w:p>
        </w:tc>
        <w:tc>
          <w:tcPr>
            <w:tcW w:w="119" w:type="dxa"/>
            <w:vAlign w:val="bottom"/>
          </w:tcPr>
          <w:p w14:paraId="42F46FB1"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366DAEF2" w14:textId="77777777" w:rsidR="00325294" w:rsidRDefault="00325294" w:rsidP="00F7615C">
            <w:pPr>
              <w:pStyle w:val="TBodysubtotalNumber"/>
              <w:keepNext/>
            </w:pPr>
            <w:r>
              <w:t>-281</w:t>
            </w:r>
          </w:p>
        </w:tc>
        <w:tc>
          <w:tcPr>
            <w:tcW w:w="119" w:type="dxa"/>
            <w:vAlign w:val="bottom"/>
          </w:tcPr>
          <w:p w14:paraId="28DD44FE"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4BAC9E43" w14:textId="77777777" w:rsidR="00325294" w:rsidRDefault="00325294" w:rsidP="00F7615C">
            <w:pPr>
              <w:pStyle w:val="TBodysubtotalNumber"/>
              <w:keepNext/>
            </w:pPr>
            <w:r>
              <w:t>-144</w:t>
            </w:r>
          </w:p>
        </w:tc>
        <w:tc>
          <w:tcPr>
            <w:tcW w:w="119" w:type="dxa"/>
            <w:vAlign w:val="bottom"/>
          </w:tcPr>
          <w:p w14:paraId="38404FF3"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1647EE6D" w14:textId="77777777" w:rsidR="00325294" w:rsidRDefault="00325294" w:rsidP="00F7615C">
            <w:pPr>
              <w:pStyle w:val="TBodysubtotalNumber"/>
              <w:keepNext/>
            </w:pPr>
            <w:r>
              <w:t>-49</w:t>
            </w:r>
          </w:p>
        </w:tc>
        <w:tc>
          <w:tcPr>
            <w:tcW w:w="119" w:type="dxa"/>
            <w:vAlign w:val="bottom"/>
          </w:tcPr>
          <w:p w14:paraId="60929A92"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7340BE1C" w14:textId="77777777" w:rsidR="00325294" w:rsidRDefault="00325294" w:rsidP="00F7615C">
            <w:pPr>
              <w:pStyle w:val="TBodysubtotalNumber"/>
              <w:keepNext/>
            </w:pPr>
            <w:r>
              <w:t>555</w:t>
            </w:r>
          </w:p>
        </w:tc>
        <w:tc>
          <w:tcPr>
            <w:tcW w:w="119" w:type="dxa"/>
            <w:vAlign w:val="bottom"/>
          </w:tcPr>
          <w:p w14:paraId="15CA27AB"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07608964" w14:textId="77777777" w:rsidR="00325294" w:rsidRDefault="00325294" w:rsidP="00F7615C">
            <w:pPr>
              <w:pStyle w:val="TBodysubtotalNumber"/>
              <w:keepNext/>
            </w:pPr>
            <w:r>
              <w:t>-452</w:t>
            </w:r>
          </w:p>
        </w:tc>
        <w:tc>
          <w:tcPr>
            <w:tcW w:w="119" w:type="dxa"/>
            <w:vAlign w:val="bottom"/>
          </w:tcPr>
          <w:p w14:paraId="1D8372A2"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56D17842" w14:textId="77777777" w:rsidR="00325294" w:rsidRDefault="00325294" w:rsidP="00F7615C">
            <w:pPr>
              <w:pStyle w:val="TBodysubtotalNumber"/>
              <w:keepNext/>
            </w:pPr>
            <w:r>
              <w:t>-181</w:t>
            </w:r>
          </w:p>
        </w:tc>
      </w:tr>
      <w:tr w:rsidR="00325294" w14:paraId="34ECC16E" w14:textId="77777777" w:rsidTr="00F7615C">
        <w:tc>
          <w:tcPr>
            <w:tcW w:w="2914" w:type="dxa"/>
            <w:tcBorders>
              <w:top w:val="single" w:sz="4" w:space="0" w:color="000000"/>
              <w:bottom w:val="single" w:sz="4" w:space="0" w:color="A59C94"/>
            </w:tcBorders>
            <w:vAlign w:val="bottom"/>
          </w:tcPr>
          <w:p w14:paraId="2B245DBF" w14:textId="77777777" w:rsidR="00325294" w:rsidRPr="001079B0" w:rsidRDefault="00325294" w:rsidP="00F7615C">
            <w:pPr>
              <w:pStyle w:val="TBodyindent5Text"/>
              <w:keepNext/>
            </w:pPr>
            <w:r>
              <w:t>thereof attributable to non-controlling interests</w:t>
            </w:r>
          </w:p>
        </w:tc>
        <w:tc>
          <w:tcPr>
            <w:tcW w:w="119" w:type="dxa"/>
            <w:vAlign w:val="bottom"/>
          </w:tcPr>
          <w:p w14:paraId="2D2D272E" w14:textId="77777777" w:rsidR="00325294" w:rsidRPr="001079B0" w:rsidRDefault="00325294" w:rsidP="00F7615C">
            <w:pPr>
              <w:pStyle w:val="TBodyindent3Number"/>
              <w:keepNext/>
            </w:pPr>
          </w:p>
        </w:tc>
        <w:tc>
          <w:tcPr>
            <w:tcW w:w="1021" w:type="dxa"/>
            <w:tcBorders>
              <w:top w:val="single" w:sz="4" w:space="0" w:color="000000"/>
              <w:bottom w:val="single" w:sz="4" w:space="0" w:color="A59C94"/>
            </w:tcBorders>
            <w:vAlign w:val="bottom"/>
          </w:tcPr>
          <w:p w14:paraId="3844CB6E" w14:textId="77777777" w:rsidR="00325294" w:rsidRDefault="00325294" w:rsidP="00F7615C">
            <w:pPr>
              <w:pStyle w:val="TBodyindent3Number"/>
              <w:keepNext/>
            </w:pPr>
            <w:r>
              <w:t>3</w:t>
            </w:r>
          </w:p>
        </w:tc>
        <w:tc>
          <w:tcPr>
            <w:tcW w:w="119" w:type="dxa"/>
            <w:vAlign w:val="bottom"/>
          </w:tcPr>
          <w:p w14:paraId="423D0BE2" w14:textId="77777777" w:rsidR="00325294" w:rsidRDefault="00325294" w:rsidP="00F7615C">
            <w:pPr>
              <w:pStyle w:val="TBodyindent3Number"/>
              <w:keepNext/>
            </w:pPr>
          </w:p>
        </w:tc>
        <w:tc>
          <w:tcPr>
            <w:tcW w:w="1021" w:type="dxa"/>
            <w:tcBorders>
              <w:top w:val="single" w:sz="4" w:space="0" w:color="000000"/>
              <w:bottom w:val="single" w:sz="4" w:space="0" w:color="A59C94"/>
            </w:tcBorders>
            <w:shd w:val="clear" w:color="000000" w:fill="DAD5C9"/>
            <w:vAlign w:val="bottom"/>
          </w:tcPr>
          <w:p w14:paraId="3AFDBD89" w14:textId="77777777" w:rsidR="00325294" w:rsidRDefault="00325294" w:rsidP="00F7615C">
            <w:pPr>
              <w:pStyle w:val="TBodyindent3Number"/>
              <w:keepNext/>
            </w:pPr>
            <w:r>
              <w:t>2</w:t>
            </w:r>
          </w:p>
        </w:tc>
        <w:tc>
          <w:tcPr>
            <w:tcW w:w="119" w:type="dxa"/>
            <w:vAlign w:val="bottom"/>
          </w:tcPr>
          <w:p w14:paraId="335D01D8" w14:textId="77777777" w:rsidR="00325294" w:rsidRDefault="00325294" w:rsidP="00F7615C">
            <w:pPr>
              <w:pStyle w:val="TBodyindent3Number"/>
              <w:keepNext/>
            </w:pPr>
          </w:p>
        </w:tc>
        <w:tc>
          <w:tcPr>
            <w:tcW w:w="1021" w:type="dxa"/>
            <w:tcBorders>
              <w:top w:val="single" w:sz="4" w:space="0" w:color="000000"/>
              <w:bottom w:val="single" w:sz="4" w:space="0" w:color="A59C94"/>
            </w:tcBorders>
            <w:vAlign w:val="bottom"/>
          </w:tcPr>
          <w:p w14:paraId="121C837A" w14:textId="77777777" w:rsidR="00325294" w:rsidRDefault="00325294" w:rsidP="00F7615C">
            <w:pPr>
              <w:pStyle w:val="TBodyindent3Number"/>
              <w:keepNext/>
            </w:pPr>
          </w:p>
        </w:tc>
        <w:tc>
          <w:tcPr>
            <w:tcW w:w="119" w:type="dxa"/>
            <w:vAlign w:val="bottom"/>
          </w:tcPr>
          <w:p w14:paraId="6AECA826" w14:textId="77777777" w:rsidR="00325294" w:rsidRDefault="00325294" w:rsidP="00F7615C">
            <w:pPr>
              <w:pStyle w:val="TBodyindent3Number"/>
              <w:keepNext/>
            </w:pPr>
          </w:p>
        </w:tc>
        <w:tc>
          <w:tcPr>
            <w:tcW w:w="1021" w:type="dxa"/>
            <w:tcBorders>
              <w:top w:val="single" w:sz="4" w:space="0" w:color="000000"/>
              <w:bottom w:val="single" w:sz="4" w:space="0" w:color="A59C94"/>
            </w:tcBorders>
            <w:vAlign w:val="bottom"/>
          </w:tcPr>
          <w:p w14:paraId="13FBA8ED" w14:textId="77777777" w:rsidR="00325294" w:rsidRDefault="00325294" w:rsidP="00F7615C">
            <w:pPr>
              <w:pStyle w:val="TBodyindent3Number"/>
              <w:keepNext/>
            </w:pPr>
            <w:r>
              <w:t>15</w:t>
            </w:r>
          </w:p>
        </w:tc>
        <w:tc>
          <w:tcPr>
            <w:tcW w:w="119" w:type="dxa"/>
            <w:vAlign w:val="bottom"/>
          </w:tcPr>
          <w:p w14:paraId="388C4DF6" w14:textId="77777777" w:rsidR="00325294" w:rsidRDefault="00325294" w:rsidP="00F7615C">
            <w:pPr>
              <w:pStyle w:val="TBodyindent3Number"/>
              <w:keepNext/>
            </w:pPr>
          </w:p>
        </w:tc>
        <w:tc>
          <w:tcPr>
            <w:tcW w:w="1021" w:type="dxa"/>
            <w:tcBorders>
              <w:top w:val="single" w:sz="4" w:space="0" w:color="000000"/>
              <w:bottom w:val="single" w:sz="4" w:space="0" w:color="A59C94"/>
            </w:tcBorders>
            <w:shd w:val="clear" w:color="000000" w:fill="DAD5C9"/>
            <w:vAlign w:val="bottom"/>
          </w:tcPr>
          <w:p w14:paraId="7997A33E" w14:textId="77777777" w:rsidR="00325294" w:rsidRDefault="00325294" w:rsidP="00F7615C">
            <w:pPr>
              <w:pStyle w:val="TBodyindent3Number"/>
              <w:keepNext/>
            </w:pPr>
            <w:r>
              <w:t>13</w:t>
            </w:r>
          </w:p>
        </w:tc>
        <w:tc>
          <w:tcPr>
            <w:tcW w:w="119" w:type="dxa"/>
            <w:vAlign w:val="bottom"/>
          </w:tcPr>
          <w:p w14:paraId="495E694D" w14:textId="77777777" w:rsidR="00325294" w:rsidRDefault="00325294" w:rsidP="00F7615C">
            <w:pPr>
              <w:pStyle w:val="TBodyindent3Number"/>
              <w:keepNext/>
            </w:pPr>
          </w:p>
        </w:tc>
        <w:tc>
          <w:tcPr>
            <w:tcW w:w="1021" w:type="dxa"/>
            <w:tcBorders>
              <w:top w:val="single" w:sz="4" w:space="0" w:color="000000"/>
              <w:bottom w:val="single" w:sz="4" w:space="0" w:color="A59C94"/>
            </w:tcBorders>
            <w:vAlign w:val="bottom"/>
          </w:tcPr>
          <w:p w14:paraId="45FA787A" w14:textId="77777777" w:rsidR="00325294" w:rsidRDefault="00325294" w:rsidP="00F7615C">
            <w:pPr>
              <w:pStyle w:val="TBodyindent3Number"/>
              <w:keepNext/>
            </w:pPr>
          </w:p>
        </w:tc>
      </w:tr>
      <w:tr w:rsidR="00325294" w14:paraId="23103CB8" w14:textId="77777777" w:rsidTr="00F7615C">
        <w:tc>
          <w:tcPr>
            <w:tcW w:w="2914" w:type="dxa"/>
            <w:tcBorders>
              <w:top w:val="single" w:sz="4" w:space="0" w:color="A59C94"/>
              <w:bottom w:val="single" w:sz="4" w:space="0" w:color="000000"/>
            </w:tcBorders>
            <w:vAlign w:val="bottom"/>
          </w:tcPr>
          <w:p w14:paraId="79C55C05" w14:textId="77777777" w:rsidR="00325294" w:rsidRDefault="00325294" w:rsidP="00F7615C">
            <w:pPr>
              <w:pStyle w:val="TBodysubtotalText"/>
              <w:keepNext/>
            </w:pPr>
            <w:r>
              <w:t>Net Income</w:t>
            </w:r>
          </w:p>
        </w:tc>
        <w:tc>
          <w:tcPr>
            <w:tcW w:w="119" w:type="dxa"/>
            <w:vAlign w:val="bottom"/>
          </w:tcPr>
          <w:p w14:paraId="23681B76"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6BF24A37" w14:textId="77777777" w:rsidR="00325294" w:rsidRDefault="00325294" w:rsidP="00F7615C">
            <w:pPr>
              <w:pStyle w:val="TBodysubtotalNumber"/>
              <w:keepNext/>
            </w:pPr>
            <w:r>
              <w:t>-284</w:t>
            </w:r>
          </w:p>
        </w:tc>
        <w:tc>
          <w:tcPr>
            <w:tcW w:w="119" w:type="dxa"/>
            <w:vAlign w:val="bottom"/>
          </w:tcPr>
          <w:p w14:paraId="491623B4"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716496D1" w14:textId="77777777" w:rsidR="00325294" w:rsidRDefault="00325294" w:rsidP="00F7615C">
            <w:pPr>
              <w:pStyle w:val="TBodysubtotalNumber"/>
              <w:keepNext/>
            </w:pPr>
            <w:r>
              <w:t>-146</w:t>
            </w:r>
          </w:p>
        </w:tc>
        <w:tc>
          <w:tcPr>
            <w:tcW w:w="119" w:type="dxa"/>
            <w:vAlign w:val="bottom"/>
          </w:tcPr>
          <w:p w14:paraId="3AFAB561"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3F0D21FB" w14:textId="77777777" w:rsidR="00325294" w:rsidRDefault="00325294" w:rsidP="00F7615C">
            <w:pPr>
              <w:pStyle w:val="TBodysubtotalNumber"/>
              <w:keepNext/>
            </w:pPr>
            <w:r>
              <w:t>-49</w:t>
            </w:r>
          </w:p>
        </w:tc>
        <w:tc>
          <w:tcPr>
            <w:tcW w:w="119" w:type="dxa"/>
            <w:vAlign w:val="bottom"/>
          </w:tcPr>
          <w:p w14:paraId="75DD688E"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4A010FA3" w14:textId="77777777" w:rsidR="00325294" w:rsidRDefault="00325294" w:rsidP="00F7615C">
            <w:pPr>
              <w:pStyle w:val="TBodysubtotalNumber"/>
              <w:keepNext/>
            </w:pPr>
            <w:r>
              <w:t>540</w:t>
            </w:r>
          </w:p>
        </w:tc>
        <w:tc>
          <w:tcPr>
            <w:tcW w:w="119" w:type="dxa"/>
            <w:vAlign w:val="bottom"/>
          </w:tcPr>
          <w:p w14:paraId="25C1CA64" w14:textId="77777777" w:rsidR="00325294" w:rsidRDefault="00325294" w:rsidP="00F7615C">
            <w:pPr>
              <w:pStyle w:val="TBodysubtotalNumber"/>
              <w:keepNext/>
            </w:pPr>
          </w:p>
        </w:tc>
        <w:tc>
          <w:tcPr>
            <w:tcW w:w="1021" w:type="dxa"/>
            <w:tcBorders>
              <w:top w:val="single" w:sz="4" w:space="0" w:color="A59C94"/>
              <w:bottom w:val="single" w:sz="4" w:space="0" w:color="000000"/>
            </w:tcBorders>
            <w:shd w:val="clear" w:color="000000" w:fill="DAD5C9"/>
            <w:vAlign w:val="bottom"/>
          </w:tcPr>
          <w:p w14:paraId="167E2091" w14:textId="77777777" w:rsidR="00325294" w:rsidRDefault="00325294" w:rsidP="00F7615C">
            <w:pPr>
              <w:pStyle w:val="TBodysubtotalNumber"/>
              <w:keepNext/>
            </w:pPr>
            <w:r>
              <w:t>-465</w:t>
            </w:r>
          </w:p>
        </w:tc>
        <w:tc>
          <w:tcPr>
            <w:tcW w:w="119" w:type="dxa"/>
            <w:vAlign w:val="bottom"/>
          </w:tcPr>
          <w:p w14:paraId="7FB42407" w14:textId="77777777" w:rsidR="00325294" w:rsidRDefault="00325294" w:rsidP="00F7615C">
            <w:pPr>
              <w:pStyle w:val="TBodysubtotalNumber"/>
              <w:keepNext/>
            </w:pPr>
          </w:p>
        </w:tc>
        <w:tc>
          <w:tcPr>
            <w:tcW w:w="1021" w:type="dxa"/>
            <w:tcBorders>
              <w:top w:val="single" w:sz="4" w:space="0" w:color="A59C94"/>
              <w:bottom w:val="single" w:sz="4" w:space="0" w:color="000000"/>
            </w:tcBorders>
            <w:vAlign w:val="bottom"/>
          </w:tcPr>
          <w:p w14:paraId="3CD71A14" w14:textId="77777777" w:rsidR="00325294" w:rsidRDefault="00325294" w:rsidP="00F7615C">
            <w:pPr>
              <w:pStyle w:val="TBodysubtotalNumber"/>
              <w:keepNext/>
            </w:pPr>
            <w:r>
              <w:t>-186</w:t>
            </w:r>
          </w:p>
        </w:tc>
      </w:tr>
      <w:tr w:rsidR="00325294" w14:paraId="22AC256D" w14:textId="77777777" w:rsidTr="00F7615C">
        <w:tc>
          <w:tcPr>
            <w:tcW w:w="2914" w:type="dxa"/>
            <w:tcBorders>
              <w:top w:val="single" w:sz="4" w:space="0" w:color="000000"/>
              <w:bottom w:val="single" w:sz="16" w:space="0" w:color="991D85"/>
            </w:tcBorders>
            <w:vAlign w:val="bottom"/>
          </w:tcPr>
          <w:p w14:paraId="40F63550" w14:textId="77777777" w:rsidR="00325294" w:rsidRDefault="00325294" w:rsidP="00F7615C">
            <w:pPr>
              <w:pStyle w:val="TBodytotalText"/>
            </w:pPr>
            <w:r>
              <w:t>Adjusted net income</w:t>
            </w:r>
          </w:p>
        </w:tc>
        <w:tc>
          <w:tcPr>
            <w:tcW w:w="119" w:type="dxa"/>
            <w:tcBorders>
              <w:bottom w:val="single" w:sz="16" w:space="0" w:color="991D85"/>
            </w:tcBorders>
            <w:vAlign w:val="bottom"/>
          </w:tcPr>
          <w:p w14:paraId="40680911" w14:textId="77777777" w:rsidR="00325294" w:rsidRDefault="00325294" w:rsidP="00F7615C">
            <w:pPr>
              <w:pStyle w:val="TBodytotalNumber"/>
            </w:pPr>
          </w:p>
        </w:tc>
        <w:tc>
          <w:tcPr>
            <w:tcW w:w="1021" w:type="dxa"/>
            <w:tcBorders>
              <w:top w:val="single" w:sz="4" w:space="0" w:color="000000"/>
              <w:bottom w:val="single" w:sz="16" w:space="0" w:color="991D85"/>
            </w:tcBorders>
            <w:vAlign w:val="bottom"/>
          </w:tcPr>
          <w:p w14:paraId="7230A432" w14:textId="77777777" w:rsidR="00325294" w:rsidRDefault="00325294" w:rsidP="00F7615C">
            <w:pPr>
              <w:pStyle w:val="TBodytotalNumber"/>
            </w:pPr>
            <w:r>
              <w:t>94</w:t>
            </w:r>
          </w:p>
        </w:tc>
        <w:tc>
          <w:tcPr>
            <w:tcW w:w="119" w:type="dxa"/>
            <w:tcBorders>
              <w:bottom w:val="single" w:sz="16" w:space="0" w:color="991D85"/>
            </w:tcBorders>
            <w:vAlign w:val="bottom"/>
          </w:tcPr>
          <w:p w14:paraId="4F17F5E5" w14:textId="77777777" w:rsidR="00325294" w:rsidRDefault="00325294" w:rsidP="00F7615C">
            <w:pPr>
              <w:pStyle w:val="TBodytotalNumber"/>
            </w:pPr>
          </w:p>
        </w:tc>
        <w:tc>
          <w:tcPr>
            <w:tcW w:w="1021" w:type="dxa"/>
            <w:tcBorders>
              <w:top w:val="single" w:sz="4" w:space="0" w:color="000000"/>
              <w:bottom w:val="single" w:sz="16" w:space="0" w:color="991D85"/>
            </w:tcBorders>
            <w:shd w:val="clear" w:color="000000" w:fill="DAD5C9"/>
            <w:vAlign w:val="bottom"/>
          </w:tcPr>
          <w:p w14:paraId="65412309" w14:textId="77777777" w:rsidR="00325294" w:rsidRDefault="00325294" w:rsidP="00F7615C">
            <w:pPr>
              <w:pStyle w:val="TBodytotalNumber"/>
            </w:pPr>
            <w:r>
              <w:t>-56</w:t>
            </w:r>
          </w:p>
        </w:tc>
        <w:tc>
          <w:tcPr>
            <w:tcW w:w="119" w:type="dxa"/>
            <w:tcBorders>
              <w:bottom w:val="single" w:sz="16" w:space="0" w:color="991D85"/>
            </w:tcBorders>
            <w:vAlign w:val="bottom"/>
          </w:tcPr>
          <w:p w14:paraId="0EEA101A" w14:textId="77777777" w:rsidR="00325294" w:rsidRDefault="00325294" w:rsidP="00F7615C">
            <w:pPr>
              <w:pStyle w:val="TBodytotalNumber"/>
            </w:pPr>
          </w:p>
        </w:tc>
        <w:tc>
          <w:tcPr>
            <w:tcW w:w="1021" w:type="dxa"/>
            <w:tcBorders>
              <w:top w:val="single" w:sz="4" w:space="0" w:color="000000"/>
              <w:bottom w:val="single" w:sz="16" w:space="0" w:color="991D85"/>
            </w:tcBorders>
            <w:vAlign w:val="bottom"/>
          </w:tcPr>
          <w:p w14:paraId="44786447" w14:textId="77777777" w:rsidR="00325294" w:rsidRDefault="00325294" w:rsidP="00F7615C">
            <w:pPr>
              <w:pStyle w:val="TBodytotalNumber"/>
            </w:pPr>
            <w:r>
              <w:t>-160</w:t>
            </w:r>
          </w:p>
        </w:tc>
        <w:tc>
          <w:tcPr>
            <w:tcW w:w="119" w:type="dxa"/>
            <w:tcBorders>
              <w:bottom w:val="single" w:sz="16" w:space="0" w:color="991D85"/>
            </w:tcBorders>
            <w:vAlign w:val="bottom"/>
          </w:tcPr>
          <w:p w14:paraId="59ABBF6C" w14:textId="77777777" w:rsidR="00325294" w:rsidRDefault="00325294" w:rsidP="00F7615C">
            <w:pPr>
              <w:pStyle w:val="TBodytotalNumber"/>
            </w:pPr>
          </w:p>
        </w:tc>
        <w:tc>
          <w:tcPr>
            <w:tcW w:w="1021" w:type="dxa"/>
            <w:tcBorders>
              <w:top w:val="single" w:sz="4" w:space="0" w:color="000000"/>
              <w:bottom w:val="single" w:sz="16" w:space="0" w:color="991D85"/>
            </w:tcBorders>
            <w:vAlign w:val="bottom"/>
          </w:tcPr>
          <w:p w14:paraId="2CDB84F3" w14:textId="77777777" w:rsidR="00325294" w:rsidRDefault="00325294" w:rsidP="00F7615C">
            <w:pPr>
              <w:pStyle w:val="TBodytotalNumber"/>
            </w:pPr>
            <w:bookmarkStart w:id="15" w:name="SNAMD_f8de9e017b364e58a69f13a9b1ece139"/>
            <w:r>
              <w:t>1,054</w:t>
            </w:r>
            <w:bookmarkEnd w:id="15"/>
          </w:p>
        </w:tc>
        <w:tc>
          <w:tcPr>
            <w:tcW w:w="119" w:type="dxa"/>
            <w:tcBorders>
              <w:bottom w:val="single" w:sz="16" w:space="0" w:color="991D85"/>
            </w:tcBorders>
            <w:vAlign w:val="bottom"/>
          </w:tcPr>
          <w:p w14:paraId="7C883BA2" w14:textId="77777777" w:rsidR="00325294" w:rsidRDefault="00325294" w:rsidP="00F7615C">
            <w:pPr>
              <w:pStyle w:val="TBodytotalNumber"/>
            </w:pPr>
          </w:p>
        </w:tc>
        <w:tc>
          <w:tcPr>
            <w:tcW w:w="1021" w:type="dxa"/>
            <w:tcBorders>
              <w:top w:val="single" w:sz="4" w:space="0" w:color="000000"/>
              <w:bottom w:val="single" w:sz="16" w:space="0" w:color="991D85"/>
            </w:tcBorders>
            <w:shd w:val="clear" w:color="000000" w:fill="DAD5C9"/>
            <w:vAlign w:val="bottom"/>
          </w:tcPr>
          <w:p w14:paraId="1164C27F" w14:textId="77777777" w:rsidR="00325294" w:rsidRDefault="00325294" w:rsidP="00F7615C">
            <w:pPr>
              <w:pStyle w:val="TBodytotalNumber"/>
            </w:pPr>
            <w:bookmarkStart w:id="16" w:name="SNAMD_d3c2d78c7ccf46a0b6179e61e5dddc10"/>
            <w:r>
              <w:t>370</w:t>
            </w:r>
            <w:bookmarkEnd w:id="16"/>
          </w:p>
        </w:tc>
        <w:tc>
          <w:tcPr>
            <w:tcW w:w="119" w:type="dxa"/>
            <w:tcBorders>
              <w:bottom w:val="single" w:sz="16" w:space="0" w:color="991D85"/>
            </w:tcBorders>
            <w:vAlign w:val="bottom"/>
          </w:tcPr>
          <w:p w14:paraId="6186335D" w14:textId="77777777" w:rsidR="00325294" w:rsidRDefault="00325294" w:rsidP="00F7615C">
            <w:pPr>
              <w:pStyle w:val="TBodytotalNumber"/>
            </w:pPr>
          </w:p>
        </w:tc>
        <w:tc>
          <w:tcPr>
            <w:tcW w:w="1021" w:type="dxa"/>
            <w:tcBorders>
              <w:top w:val="single" w:sz="4" w:space="0" w:color="000000"/>
              <w:bottom w:val="single" w:sz="16" w:space="0" w:color="991D85"/>
            </w:tcBorders>
            <w:vAlign w:val="bottom"/>
          </w:tcPr>
          <w:p w14:paraId="746D5D95" w14:textId="77777777" w:rsidR="00325294" w:rsidRDefault="00325294" w:rsidP="00F7615C">
            <w:pPr>
              <w:pStyle w:val="TBodytotalNumber"/>
            </w:pPr>
            <w:r>
              <w:t>-65</w:t>
            </w:r>
          </w:p>
        </w:tc>
      </w:tr>
      <w:bookmarkEnd w:id="11"/>
    </w:tbl>
    <w:p w14:paraId="7C4AB6CE" w14:textId="77777777" w:rsidR="00A3768C" w:rsidRDefault="00A3768C" w:rsidP="00CF0A00">
      <w:pPr>
        <w:spacing w:line="240" w:lineRule="auto"/>
        <w:rPr>
          <w:lang w:val="en-US"/>
        </w:rPr>
      </w:pPr>
    </w:p>
    <w:p w14:paraId="4A6AF330" w14:textId="77777777" w:rsidR="00CB45CB" w:rsidRDefault="00CB45CB" w:rsidP="00CF0A00">
      <w:pPr>
        <w:spacing w:line="240" w:lineRule="auto"/>
        <w:rPr>
          <w:lang w:val="en-US"/>
        </w:rPr>
      </w:pPr>
    </w:p>
    <w:p w14:paraId="3BA66D04" w14:textId="77777777" w:rsidR="00CB45CB" w:rsidRDefault="00CB45CB" w:rsidP="00CF0A00">
      <w:pPr>
        <w:spacing w:line="240" w:lineRule="auto"/>
        <w:rPr>
          <w:lang w:val="en-US"/>
        </w:rPr>
      </w:pPr>
    </w:p>
    <w:tbl>
      <w:tblPr>
        <w:tblW w:w="9754" w:type="dxa"/>
        <w:tblLayout w:type="fixed"/>
        <w:tblCellMar>
          <w:left w:w="0" w:type="dxa"/>
          <w:right w:w="0" w:type="dxa"/>
        </w:tblCellMar>
        <w:tblLook w:val="04A0" w:firstRow="1" w:lastRow="0" w:firstColumn="1" w:lastColumn="0" w:noHBand="0" w:noVBand="1"/>
      </w:tblPr>
      <w:tblGrid>
        <w:gridCol w:w="2914"/>
        <w:gridCol w:w="119"/>
        <w:gridCol w:w="1021"/>
        <w:gridCol w:w="119"/>
        <w:gridCol w:w="1021"/>
        <w:gridCol w:w="119"/>
        <w:gridCol w:w="1021"/>
        <w:gridCol w:w="119"/>
        <w:gridCol w:w="1021"/>
        <w:gridCol w:w="119"/>
        <w:gridCol w:w="1021"/>
        <w:gridCol w:w="119"/>
        <w:gridCol w:w="1021"/>
      </w:tblGrid>
      <w:tr w:rsidR="00301CD5" w14:paraId="008CAB60" w14:textId="77777777" w:rsidTr="25CB468E">
        <w:tc>
          <w:tcPr>
            <w:tcW w:w="9754" w:type="dxa"/>
            <w:gridSpan w:val="13"/>
            <w:noWrap/>
            <w:vAlign w:val="bottom"/>
          </w:tcPr>
          <w:p w14:paraId="3FB792EF" w14:textId="77777777" w:rsidR="00301CD5" w:rsidRDefault="40B6B448" w:rsidP="00F7615C">
            <w:pPr>
              <w:pStyle w:val="TTitleText"/>
            </w:pPr>
            <w:r>
              <w:lastRenderedPageBreak/>
              <w:t xml:space="preserve">Division performance - 4th </w:t>
            </w:r>
            <w:bookmarkStart w:id="17" w:name="_Int_VxODMWhn"/>
            <w:r>
              <w:t>quarter</w:t>
            </w:r>
            <w:bookmarkEnd w:id="17"/>
          </w:p>
        </w:tc>
      </w:tr>
      <w:tr w:rsidR="00301CD5" w14:paraId="55927CE6" w14:textId="77777777" w:rsidTr="25CB468E">
        <w:tc>
          <w:tcPr>
            <w:tcW w:w="2914" w:type="dxa"/>
            <w:tcBorders>
              <w:top w:val="single" w:sz="8" w:space="0" w:color="000000" w:themeColor="text1"/>
            </w:tcBorders>
            <w:noWrap/>
            <w:vAlign w:val="bottom"/>
          </w:tcPr>
          <w:p w14:paraId="2F973F78" w14:textId="77777777" w:rsidR="00301CD5" w:rsidRDefault="00301CD5" w:rsidP="00F7615C">
            <w:pPr>
              <w:pStyle w:val="TDummy"/>
              <w:keepNext/>
            </w:pPr>
          </w:p>
        </w:tc>
        <w:tc>
          <w:tcPr>
            <w:tcW w:w="119" w:type="dxa"/>
            <w:tcBorders>
              <w:top w:val="single" w:sz="8" w:space="0" w:color="000000" w:themeColor="text1"/>
            </w:tcBorders>
            <w:noWrap/>
            <w:vAlign w:val="bottom"/>
          </w:tcPr>
          <w:p w14:paraId="586A9DE8" w14:textId="77777777" w:rsidR="00301CD5" w:rsidRDefault="00301CD5" w:rsidP="00F7615C">
            <w:pPr>
              <w:pStyle w:val="TDummy"/>
              <w:keepNext/>
            </w:pPr>
          </w:p>
        </w:tc>
        <w:tc>
          <w:tcPr>
            <w:tcW w:w="1021" w:type="dxa"/>
            <w:tcBorders>
              <w:top w:val="single" w:sz="8" w:space="0" w:color="000000" w:themeColor="text1"/>
            </w:tcBorders>
            <w:noWrap/>
            <w:vAlign w:val="bottom"/>
          </w:tcPr>
          <w:p w14:paraId="0D38C548" w14:textId="77777777" w:rsidR="00301CD5" w:rsidRDefault="00301CD5" w:rsidP="00F7615C">
            <w:pPr>
              <w:pStyle w:val="TDummy"/>
              <w:keepNext/>
            </w:pPr>
          </w:p>
        </w:tc>
        <w:tc>
          <w:tcPr>
            <w:tcW w:w="119" w:type="dxa"/>
            <w:tcBorders>
              <w:top w:val="single" w:sz="8" w:space="0" w:color="000000" w:themeColor="text1"/>
            </w:tcBorders>
            <w:noWrap/>
            <w:vAlign w:val="bottom"/>
          </w:tcPr>
          <w:p w14:paraId="55F51DD7" w14:textId="77777777" w:rsidR="00301CD5" w:rsidRDefault="00301CD5" w:rsidP="00F7615C">
            <w:pPr>
              <w:pStyle w:val="TDummy"/>
              <w:keepNext/>
            </w:pPr>
          </w:p>
        </w:tc>
        <w:tc>
          <w:tcPr>
            <w:tcW w:w="1021" w:type="dxa"/>
            <w:tcBorders>
              <w:top w:val="single" w:sz="8" w:space="0" w:color="000000" w:themeColor="text1"/>
            </w:tcBorders>
            <w:noWrap/>
            <w:vAlign w:val="bottom"/>
          </w:tcPr>
          <w:p w14:paraId="3786B445" w14:textId="77777777" w:rsidR="00301CD5" w:rsidRDefault="00301CD5" w:rsidP="00F7615C">
            <w:pPr>
              <w:pStyle w:val="TDummy"/>
              <w:keepNext/>
            </w:pPr>
          </w:p>
        </w:tc>
        <w:tc>
          <w:tcPr>
            <w:tcW w:w="119" w:type="dxa"/>
            <w:tcBorders>
              <w:top w:val="single" w:sz="8" w:space="0" w:color="000000" w:themeColor="text1"/>
            </w:tcBorders>
            <w:noWrap/>
            <w:vAlign w:val="bottom"/>
          </w:tcPr>
          <w:p w14:paraId="45BE9BE0" w14:textId="77777777" w:rsidR="00301CD5" w:rsidRDefault="00301CD5" w:rsidP="00F7615C">
            <w:pPr>
              <w:pStyle w:val="TDummy"/>
              <w:keepNext/>
            </w:pPr>
          </w:p>
        </w:tc>
        <w:tc>
          <w:tcPr>
            <w:tcW w:w="1021" w:type="dxa"/>
            <w:tcBorders>
              <w:top w:val="single" w:sz="8" w:space="0" w:color="000000" w:themeColor="text1"/>
            </w:tcBorders>
            <w:noWrap/>
            <w:vAlign w:val="bottom"/>
          </w:tcPr>
          <w:p w14:paraId="3C6EADED" w14:textId="77777777" w:rsidR="00301CD5" w:rsidRDefault="00301CD5" w:rsidP="00F7615C">
            <w:pPr>
              <w:pStyle w:val="TDummy"/>
              <w:keepNext/>
            </w:pPr>
          </w:p>
        </w:tc>
        <w:tc>
          <w:tcPr>
            <w:tcW w:w="119" w:type="dxa"/>
            <w:tcBorders>
              <w:top w:val="single" w:sz="8" w:space="0" w:color="000000" w:themeColor="text1"/>
            </w:tcBorders>
            <w:noWrap/>
            <w:vAlign w:val="bottom"/>
          </w:tcPr>
          <w:p w14:paraId="7D1336DC" w14:textId="77777777" w:rsidR="00301CD5" w:rsidRDefault="00301CD5" w:rsidP="00F7615C">
            <w:pPr>
              <w:pStyle w:val="TDummy"/>
              <w:keepNext/>
            </w:pPr>
          </w:p>
        </w:tc>
        <w:tc>
          <w:tcPr>
            <w:tcW w:w="1021" w:type="dxa"/>
            <w:tcBorders>
              <w:top w:val="single" w:sz="8" w:space="0" w:color="000000" w:themeColor="text1"/>
            </w:tcBorders>
            <w:noWrap/>
            <w:vAlign w:val="bottom"/>
          </w:tcPr>
          <w:p w14:paraId="652C86FD" w14:textId="77777777" w:rsidR="00301CD5" w:rsidRDefault="00301CD5" w:rsidP="00F7615C">
            <w:pPr>
              <w:pStyle w:val="TDummy"/>
              <w:keepNext/>
            </w:pPr>
          </w:p>
        </w:tc>
        <w:tc>
          <w:tcPr>
            <w:tcW w:w="119" w:type="dxa"/>
            <w:tcBorders>
              <w:top w:val="single" w:sz="8" w:space="0" w:color="000000" w:themeColor="text1"/>
            </w:tcBorders>
            <w:noWrap/>
            <w:vAlign w:val="bottom"/>
          </w:tcPr>
          <w:p w14:paraId="7843757E" w14:textId="77777777" w:rsidR="00301CD5" w:rsidRDefault="00301CD5" w:rsidP="00F7615C">
            <w:pPr>
              <w:pStyle w:val="TDummy"/>
              <w:keepNext/>
            </w:pPr>
          </w:p>
        </w:tc>
        <w:tc>
          <w:tcPr>
            <w:tcW w:w="1021" w:type="dxa"/>
            <w:tcBorders>
              <w:top w:val="single" w:sz="8" w:space="0" w:color="000000" w:themeColor="text1"/>
            </w:tcBorders>
            <w:noWrap/>
            <w:vAlign w:val="bottom"/>
          </w:tcPr>
          <w:p w14:paraId="4EFF5DF4" w14:textId="77777777" w:rsidR="00301CD5" w:rsidRDefault="00301CD5" w:rsidP="00F7615C">
            <w:pPr>
              <w:pStyle w:val="TDummy"/>
              <w:keepNext/>
            </w:pPr>
          </w:p>
        </w:tc>
        <w:tc>
          <w:tcPr>
            <w:tcW w:w="119" w:type="dxa"/>
            <w:tcBorders>
              <w:top w:val="single" w:sz="8" w:space="0" w:color="000000" w:themeColor="text1"/>
            </w:tcBorders>
            <w:noWrap/>
            <w:vAlign w:val="bottom"/>
          </w:tcPr>
          <w:p w14:paraId="35C44B28" w14:textId="77777777" w:rsidR="00301CD5" w:rsidRDefault="00301CD5" w:rsidP="00F7615C">
            <w:pPr>
              <w:pStyle w:val="TDummy"/>
              <w:keepNext/>
            </w:pPr>
          </w:p>
        </w:tc>
        <w:tc>
          <w:tcPr>
            <w:tcW w:w="1021" w:type="dxa"/>
            <w:tcBorders>
              <w:top w:val="single" w:sz="8" w:space="0" w:color="000000" w:themeColor="text1"/>
            </w:tcBorders>
            <w:noWrap/>
            <w:vAlign w:val="bottom"/>
          </w:tcPr>
          <w:p w14:paraId="46841E7D" w14:textId="77777777" w:rsidR="00301CD5" w:rsidRDefault="00301CD5" w:rsidP="00F7615C">
            <w:pPr>
              <w:pStyle w:val="TDummy"/>
              <w:keepNext/>
            </w:pPr>
          </w:p>
        </w:tc>
      </w:tr>
      <w:tr w:rsidR="00301CD5" w14:paraId="2A99E519" w14:textId="77777777" w:rsidTr="25CB468E">
        <w:tc>
          <w:tcPr>
            <w:tcW w:w="2914" w:type="dxa"/>
            <w:shd w:val="clear" w:color="auto" w:fill="FFFFFF" w:themeFill="background1"/>
            <w:noWrap/>
            <w:vAlign w:val="bottom"/>
          </w:tcPr>
          <w:p w14:paraId="6FCE5513" w14:textId="77777777" w:rsidR="00301CD5" w:rsidRDefault="00301CD5" w:rsidP="00F7615C">
            <w:pPr>
              <w:pStyle w:val="THeadfirstNumber"/>
            </w:pPr>
          </w:p>
        </w:tc>
        <w:tc>
          <w:tcPr>
            <w:tcW w:w="119" w:type="dxa"/>
            <w:noWrap/>
            <w:vAlign w:val="bottom"/>
          </w:tcPr>
          <w:p w14:paraId="59A2ABB8" w14:textId="77777777" w:rsidR="00301CD5" w:rsidRDefault="00301CD5" w:rsidP="00F7615C">
            <w:pPr>
              <w:pStyle w:val="THeadfirstNumber"/>
            </w:pPr>
          </w:p>
        </w:tc>
        <w:tc>
          <w:tcPr>
            <w:tcW w:w="3301" w:type="dxa"/>
            <w:gridSpan w:val="5"/>
            <w:tcBorders>
              <w:bottom w:val="single" w:sz="4" w:space="0" w:color="A59C94"/>
            </w:tcBorders>
            <w:shd w:val="clear" w:color="auto" w:fill="FFFFFF" w:themeFill="background1"/>
            <w:noWrap/>
            <w:vAlign w:val="bottom"/>
          </w:tcPr>
          <w:p w14:paraId="50A28863" w14:textId="77777777" w:rsidR="00301CD5" w:rsidRDefault="00301CD5" w:rsidP="00F7615C">
            <w:pPr>
              <w:pStyle w:val="THeadfirstNumber"/>
            </w:pPr>
            <w:r>
              <w:t>Sales</w:t>
            </w:r>
          </w:p>
        </w:tc>
        <w:tc>
          <w:tcPr>
            <w:tcW w:w="119" w:type="dxa"/>
            <w:noWrap/>
            <w:vAlign w:val="bottom"/>
          </w:tcPr>
          <w:p w14:paraId="06570FF1" w14:textId="77777777" w:rsidR="00301CD5" w:rsidRDefault="00301CD5" w:rsidP="00F7615C">
            <w:pPr>
              <w:pStyle w:val="THeadfirstNumber"/>
            </w:pPr>
          </w:p>
        </w:tc>
        <w:tc>
          <w:tcPr>
            <w:tcW w:w="3301" w:type="dxa"/>
            <w:gridSpan w:val="5"/>
            <w:tcBorders>
              <w:bottom w:val="single" w:sz="4" w:space="0" w:color="A59C94"/>
            </w:tcBorders>
            <w:shd w:val="clear" w:color="auto" w:fill="FFFFFF" w:themeFill="background1"/>
            <w:noWrap/>
            <w:vAlign w:val="bottom"/>
          </w:tcPr>
          <w:p w14:paraId="550B3916" w14:textId="77777777" w:rsidR="00301CD5" w:rsidRDefault="00301CD5" w:rsidP="00F7615C">
            <w:pPr>
              <w:pStyle w:val="THeadfirstNumber"/>
            </w:pPr>
            <w:r>
              <w:t>Adjusted EBITDA</w:t>
            </w:r>
          </w:p>
        </w:tc>
      </w:tr>
      <w:tr w:rsidR="00301CD5" w14:paraId="1AB9A536" w14:textId="77777777" w:rsidTr="25CB468E">
        <w:tc>
          <w:tcPr>
            <w:tcW w:w="2914" w:type="dxa"/>
            <w:tcBorders>
              <w:bottom w:val="single" w:sz="4" w:space="0" w:color="000000" w:themeColor="text1"/>
            </w:tcBorders>
            <w:shd w:val="clear" w:color="auto" w:fill="FFFFFF" w:themeFill="background1"/>
            <w:noWrap/>
            <w:vAlign w:val="bottom"/>
          </w:tcPr>
          <w:p w14:paraId="6CF6BD55" w14:textId="77777777" w:rsidR="00301CD5" w:rsidRDefault="00301CD5" w:rsidP="00F7615C">
            <w:pPr>
              <w:pStyle w:val="THeadlastText"/>
            </w:pPr>
            <w:r>
              <w:t>in € million</w:t>
            </w:r>
          </w:p>
        </w:tc>
        <w:tc>
          <w:tcPr>
            <w:tcW w:w="119" w:type="dxa"/>
            <w:noWrap/>
            <w:vAlign w:val="bottom"/>
          </w:tcPr>
          <w:p w14:paraId="50CA4A22"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7B8AD5B0" w14:textId="77777777" w:rsidR="00301CD5" w:rsidRDefault="00301CD5" w:rsidP="00F7615C">
            <w:pPr>
              <w:pStyle w:val="THeadlastNumber"/>
            </w:pPr>
            <w:r>
              <w:t>2022</w:t>
            </w:r>
          </w:p>
        </w:tc>
        <w:tc>
          <w:tcPr>
            <w:tcW w:w="119" w:type="dxa"/>
            <w:vAlign w:val="bottom"/>
          </w:tcPr>
          <w:p w14:paraId="1834AAE4"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378C9A4F" w14:textId="77777777" w:rsidR="00301CD5" w:rsidRDefault="00301CD5" w:rsidP="00F7615C">
            <w:pPr>
              <w:pStyle w:val="THeadlastNumberbold"/>
            </w:pPr>
            <w:bookmarkStart w:id="18" w:name="RANGE!F28:F35"/>
            <w:bookmarkEnd w:id="18"/>
            <w:r>
              <w:t>2023</w:t>
            </w:r>
          </w:p>
        </w:tc>
        <w:tc>
          <w:tcPr>
            <w:tcW w:w="119" w:type="dxa"/>
            <w:vAlign w:val="bottom"/>
          </w:tcPr>
          <w:p w14:paraId="2808AC5B"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6FC8E8DC" w14:textId="77777777" w:rsidR="00301CD5" w:rsidRDefault="00301CD5" w:rsidP="00F7615C">
            <w:pPr>
              <w:pStyle w:val="THeaddifferenceNumber"/>
              <w:keepNext/>
            </w:pPr>
            <w:bookmarkStart w:id="19" w:name="RANGE!H28:H35"/>
            <w:bookmarkEnd w:id="19"/>
            <w:r>
              <w:t>Change in %</w:t>
            </w:r>
          </w:p>
        </w:tc>
        <w:tc>
          <w:tcPr>
            <w:tcW w:w="119" w:type="dxa"/>
            <w:vAlign w:val="bottom"/>
          </w:tcPr>
          <w:p w14:paraId="099A3CE8"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7D1F42DB" w14:textId="77777777" w:rsidR="00301CD5" w:rsidRDefault="00301CD5" w:rsidP="00F7615C">
            <w:pPr>
              <w:pStyle w:val="THeadlastNumber"/>
            </w:pPr>
            <w:r>
              <w:t>2022</w:t>
            </w:r>
          </w:p>
        </w:tc>
        <w:tc>
          <w:tcPr>
            <w:tcW w:w="119" w:type="dxa"/>
            <w:vAlign w:val="bottom"/>
          </w:tcPr>
          <w:p w14:paraId="3354BCB4"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54D803A8" w14:textId="77777777" w:rsidR="00301CD5" w:rsidRDefault="00301CD5" w:rsidP="00F7615C">
            <w:pPr>
              <w:pStyle w:val="THeadlastNumberbold"/>
            </w:pPr>
            <w:bookmarkStart w:id="20" w:name="RANGE!L28:L35"/>
            <w:bookmarkEnd w:id="20"/>
            <w:r>
              <w:t>2023</w:t>
            </w:r>
          </w:p>
        </w:tc>
        <w:tc>
          <w:tcPr>
            <w:tcW w:w="119" w:type="dxa"/>
            <w:vAlign w:val="bottom"/>
          </w:tcPr>
          <w:p w14:paraId="7E111BB2" w14:textId="77777777" w:rsidR="00301CD5" w:rsidRDefault="00301CD5" w:rsidP="00F7615C">
            <w:pPr>
              <w:pStyle w:val="THeadlastNumber"/>
            </w:pPr>
          </w:p>
        </w:tc>
        <w:tc>
          <w:tcPr>
            <w:tcW w:w="1021" w:type="dxa"/>
            <w:tcBorders>
              <w:top w:val="single" w:sz="4" w:space="0" w:color="A59C94"/>
              <w:bottom w:val="single" w:sz="4" w:space="0" w:color="000000" w:themeColor="text1"/>
            </w:tcBorders>
            <w:shd w:val="clear" w:color="auto" w:fill="FFFFFF" w:themeFill="background1"/>
            <w:vAlign w:val="bottom"/>
          </w:tcPr>
          <w:p w14:paraId="7160696E" w14:textId="77777777" w:rsidR="00301CD5" w:rsidRDefault="00301CD5" w:rsidP="00F7615C">
            <w:pPr>
              <w:pStyle w:val="THeaddifferenceNumber"/>
              <w:keepNext/>
            </w:pPr>
            <w:bookmarkStart w:id="21" w:name="RANGE!N28:N35"/>
            <w:bookmarkEnd w:id="21"/>
            <w:r>
              <w:t>Change in %</w:t>
            </w:r>
          </w:p>
        </w:tc>
      </w:tr>
      <w:tr w:rsidR="00301CD5" w14:paraId="45F47587" w14:textId="77777777" w:rsidTr="25CB468E">
        <w:tc>
          <w:tcPr>
            <w:tcW w:w="2914" w:type="dxa"/>
            <w:tcBorders>
              <w:top w:val="single" w:sz="4" w:space="0" w:color="000000" w:themeColor="text1"/>
              <w:bottom w:val="single" w:sz="4" w:space="0" w:color="A59C94"/>
            </w:tcBorders>
            <w:noWrap/>
            <w:vAlign w:val="bottom"/>
          </w:tcPr>
          <w:p w14:paraId="5F03D305" w14:textId="77777777" w:rsidR="00301CD5" w:rsidRDefault="00301CD5" w:rsidP="00F7615C">
            <w:pPr>
              <w:pStyle w:val="TBodynormalText"/>
            </w:pPr>
            <w:r>
              <w:t>Specialty Additives</w:t>
            </w:r>
          </w:p>
        </w:tc>
        <w:tc>
          <w:tcPr>
            <w:tcW w:w="119" w:type="dxa"/>
            <w:noWrap/>
            <w:vAlign w:val="bottom"/>
          </w:tcPr>
          <w:p w14:paraId="30C34ED1"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vAlign w:val="bottom"/>
          </w:tcPr>
          <w:p w14:paraId="4FB38643" w14:textId="77777777" w:rsidR="00301CD5" w:rsidRDefault="00301CD5" w:rsidP="00F7615C">
            <w:pPr>
              <w:pStyle w:val="TBodynormalNumber"/>
              <w:keepNext/>
            </w:pPr>
            <w:r>
              <w:t>906</w:t>
            </w:r>
          </w:p>
        </w:tc>
        <w:tc>
          <w:tcPr>
            <w:tcW w:w="119" w:type="dxa"/>
            <w:vAlign w:val="bottom"/>
          </w:tcPr>
          <w:p w14:paraId="3532861E"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shd w:val="clear" w:color="auto" w:fill="DAD5C9"/>
            <w:vAlign w:val="bottom"/>
          </w:tcPr>
          <w:p w14:paraId="6E4FF534" w14:textId="77777777" w:rsidR="00301CD5" w:rsidRDefault="00301CD5" w:rsidP="00F7615C">
            <w:pPr>
              <w:pStyle w:val="TBodynormalNumber"/>
              <w:keepNext/>
            </w:pPr>
            <w:r>
              <w:t>811</w:t>
            </w:r>
          </w:p>
        </w:tc>
        <w:tc>
          <w:tcPr>
            <w:tcW w:w="119" w:type="dxa"/>
            <w:vAlign w:val="bottom"/>
          </w:tcPr>
          <w:p w14:paraId="0C7EB099"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noWrap/>
            <w:vAlign w:val="bottom"/>
          </w:tcPr>
          <w:p w14:paraId="734995DA" w14:textId="77777777" w:rsidR="00301CD5" w:rsidRDefault="00301CD5" w:rsidP="00F7615C">
            <w:pPr>
              <w:pStyle w:val="TBodynormalNumber"/>
              <w:keepNext/>
            </w:pPr>
            <w:r>
              <w:t>-10</w:t>
            </w:r>
          </w:p>
        </w:tc>
        <w:tc>
          <w:tcPr>
            <w:tcW w:w="119" w:type="dxa"/>
            <w:vAlign w:val="bottom"/>
          </w:tcPr>
          <w:p w14:paraId="6906B5D8"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vAlign w:val="bottom"/>
          </w:tcPr>
          <w:p w14:paraId="417AFDCE" w14:textId="77777777" w:rsidR="00301CD5" w:rsidRDefault="00301CD5" w:rsidP="00F7615C">
            <w:pPr>
              <w:pStyle w:val="TBodynormalNumber"/>
              <w:keepNext/>
            </w:pPr>
            <w:r>
              <w:t>188</w:t>
            </w:r>
          </w:p>
        </w:tc>
        <w:tc>
          <w:tcPr>
            <w:tcW w:w="119" w:type="dxa"/>
            <w:vAlign w:val="bottom"/>
          </w:tcPr>
          <w:p w14:paraId="2667959D"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shd w:val="clear" w:color="auto" w:fill="DAD5C9"/>
            <w:vAlign w:val="bottom"/>
          </w:tcPr>
          <w:p w14:paraId="6EE37057" w14:textId="77777777" w:rsidR="00301CD5" w:rsidRDefault="00301CD5" w:rsidP="00F7615C">
            <w:pPr>
              <w:pStyle w:val="TBodynormalNumber"/>
              <w:keepNext/>
            </w:pPr>
            <w:r>
              <w:t>134</w:t>
            </w:r>
          </w:p>
        </w:tc>
        <w:tc>
          <w:tcPr>
            <w:tcW w:w="119" w:type="dxa"/>
            <w:vAlign w:val="bottom"/>
          </w:tcPr>
          <w:p w14:paraId="26599E50" w14:textId="77777777" w:rsidR="00301CD5" w:rsidRDefault="00301CD5" w:rsidP="00F7615C">
            <w:pPr>
              <w:pStyle w:val="TBodynormalNumber"/>
              <w:keepNext/>
            </w:pPr>
          </w:p>
        </w:tc>
        <w:tc>
          <w:tcPr>
            <w:tcW w:w="1021" w:type="dxa"/>
            <w:tcBorders>
              <w:top w:val="single" w:sz="4" w:space="0" w:color="000000" w:themeColor="text1"/>
              <w:bottom w:val="single" w:sz="4" w:space="0" w:color="A59C94"/>
            </w:tcBorders>
            <w:vAlign w:val="bottom"/>
          </w:tcPr>
          <w:p w14:paraId="571B1B55" w14:textId="77777777" w:rsidR="00301CD5" w:rsidRDefault="00301CD5" w:rsidP="00F7615C">
            <w:pPr>
              <w:pStyle w:val="TBodynormalNumber"/>
              <w:keepNext/>
            </w:pPr>
            <w:r>
              <w:t>-29</w:t>
            </w:r>
          </w:p>
        </w:tc>
      </w:tr>
      <w:tr w:rsidR="00301CD5" w14:paraId="698D1522" w14:textId="77777777" w:rsidTr="25CB468E">
        <w:tc>
          <w:tcPr>
            <w:tcW w:w="2914" w:type="dxa"/>
            <w:tcBorders>
              <w:top w:val="single" w:sz="4" w:space="0" w:color="A59C94"/>
              <w:bottom w:val="single" w:sz="4" w:space="0" w:color="A59C94"/>
            </w:tcBorders>
            <w:noWrap/>
            <w:vAlign w:val="bottom"/>
          </w:tcPr>
          <w:p w14:paraId="4E4D9A3A" w14:textId="77777777" w:rsidR="00301CD5" w:rsidRDefault="00301CD5" w:rsidP="00F7615C">
            <w:pPr>
              <w:pStyle w:val="TBodynormalText"/>
            </w:pPr>
            <w:r>
              <w:t>Nutrition &amp; Care</w:t>
            </w:r>
          </w:p>
        </w:tc>
        <w:tc>
          <w:tcPr>
            <w:tcW w:w="119" w:type="dxa"/>
            <w:noWrap/>
            <w:vAlign w:val="bottom"/>
          </w:tcPr>
          <w:p w14:paraId="12228947"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51F912FA" w14:textId="77777777" w:rsidR="00301CD5" w:rsidRDefault="00301CD5" w:rsidP="00F7615C">
            <w:pPr>
              <w:pStyle w:val="TBodynormalNumber"/>
              <w:keepNext/>
            </w:pPr>
            <w:r>
              <w:t>1,111</w:t>
            </w:r>
          </w:p>
        </w:tc>
        <w:tc>
          <w:tcPr>
            <w:tcW w:w="119" w:type="dxa"/>
            <w:noWrap/>
            <w:vAlign w:val="bottom"/>
          </w:tcPr>
          <w:p w14:paraId="5B59E4C6"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22AA659C" w14:textId="77777777" w:rsidR="00301CD5" w:rsidRDefault="00301CD5" w:rsidP="00F7615C">
            <w:pPr>
              <w:pStyle w:val="TBodynormalNumber"/>
              <w:keepNext/>
            </w:pPr>
            <w:bookmarkStart w:id="22" w:name="SNAMD_26bf31ccc3764dcd9ed85de6cb44bbfd"/>
            <w:r>
              <w:t>908</w:t>
            </w:r>
            <w:bookmarkEnd w:id="22"/>
          </w:p>
        </w:tc>
        <w:tc>
          <w:tcPr>
            <w:tcW w:w="119" w:type="dxa"/>
            <w:noWrap/>
            <w:vAlign w:val="bottom"/>
          </w:tcPr>
          <w:p w14:paraId="7E08D7CD"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344BD447" w14:textId="77777777" w:rsidR="00301CD5" w:rsidRDefault="00301CD5" w:rsidP="00F7615C">
            <w:pPr>
              <w:pStyle w:val="TBodynormalNumber"/>
              <w:keepNext/>
            </w:pPr>
            <w:r>
              <w:t>-18</w:t>
            </w:r>
          </w:p>
        </w:tc>
        <w:tc>
          <w:tcPr>
            <w:tcW w:w="119" w:type="dxa"/>
            <w:noWrap/>
            <w:vAlign w:val="bottom"/>
          </w:tcPr>
          <w:p w14:paraId="5C1B648F"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21EDA7B4" w14:textId="77777777" w:rsidR="00301CD5" w:rsidRDefault="00301CD5" w:rsidP="00F7615C">
            <w:pPr>
              <w:pStyle w:val="TBodynormalNumber"/>
              <w:keepNext/>
            </w:pPr>
            <w:r>
              <w:t>122</w:t>
            </w:r>
          </w:p>
        </w:tc>
        <w:tc>
          <w:tcPr>
            <w:tcW w:w="119" w:type="dxa"/>
            <w:noWrap/>
            <w:vAlign w:val="bottom"/>
          </w:tcPr>
          <w:p w14:paraId="3547717E"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10D9C518" w14:textId="77777777" w:rsidR="00301CD5" w:rsidRDefault="00301CD5" w:rsidP="00F7615C">
            <w:pPr>
              <w:pStyle w:val="TBodynormalNumber"/>
              <w:keepNext/>
            </w:pPr>
            <w:r>
              <w:t>115</w:t>
            </w:r>
          </w:p>
        </w:tc>
        <w:tc>
          <w:tcPr>
            <w:tcW w:w="119" w:type="dxa"/>
            <w:noWrap/>
            <w:vAlign w:val="bottom"/>
          </w:tcPr>
          <w:p w14:paraId="0D6AE6CA"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59248848" w14:textId="77777777" w:rsidR="00301CD5" w:rsidRDefault="00301CD5" w:rsidP="00F7615C">
            <w:pPr>
              <w:pStyle w:val="TBodynormalNumber"/>
              <w:keepNext/>
            </w:pPr>
            <w:r>
              <w:t>-6</w:t>
            </w:r>
          </w:p>
        </w:tc>
      </w:tr>
      <w:tr w:rsidR="00301CD5" w14:paraId="42F73918" w14:textId="77777777" w:rsidTr="25CB468E">
        <w:tc>
          <w:tcPr>
            <w:tcW w:w="2914" w:type="dxa"/>
            <w:tcBorders>
              <w:top w:val="single" w:sz="4" w:space="0" w:color="A59C94"/>
              <w:bottom w:val="single" w:sz="4" w:space="0" w:color="A59C94"/>
            </w:tcBorders>
            <w:noWrap/>
            <w:vAlign w:val="bottom"/>
          </w:tcPr>
          <w:p w14:paraId="6470B787" w14:textId="77777777" w:rsidR="00301CD5" w:rsidRDefault="00301CD5" w:rsidP="00F7615C">
            <w:pPr>
              <w:pStyle w:val="TBodynormalText"/>
            </w:pPr>
            <w:bookmarkStart w:id="23" w:name="SNAMD_f1820683007e477c85a531c4e7dbc91d"/>
            <w:r>
              <w:t>Smart Materials</w:t>
            </w:r>
            <w:r>
              <w:rPr>
                <w:vertAlign w:val="superscript"/>
              </w:rPr>
              <w:t>a</w:t>
            </w:r>
            <w:bookmarkEnd w:id="23"/>
          </w:p>
        </w:tc>
        <w:tc>
          <w:tcPr>
            <w:tcW w:w="119" w:type="dxa"/>
            <w:noWrap/>
            <w:vAlign w:val="bottom"/>
          </w:tcPr>
          <w:p w14:paraId="533DB1C0"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00D8E853" w14:textId="77777777" w:rsidR="00301CD5" w:rsidRDefault="00301CD5" w:rsidP="00F7615C">
            <w:pPr>
              <w:pStyle w:val="TBodynormalNumber"/>
              <w:keepNext/>
            </w:pPr>
            <w:r>
              <w:t>1,256</w:t>
            </w:r>
          </w:p>
        </w:tc>
        <w:tc>
          <w:tcPr>
            <w:tcW w:w="119" w:type="dxa"/>
            <w:noWrap/>
            <w:vAlign w:val="bottom"/>
          </w:tcPr>
          <w:p w14:paraId="1C5555E7"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10CD36AB" w14:textId="77777777" w:rsidR="00301CD5" w:rsidRDefault="00301CD5" w:rsidP="00F7615C">
            <w:pPr>
              <w:pStyle w:val="TBodynormalNumber"/>
              <w:keepNext/>
            </w:pPr>
            <w:r>
              <w:t>1,054</w:t>
            </w:r>
          </w:p>
        </w:tc>
        <w:tc>
          <w:tcPr>
            <w:tcW w:w="119" w:type="dxa"/>
            <w:noWrap/>
            <w:vAlign w:val="bottom"/>
          </w:tcPr>
          <w:p w14:paraId="2BB7027F"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26E77F18" w14:textId="77777777" w:rsidR="00301CD5" w:rsidRDefault="00301CD5" w:rsidP="00F7615C">
            <w:pPr>
              <w:pStyle w:val="TBodynormalNumber"/>
              <w:keepNext/>
            </w:pPr>
            <w:r>
              <w:t>-16</w:t>
            </w:r>
          </w:p>
        </w:tc>
        <w:tc>
          <w:tcPr>
            <w:tcW w:w="119" w:type="dxa"/>
            <w:noWrap/>
            <w:vAlign w:val="bottom"/>
          </w:tcPr>
          <w:p w14:paraId="1A03795A"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12532151" w14:textId="77777777" w:rsidR="00301CD5" w:rsidRDefault="00301CD5" w:rsidP="00F7615C">
            <w:pPr>
              <w:pStyle w:val="TBodynormalNumber"/>
              <w:keepNext/>
            </w:pPr>
            <w:r>
              <w:t>124</w:t>
            </w:r>
          </w:p>
        </w:tc>
        <w:tc>
          <w:tcPr>
            <w:tcW w:w="119" w:type="dxa"/>
            <w:noWrap/>
            <w:vAlign w:val="bottom"/>
          </w:tcPr>
          <w:p w14:paraId="1A31D152"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0437EB0E" w14:textId="77777777" w:rsidR="00301CD5" w:rsidRDefault="00301CD5" w:rsidP="00F7615C">
            <w:pPr>
              <w:pStyle w:val="TBodynormalNumber"/>
              <w:keepNext/>
            </w:pPr>
            <w:r>
              <w:t>119</w:t>
            </w:r>
          </w:p>
        </w:tc>
        <w:tc>
          <w:tcPr>
            <w:tcW w:w="119" w:type="dxa"/>
            <w:noWrap/>
            <w:vAlign w:val="bottom"/>
          </w:tcPr>
          <w:p w14:paraId="70413304"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104F081F" w14:textId="77777777" w:rsidR="00301CD5" w:rsidRDefault="00301CD5" w:rsidP="00F7615C">
            <w:pPr>
              <w:pStyle w:val="TBodynormalNumber"/>
              <w:keepNext/>
            </w:pPr>
            <w:r>
              <w:t>-4</w:t>
            </w:r>
          </w:p>
        </w:tc>
      </w:tr>
      <w:tr w:rsidR="00301CD5" w14:paraId="08E26182" w14:textId="77777777" w:rsidTr="25CB468E">
        <w:tc>
          <w:tcPr>
            <w:tcW w:w="2914" w:type="dxa"/>
            <w:tcBorders>
              <w:top w:val="single" w:sz="4" w:space="0" w:color="A59C94"/>
              <w:bottom w:val="single" w:sz="4" w:space="0" w:color="A59C94"/>
            </w:tcBorders>
            <w:noWrap/>
            <w:vAlign w:val="bottom"/>
          </w:tcPr>
          <w:p w14:paraId="21563187" w14:textId="77777777" w:rsidR="00301CD5" w:rsidRDefault="00301CD5" w:rsidP="00F7615C">
            <w:pPr>
              <w:pStyle w:val="TBodynormalText"/>
            </w:pPr>
            <w:bookmarkStart w:id="24" w:name="SNAMD_73d4405f3c5d489dad5990cccb988102"/>
            <w:r>
              <w:t>Performance Materials</w:t>
            </w:r>
            <w:r>
              <w:rPr>
                <w:vertAlign w:val="superscript"/>
              </w:rPr>
              <w:t>a</w:t>
            </w:r>
            <w:bookmarkEnd w:id="24"/>
          </w:p>
        </w:tc>
        <w:tc>
          <w:tcPr>
            <w:tcW w:w="119" w:type="dxa"/>
            <w:noWrap/>
            <w:vAlign w:val="bottom"/>
          </w:tcPr>
          <w:p w14:paraId="02B6B96D"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36F4329C" w14:textId="77777777" w:rsidR="00301CD5" w:rsidRDefault="00301CD5" w:rsidP="00F7615C">
            <w:pPr>
              <w:pStyle w:val="TBodynormalNumber"/>
              <w:keepNext/>
            </w:pPr>
            <w:r>
              <w:t>666</w:t>
            </w:r>
          </w:p>
        </w:tc>
        <w:tc>
          <w:tcPr>
            <w:tcW w:w="119" w:type="dxa"/>
            <w:noWrap/>
            <w:vAlign w:val="bottom"/>
          </w:tcPr>
          <w:p w14:paraId="5146645D"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14851E87" w14:textId="77777777" w:rsidR="00301CD5" w:rsidRDefault="00301CD5" w:rsidP="00F7615C">
            <w:pPr>
              <w:pStyle w:val="TBodynormalNumber"/>
              <w:keepNext/>
            </w:pPr>
            <w:r>
              <w:t>532</w:t>
            </w:r>
          </w:p>
        </w:tc>
        <w:tc>
          <w:tcPr>
            <w:tcW w:w="119" w:type="dxa"/>
            <w:noWrap/>
            <w:vAlign w:val="bottom"/>
          </w:tcPr>
          <w:p w14:paraId="51F0D33F"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1EE4E630" w14:textId="77777777" w:rsidR="00301CD5" w:rsidRDefault="00301CD5" w:rsidP="00F7615C">
            <w:pPr>
              <w:pStyle w:val="TBodynormalNumber"/>
              <w:keepNext/>
            </w:pPr>
            <w:r>
              <w:t>-20</w:t>
            </w:r>
          </w:p>
        </w:tc>
        <w:tc>
          <w:tcPr>
            <w:tcW w:w="119" w:type="dxa"/>
            <w:noWrap/>
            <w:vAlign w:val="bottom"/>
          </w:tcPr>
          <w:p w14:paraId="4E5F9228"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4376F6C0" w14:textId="77777777" w:rsidR="00301CD5" w:rsidRDefault="00301CD5" w:rsidP="00F7615C">
            <w:pPr>
              <w:pStyle w:val="TBodynormalNumber"/>
              <w:keepNext/>
            </w:pPr>
            <w:r>
              <w:t>63</w:t>
            </w:r>
          </w:p>
        </w:tc>
        <w:tc>
          <w:tcPr>
            <w:tcW w:w="119" w:type="dxa"/>
            <w:noWrap/>
            <w:vAlign w:val="bottom"/>
          </w:tcPr>
          <w:p w14:paraId="45E50502"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7DFDEEB8" w14:textId="77777777" w:rsidR="00301CD5" w:rsidRDefault="00301CD5" w:rsidP="00F7615C">
            <w:pPr>
              <w:pStyle w:val="TBodynormalNumber"/>
              <w:keepNext/>
            </w:pPr>
            <w:r>
              <w:t>-4</w:t>
            </w:r>
          </w:p>
        </w:tc>
        <w:tc>
          <w:tcPr>
            <w:tcW w:w="119" w:type="dxa"/>
            <w:noWrap/>
            <w:vAlign w:val="bottom"/>
          </w:tcPr>
          <w:p w14:paraId="11BC169C"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77BC2B9F" w14:textId="77777777" w:rsidR="00301CD5" w:rsidRDefault="00301CD5" w:rsidP="00F7615C">
            <w:pPr>
              <w:pStyle w:val="TBodynormalNumber"/>
              <w:keepNext/>
            </w:pPr>
            <w:r>
              <w:t>-106</w:t>
            </w:r>
          </w:p>
        </w:tc>
      </w:tr>
      <w:tr w:rsidR="00301CD5" w14:paraId="33E43223" w14:textId="77777777" w:rsidTr="25CB468E">
        <w:tc>
          <w:tcPr>
            <w:tcW w:w="2914" w:type="dxa"/>
            <w:tcBorders>
              <w:top w:val="single" w:sz="4" w:space="0" w:color="A59C94"/>
              <w:bottom w:val="single" w:sz="4" w:space="0" w:color="A59C94"/>
            </w:tcBorders>
            <w:noWrap/>
            <w:vAlign w:val="bottom"/>
          </w:tcPr>
          <w:p w14:paraId="6FC37DAF" w14:textId="77777777" w:rsidR="00301CD5" w:rsidRDefault="00301CD5" w:rsidP="00F7615C">
            <w:pPr>
              <w:pStyle w:val="TBodynormalText"/>
            </w:pPr>
            <w:r>
              <w:t>Technology &amp; Infrastructure</w:t>
            </w:r>
          </w:p>
        </w:tc>
        <w:tc>
          <w:tcPr>
            <w:tcW w:w="119" w:type="dxa"/>
            <w:noWrap/>
            <w:vAlign w:val="bottom"/>
          </w:tcPr>
          <w:p w14:paraId="39B98B06"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1E17471D" w14:textId="77777777" w:rsidR="00301CD5" w:rsidRDefault="00301CD5" w:rsidP="00F7615C">
            <w:pPr>
              <w:pStyle w:val="TBodynormalNumber"/>
              <w:keepNext/>
            </w:pPr>
            <w:r>
              <w:t>384</w:t>
            </w:r>
          </w:p>
        </w:tc>
        <w:tc>
          <w:tcPr>
            <w:tcW w:w="119" w:type="dxa"/>
            <w:noWrap/>
            <w:vAlign w:val="bottom"/>
          </w:tcPr>
          <w:p w14:paraId="7E0FE685"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430B64FE" w14:textId="77777777" w:rsidR="00301CD5" w:rsidRDefault="00301CD5" w:rsidP="00F7615C">
            <w:pPr>
              <w:pStyle w:val="TBodynormalNumber"/>
              <w:keepNext/>
            </w:pPr>
            <w:r>
              <w:t>286</w:t>
            </w:r>
          </w:p>
        </w:tc>
        <w:tc>
          <w:tcPr>
            <w:tcW w:w="119" w:type="dxa"/>
            <w:noWrap/>
            <w:vAlign w:val="bottom"/>
          </w:tcPr>
          <w:p w14:paraId="272E34AC"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32A78081" w14:textId="77777777" w:rsidR="00301CD5" w:rsidRDefault="00301CD5" w:rsidP="00F7615C">
            <w:pPr>
              <w:pStyle w:val="TBodynormalNumber"/>
              <w:keepNext/>
            </w:pPr>
            <w:r>
              <w:t>-26</w:t>
            </w:r>
          </w:p>
        </w:tc>
        <w:tc>
          <w:tcPr>
            <w:tcW w:w="119" w:type="dxa"/>
            <w:noWrap/>
            <w:vAlign w:val="bottom"/>
          </w:tcPr>
          <w:p w14:paraId="5EF99C6B"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28F2A09F" w14:textId="77777777" w:rsidR="00301CD5" w:rsidRDefault="00301CD5" w:rsidP="00F7615C">
            <w:pPr>
              <w:pStyle w:val="TBodynormalNumber"/>
              <w:keepNext/>
            </w:pPr>
            <w:r>
              <w:t>22</w:t>
            </w:r>
          </w:p>
        </w:tc>
        <w:tc>
          <w:tcPr>
            <w:tcW w:w="119" w:type="dxa"/>
            <w:noWrap/>
            <w:vAlign w:val="bottom"/>
          </w:tcPr>
          <w:p w14:paraId="7F08AEE0"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0B29D3A5" w14:textId="77777777" w:rsidR="00301CD5" w:rsidRDefault="00301CD5" w:rsidP="00F7615C">
            <w:pPr>
              <w:pStyle w:val="TBodynormalNumber"/>
              <w:keepNext/>
            </w:pPr>
            <w:r>
              <w:t>42</w:t>
            </w:r>
          </w:p>
        </w:tc>
        <w:tc>
          <w:tcPr>
            <w:tcW w:w="119" w:type="dxa"/>
            <w:noWrap/>
            <w:vAlign w:val="bottom"/>
          </w:tcPr>
          <w:p w14:paraId="5EA9159D"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17AF1C7A" w14:textId="77777777" w:rsidR="00301CD5" w:rsidRDefault="00301CD5" w:rsidP="00F7615C">
            <w:pPr>
              <w:pStyle w:val="TBodynormalNumber"/>
              <w:keepNext/>
            </w:pPr>
            <w:r>
              <w:t>91</w:t>
            </w:r>
          </w:p>
        </w:tc>
      </w:tr>
      <w:tr w:rsidR="00301CD5" w14:paraId="488014DE" w14:textId="77777777" w:rsidTr="25CB468E">
        <w:tc>
          <w:tcPr>
            <w:tcW w:w="2914" w:type="dxa"/>
            <w:tcBorders>
              <w:top w:val="single" w:sz="4" w:space="0" w:color="A59C94"/>
              <w:bottom w:val="single" w:sz="4" w:space="0" w:color="A59C94"/>
            </w:tcBorders>
            <w:noWrap/>
            <w:vAlign w:val="bottom"/>
          </w:tcPr>
          <w:p w14:paraId="54643CEF" w14:textId="77777777" w:rsidR="00301CD5" w:rsidRPr="001079B0" w:rsidRDefault="00301CD5" w:rsidP="00F7615C">
            <w:pPr>
              <w:pStyle w:val="TBodynormalText"/>
              <w:rPr>
                <w:lang w:val="en-US"/>
              </w:rPr>
            </w:pPr>
            <w:r w:rsidRPr="00CD27AF">
              <w:rPr>
                <w:lang w:val="en-US"/>
              </w:rPr>
              <w:t>Enabling functions, other activities, consolidation</w:t>
            </w:r>
          </w:p>
        </w:tc>
        <w:tc>
          <w:tcPr>
            <w:tcW w:w="119" w:type="dxa"/>
            <w:noWrap/>
            <w:vAlign w:val="bottom"/>
          </w:tcPr>
          <w:p w14:paraId="24827CF6" w14:textId="77777777" w:rsidR="00301CD5" w:rsidRPr="001079B0" w:rsidRDefault="00301CD5" w:rsidP="00F7615C">
            <w:pPr>
              <w:pStyle w:val="TBodynormalNumber"/>
              <w:keepNext/>
              <w:rPr>
                <w:lang w:val="en-US"/>
              </w:rPr>
            </w:pPr>
          </w:p>
        </w:tc>
        <w:tc>
          <w:tcPr>
            <w:tcW w:w="1021" w:type="dxa"/>
            <w:tcBorders>
              <w:top w:val="single" w:sz="4" w:space="0" w:color="A59C94"/>
              <w:bottom w:val="single" w:sz="4" w:space="0" w:color="A59C94"/>
            </w:tcBorders>
            <w:noWrap/>
            <w:vAlign w:val="bottom"/>
          </w:tcPr>
          <w:p w14:paraId="3D009E91" w14:textId="77777777" w:rsidR="00301CD5" w:rsidRDefault="00301CD5" w:rsidP="00F7615C">
            <w:pPr>
              <w:pStyle w:val="TBodynormalNumber"/>
              <w:keepNext/>
            </w:pPr>
            <w:r>
              <w:t>17</w:t>
            </w:r>
          </w:p>
        </w:tc>
        <w:tc>
          <w:tcPr>
            <w:tcW w:w="119" w:type="dxa"/>
            <w:noWrap/>
            <w:vAlign w:val="bottom"/>
          </w:tcPr>
          <w:p w14:paraId="5BCFF92A"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5496ADF4" w14:textId="77777777" w:rsidR="00301CD5" w:rsidRDefault="00301CD5" w:rsidP="00F7615C">
            <w:pPr>
              <w:pStyle w:val="TBodynormalNumber"/>
              <w:keepNext/>
            </w:pPr>
            <w:r>
              <w:t>13</w:t>
            </w:r>
          </w:p>
        </w:tc>
        <w:tc>
          <w:tcPr>
            <w:tcW w:w="119" w:type="dxa"/>
            <w:noWrap/>
            <w:vAlign w:val="bottom"/>
          </w:tcPr>
          <w:p w14:paraId="339C407C"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0C629C88" w14:textId="77777777" w:rsidR="00301CD5" w:rsidRDefault="00301CD5" w:rsidP="00F7615C">
            <w:pPr>
              <w:pStyle w:val="TBodynormalNumber"/>
              <w:keepNext/>
            </w:pPr>
            <w:r>
              <w:t>-24</w:t>
            </w:r>
          </w:p>
        </w:tc>
        <w:tc>
          <w:tcPr>
            <w:tcW w:w="119" w:type="dxa"/>
            <w:noWrap/>
            <w:vAlign w:val="bottom"/>
          </w:tcPr>
          <w:p w14:paraId="3E1BCBD2"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4B671CE4" w14:textId="77777777" w:rsidR="00301CD5" w:rsidRDefault="00301CD5" w:rsidP="00F7615C">
            <w:pPr>
              <w:pStyle w:val="TBodynormalNumber"/>
              <w:keepNext/>
            </w:pPr>
            <w:r>
              <w:t>-106</w:t>
            </w:r>
          </w:p>
        </w:tc>
        <w:tc>
          <w:tcPr>
            <w:tcW w:w="119" w:type="dxa"/>
            <w:noWrap/>
            <w:vAlign w:val="bottom"/>
          </w:tcPr>
          <w:p w14:paraId="4DCC3C5B" w14:textId="77777777" w:rsidR="00301CD5" w:rsidRDefault="00301CD5" w:rsidP="00F7615C">
            <w:pPr>
              <w:pStyle w:val="TBodynormalNumber"/>
              <w:keepNext/>
            </w:pPr>
          </w:p>
        </w:tc>
        <w:tc>
          <w:tcPr>
            <w:tcW w:w="1021" w:type="dxa"/>
            <w:tcBorders>
              <w:top w:val="single" w:sz="4" w:space="0" w:color="A59C94"/>
              <w:bottom w:val="single" w:sz="4" w:space="0" w:color="A59C94"/>
            </w:tcBorders>
            <w:shd w:val="clear" w:color="auto" w:fill="DAD5C9"/>
            <w:noWrap/>
            <w:vAlign w:val="bottom"/>
          </w:tcPr>
          <w:p w14:paraId="2F344D9F" w14:textId="77777777" w:rsidR="00301CD5" w:rsidRDefault="00301CD5" w:rsidP="00F7615C">
            <w:pPr>
              <w:pStyle w:val="TBodynormalNumber"/>
              <w:keepNext/>
            </w:pPr>
            <w:r>
              <w:t>-94</w:t>
            </w:r>
          </w:p>
        </w:tc>
        <w:tc>
          <w:tcPr>
            <w:tcW w:w="119" w:type="dxa"/>
            <w:noWrap/>
            <w:vAlign w:val="bottom"/>
          </w:tcPr>
          <w:p w14:paraId="04928915" w14:textId="77777777" w:rsidR="00301CD5" w:rsidRDefault="00301CD5" w:rsidP="00F7615C">
            <w:pPr>
              <w:pStyle w:val="TBodynormalNumber"/>
              <w:keepNext/>
            </w:pPr>
          </w:p>
        </w:tc>
        <w:tc>
          <w:tcPr>
            <w:tcW w:w="1021" w:type="dxa"/>
            <w:tcBorders>
              <w:top w:val="single" w:sz="4" w:space="0" w:color="A59C94"/>
              <w:bottom w:val="single" w:sz="4" w:space="0" w:color="A59C94"/>
            </w:tcBorders>
            <w:noWrap/>
            <w:vAlign w:val="bottom"/>
          </w:tcPr>
          <w:p w14:paraId="04A1A693" w14:textId="77777777" w:rsidR="00301CD5" w:rsidRDefault="00301CD5" w:rsidP="00F7615C">
            <w:pPr>
              <w:pStyle w:val="TBodynormalNumber"/>
              <w:keepNext/>
            </w:pPr>
            <w:r>
              <w:t>-11</w:t>
            </w:r>
          </w:p>
        </w:tc>
      </w:tr>
      <w:tr w:rsidR="00301CD5" w14:paraId="387E7E5B" w14:textId="77777777" w:rsidTr="25CB468E">
        <w:tc>
          <w:tcPr>
            <w:tcW w:w="2914" w:type="dxa"/>
            <w:tcBorders>
              <w:top w:val="single" w:sz="4" w:space="0" w:color="A59C94"/>
              <w:bottom w:val="single" w:sz="16" w:space="0" w:color="991D85"/>
            </w:tcBorders>
            <w:noWrap/>
            <w:vAlign w:val="bottom"/>
          </w:tcPr>
          <w:p w14:paraId="74AD5CB7" w14:textId="77777777" w:rsidR="00301CD5" w:rsidRDefault="00301CD5" w:rsidP="00F7615C">
            <w:pPr>
              <w:pStyle w:val="TBodytotalText"/>
            </w:pPr>
            <w:r>
              <w:t>Evonik Group</w:t>
            </w:r>
          </w:p>
        </w:tc>
        <w:tc>
          <w:tcPr>
            <w:tcW w:w="119" w:type="dxa"/>
            <w:tcBorders>
              <w:bottom w:val="single" w:sz="16" w:space="0" w:color="991D85"/>
            </w:tcBorders>
            <w:noWrap/>
            <w:vAlign w:val="bottom"/>
          </w:tcPr>
          <w:p w14:paraId="39CAD10A" w14:textId="77777777" w:rsidR="00301CD5" w:rsidRDefault="00301CD5" w:rsidP="00F7615C">
            <w:pPr>
              <w:pStyle w:val="TBodytotalNumber"/>
            </w:pPr>
          </w:p>
        </w:tc>
        <w:tc>
          <w:tcPr>
            <w:tcW w:w="1021" w:type="dxa"/>
            <w:tcBorders>
              <w:top w:val="single" w:sz="4" w:space="0" w:color="A59C94"/>
              <w:bottom w:val="single" w:sz="16" w:space="0" w:color="991D85"/>
            </w:tcBorders>
            <w:noWrap/>
            <w:vAlign w:val="bottom"/>
          </w:tcPr>
          <w:p w14:paraId="34C25083" w14:textId="77777777" w:rsidR="00301CD5" w:rsidRDefault="00301CD5" w:rsidP="00F7615C">
            <w:pPr>
              <w:pStyle w:val="TBodytotalNumber"/>
            </w:pPr>
            <w:r>
              <w:t>4,340</w:t>
            </w:r>
          </w:p>
        </w:tc>
        <w:tc>
          <w:tcPr>
            <w:tcW w:w="119" w:type="dxa"/>
            <w:tcBorders>
              <w:bottom w:val="single" w:sz="16" w:space="0" w:color="991D85"/>
            </w:tcBorders>
            <w:noWrap/>
            <w:vAlign w:val="bottom"/>
          </w:tcPr>
          <w:p w14:paraId="1D97904D" w14:textId="77777777" w:rsidR="00301CD5" w:rsidRDefault="00301CD5" w:rsidP="00F7615C">
            <w:pPr>
              <w:pStyle w:val="TBodytotalNumber"/>
            </w:pPr>
          </w:p>
        </w:tc>
        <w:tc>
          <w:tcPr>
            <w:tcW w:w="1021" w:type="dxa"/>
            <w:tcBorders>
              <w:top w:val="single" w:sz="4" w:space="0" w:color="A59C94"/>
              <w:bottom w:val="single" w:sz="16" w:space="0" w:color="991D85"/>
            </w:tcBorders>
            <w:shd w:val="clear" w:color="auto" w:fill="DAD5C9"/>
            <w:noWrap/>
            <w:vAlign w:val="bottom"/>
          </w:tcPr>
          <w:p w14:paraId="5A87A43A" w14:textId="77777777" w:rsidR="00301CD5" w:rsidRDefault="00301CD5" w:rsidP="00F7615C">
            <w:pPr>
              <w:pStyle w:val="TBodytotalNumber"/>
            </w:pPr>
            <w:r>
              <w:t>3,604</w:t>
            </w:r>
          </w:p>
        </w:tc>
        <w:tc>
          <w:tcPr>
            <w:tcW w:w="119" w:type="dxa"/>
            <w:tcBorders>
              <w:bottom w:val="single" w:sz="16" w:space="0" w:color="991D85"/>
            </w:tcBorders>
            <w:noWrap/>
            <w:vAlign w:val="bottom"/>
          </w:tcPr>
          <w:p w14:paraId="20B41F23" w14:textId="77777777" w:rsidR="00301CD5" w:rsidRDefault="00301CD5" w:rsidP="00F7615C">
            <w:pPr>
              <w:pStyle w:val="TBodytotalNumber"/>
            </w:pPr>
          </w:p>
        </w:tc>
        <w:tc>
          <w:tcPr>
            <w:tcW w:w="1021" w:type="dxa"/>
            <w:tcBorders>
              <w:top w:val="single" w:sz="4" w:space="0" w:color="A59C94"/>
              <w:bottom w:val="single" w:sz="16" w:space="0" w:color="991D85"/>
            </w:tcBorders>
            <w:noWrap/>
            <w:vAlign w:val="bottom"/>
          </w:tcPr>
          <w:p w14:paraId="391B41EE" w14:textId="77777777" w:rsidR="00301CD5" w:rsidRDefault="00301CD5" w:rsidP="00F7615C">
            <w:pPr>
              <w:pStyle w:val="TBodytotalNumber"/>
            </w:pPr>
            <w:r>
              <w:t>-17</w:t>
            </w:r>
          </w:p>
        </w:tc>
        <w:tc>
          <w:tcPr>
            <w:tcW w:w="119" w:type="dxa"/>
            <w:tcBorders>
              <w:bottom w:val="single" w:sz="16" w:space="0" w:color="991D85"/>
            </w:tcBorders>
            <w:noWrap/>
            <w:vAlign w:val="bottom"/>
          </w:tcPr>
          <w:p w14:paraId="65BD147C" w14:textId="77777777" w:rsidR="00301CD5" w:rsidRDefault="00301CD5" w:rsidP="00F7615C">
            <w:pPr>
              <w:pStyle w:val="TBodytotalNumber"/>
            </w:pPr>
          </w:p>
        </w:tc>
        <w:tc>
          <w:tcPr>
            <w:tcW w:w="1021" w:type="dxa"/>
            <w:tcBorders>
              <w:top w:val="single" w:sz="4" w:space="0" w:color="A59C94"/>
              <w:bottom w:val="single" w:sz="16" w:space="0" w:color="991D85"/>
            </w:tcBorders>
            <w:noWrap/>
            <w:vAlign w:val="bottom"/>
          </w:tcPr>
          <w:p w14:paraId="21C7CEC3" w14:textId="77777777" w:rsidR="00301CD5" w:rsidRDefault="00301CD5" w:rsidP="00F7615C">
            <w:pPr>
              <w:pStyle w:val="TBodytotalNumber"/>
            </w:pPr>
            <w:r>
              <w:t>413</w:t>
            </w:r>
          </w:p>
        </w:tc>
        <w:tc>
          <w:tcPr>
            <w:tcW w:w="119" w:type="dxa"/>
            <w:tcBorders>
              <w:bottom w:val="single" w:sz="16" w:space="0" w:color="991D85"/>
            </w:tcBorders>
            <w:noWrap/>
            <w:vAlign w:val="bottom"/>
          </w:tcPr>
          <w:p w14:paraId="0953D008" w14:textId="77777777" w:rsidR="00301CD5" w:rsidRDefault="00301CD5" w:rsidP="00F7615C">
            <w:pPr>
              <w:pStyle w:val="TBodytotalNumber"/>
            </w:pPr>
          </w:p>
        </w:tc>
        <w:tc>
          <w:tcPr>
            <w:tcW w:w="1021" w:type="dxa"/>
            <w:tcBorders>
              <w:top w:val="single" w:sz="4" w:space="0" w:color="A59C94"/>
              <w:bottom w:val="single" w:sz="16" w:space="0" w:color="991D85"/>
            </w:tcBorders>
            <w:shd w:val="clear" w:color="auto" w:fill="DAD5C9"/>
            <w:noWrap/>
            <w:vAlign w:val="bottom"/>
          </w:tcPr>
          <w:p w14:paraId="6F60776E" w14:textId="77777777" w:rsidR="00301CD5" w:rsidRDefault="00301CD5" w:rsidP="00F7615C">
            <w:pPr>
              <w:pStyle w:val="TBodytotalNumber"/>
            </w:pPr>
            <w:r>
              <w:t>312</w:t>
            </w:r>
          </w:p>
        </w:tc>
        <w:tc>
          <w:tcPr>
            <w:tcW w:w="119" w:type="dxa"/>
            <w:tcBorders>
              <w:bottom w:val="single" w:sz="16" w:space="0" w:color="991D85"/>
            </w:tcBorders>
            <w:noWrap/>
            <w:vAlign w:val="bottom"/>
          </w:tcPr>
          <w:p w14:paraId="62D29D76" w14:textId="77777777" w:rsidR="00301CD5" w:rsidRDefault="00301CD5" w:rsidP="00F7615C">
            <w:pPr>
              <w:pStyle w:val="TBodytotalNumber"/>
            </w:pPr>
          </w:p>
        </w:tc>
        <w:tc>
          <w:tcPr>
            <w:tcW w:w="1021" w:type="dxa"/>
            <w:tcBorders>
              <w:top w:val="single" w:sz="4" w:space="0" w:color="A59C94"/>
              <w:bottom w:val="single" w:sz="16" w:space="0" w:color="991D85"/>
            </w:tcBorders>
            <w:noWrap/>
            <w:vAlign w:val="bottom"/>
          </w:tcPr>
          <w:p w14:paraId="44EFA44A" w14:textId="77777777" w:rsidR="00301CD5" w:rsidRDefault="00301CD5" w:rsidP="00F7615C">
            <w:pPr>
              <w:pStyle w:val="TBodytotalNumber"/>
            </w:pPr>
            <w:r>
              <w:t>-24</w:t>
            </w:r>
          </w:p>
        </w:tc>
      </w:tr>
    </w:tbl>
    <w:p w14:paraId="09E712CE" w14:textId="77777777" w:rsidR="00CA3615" w:rsidRPr="000F7540" w:rsidRDefault="00CA3615" w:rsidP="00CA3615">
      <w:pPr>
        <w:pStyle w:val="SNEvonikTabellenfu"/>
      </w:pPr>
      <w:r w:rsidRPr="000F7540">
        <w:rPr>
          <w:vertAlign w:val="superscript"/>
        </w:rPr>
        <w:t>a</w:t>
      </w:r>
      <w:r w:rsidRPr="000F7540">
        <w:t xml:space="preserve"> Prior-year figures re</w:t>
      </w:r>
      <w:r>
        <w:t>stated.</w:t>
      </w:r>
    </w:p>
    <w:p w14:paraId="60EA2250" w14:textId="50F33D23" w:rsidR="00325294" w:rsidRDefault="00325294" w:rsidP="00CF0A00">
      <w:pPr>
        <w:spacing w:line="240" w:lineRule="auto"/>
        <w:rPr>
          <w:lang w:val="en-US"/>
        </w:rPr>
      </w:pPr>
    </w:p>
    <w:p w14:paraId="1E7D526A" w14:textId="77777777" w:rsidR="00A23033" w:rsidRDefault="00A23033" w:rsidP="00CF0A00">
      <w:pPr>
        <w:spacing w:line="240" w:lineRule="auto"/>
        <w:rPr>
          <w:lang w:val="en-US"/>
        </w:rPr>
      </w:pPr>
    </w:p>
    <w:tbl>
      <w:tblPr>
        <w:tblW w:w="9754" w:type="dxa"/>
        <w:tblLayout w:type="fixed"/>
        <w:tblCellMar>
          <w:left w:w="0" w:type="dxa"/>
          <w:right w:w="0" w:type="dxa"/>
        </w:tblCellMar>
        <w:tblLook w:val="04A0" w:firstRow="1" w:lastRow="0" w:firstColumn="1" w:lastColumn="0" w:noHBand="0" w:noVBand="1"/>
        <w:tblDescription w:val="SNEID_c9119db80aa74bbdbbd5b9149668aa3f"/>
      </w:tblPr>
      <w:tblGrid>
        <w:gridCol w:w="2914"/>
        <w:gridCol w:w="119"/>
        <w:gridCol w:w="1021"/>
        <w:gridCol w:w="119"/>
        <w:gridCol w:w="1021"/>
        <w:gridCol w:w="119"/>
        <w:gridCol w:w="1021"/>
        <w:gridCol w:w="119"/>
        <w:gridCol w:w="1021"/>
        <w:gridCol w:w="119"/>
        <w:gridCol w:w="1021"/>
        <w:gridCol w:w="119"/>
        <w:gridCol w:w="1021"/>
      </w:tblGrid>
      <w:tr w:rsidR="004F0E20" w14:paraId="4AD6A29B" w14:textId="77777777" w:rsidTr="00F7615C">
        <w:tc>
          <w:tcPr>
            <w:tcW w:w="9754" w:type="dxa"/>
            <w:gridSpan w:val="13"/>
            <w:noWrap/>
            <w:vAlign w:val="bottom"/>
          </w:tcPr>
          <w:p w14:paraId="00AEBEB4" w14:textId="77777777" w:rsidR="004F0E20" w:rsidRDefault="004F0E20" w:rsidP="00F7615C">
            <w:pPr>
              <w:pStyle w:val="TTitleText"/>
            </w:pPr>
            <w:bookmarkStart w:id="25" w:name="SNEID_c9119db80aa74bbdbbd5b9149668aa3f"/>
            <w:r>
              <w:t>Division performance - Full year</w:t>
            </w:r>
          </w:p>
        </w:tc>
      </w:tr>
      <w:tr w:rsidR="004F0E20" w14:paraId="49C1F2AB" w14:textId="77777777" w:rsidTr="00F7615C">
        <w:tc>
          <w:tcPr>
            <w:tcW w:w="2914" w:type="dxa"/>
            <w:tcBorders>
              <w:top w:val="single" w:sz="8" w:space="0" w:color="000000"/>
            </w:tcBorders>
            <w:noWrap/>
            <w:vAlign w:val="bottom"/>
          </w:tcPr>
          <w:p w14:paraId="2728FC63" w14:textId="77777777" w:rsidR="004F0E20" w:rsidRDefault="004F0E20" w:rsidP="00F7615C">
            <w:pPr>
              <w:pStyle w:val="TDummy"/>
              <w:keepNext/>
            </w:pPr>
          </w:p>
        </w:tc>
        <w:tc>
          <w:tcPr>
            <w:tcW w:w="119" w:type="dxa"/>
            <w:tcBorders>
              <w:top w:val="single" w:sz="8" w:space="0" w:color="000000"/>
            </w:tcBorders>
            <w:noWrap/>
            <w:vAlign w:val="bottom"/>
          </w:tcPr>
          <w:p w14:paraId="6A672C5E" w14:textId="77777777" w:rsidR="004F0E20" w:rsidRDefault="004F0E20" w:rsidP="00F7615C">
            <w:pPr>
              <w:pStyle w:val="TDummy"/>
              <w:keepNext/>
            </w:pPr>
          </w:p>
        </w:tc>
        <w:tc>
          <w:tcPr>
            <w:tcW w:w="1021" w:type="dxa"/>
            <w:tcBorders>
              <w:top w:val="single" w:sz="8" w:space="0" w:color="000000"/>
            </w:tcBorders>
            <w:noWrap/>
            <w:vAlign w:val="bottom"/>
          </w:tcPr>
          <w:p w14:paraId="131DFA27" w14:textId="77777777" w:rsidR="004F0E20" w:rsidRDefault="004F0E20" w:rsidP="00F7615C">
            <w:pPr>
              <w:pStyle w:val="TDummy"/>
              <w:keepNext/>
            </w:pPr>
          </w:p>
        </w:tc>
        <w:tc>
          <w:tcPr>
            <w:tcW w:w="119" w:type="dxa"/>
            <w:tcBorders>
              <w:top w:val="single" w:sz="8" w:space="0" w:color="000000"/>
            </w:tcBorders>
            <w:noWrap/>
            <w:vAlign w:val="bottom"/>
          </w:tcPr>
          <w:p w14:paraId="00126225" w14:textId="77777777" w:rsidR="004F0E20" w:rsidRDefault="004F0E20" w:rsidP="00F7615C">
            <w:pPr>
              <w:pStyle w:val="TDummy"/>
              <w:keepNext/>
            </w:pPr>
          </w:p>
        </w:tc>
        <w:tc>
          <w:tcPr>
            <w:tcW w:w="1021" w:type="dxa"/>
            <w:tcBorders>
              <w:top w:val="single" w:sz="8" w:space="0" w:color="000000"/>
            </w:tcBorders>
            <w:noWrap/>
            <w:vAlign w:val="bottom"/>
          </w:tcPr>
          <w:p w14:paraId="5C4BCCDA" w14:textId="77777777" w:rsidR="004F0E20" w:rsidRDefault="004F0E20" w:rsidP="00F7615C">
            <w:pPr>
              <w:pStyle w:val="TDummy"/>
              <w:keepNext/>
            </w:pPr>
          </w:p>
        </w:tc>
        <w:tc>
          <w:tcPr>
            <w:tcW w:w="119" w:type="dxa"/>
            <w:tcBorders>
              <w:top w:val="single" w:sz="8" w:space="0" w:color="000000"/>
            </w:tcBorders>
            <w:noWrap/>
            <w:vAlign w:val="bottom"/>
          </w:tcPr>
          <w:p w14:paraId="62FEB5DD" w14:textId="77777777" w:rsidR="004F0E20" w:rsidRDefault="004F0E20" w:rsidP="00F7615C">
            <w:pPr>
              <w:pStyle w:val="TDummy"/>
              <w:keepNext/>
            </w:pPr>
          </w:p>
        </w:tc>
        <w:tc>
          <w:tcPr>
            <w:tcW w:w="1021" w:type="dxa"/>
            <w:tcBorders>
              <w:top w:val="single" w:sz="8" w:space="0" w:color="000000"/>
            </w:tcBorders>
            <w:noWrap/>
            <w:vAlign w:val="bottom"/>
          </w:tcPr>
          <w:p w14:paraId="6093D1A0" w14:textId="77777777" w:rsidR="004F0E20" w:rsidRDefault="004F0E20" w:rsidP="00F7615C">
            <w:pPr>
              <w:pStyle w:val="TDummy"/>
              <w:keepNext/>
            </w:pPr>
          </w:p>
        </w:tc>
        <w:tc>
          <w:tcPr>
            <w:tcW w:w="119" w:type="dxa"/>
            <w:tcBorders>
              <w:top w:val="single" w:sz="8" w:space="0" w:color="000000"/>
            </w:tcBorders>
            <w:noWrap/>
            <w:vAlign w:val="bottom"/>
          </w:tcPr>
          <w:p w14:paraId="21DDC802" w14:textId="77777777" w:rsidR="004F0E20" w:rsidRDefault="004F0E20" w:rsidP="00F7615C">
            <w:pPr>
              <w:pStyle w:val="TDummy"/>
              <w:keepNext/>
            </w:pPr>
          </w:p>
        </w:tc>
        <w:tc>
          <w:tcPr>
            <w:tcW w:w="1021" w:type="dxa"/>
            <w:tcBorders>
              <w:top w:val="single" w:sz="8" w:space="0" w:color="000000"/>
            </w:tcBorders>
            <w:noWrap/>
            <w:vAlign w:val="bottom"/>
          </w:tcPr>
          <w:p w14:paraId="544EC93F" w14:textId="77777777" w:rsidR="004F0E20" w:rsidRDefault="004F0E20" w:rsidP="00F7615C">
            <w:pPr>
              <w:pStyle w:val="TDummy"/>
              <w:keepNext/>
            </w:pPr>
          </w:p>
        </w:tc>
        <w:tc>
          <w:tcPr>
            <w:tcW w:w="119" w:type="dxa"/>
            <w:tcBorders>
              <w:top w:val="single" w:sz="8" w:space="0" w:color="000000"/>
            </w:tcBorders>
            <w:noWrap/>
            <w:vAlign w:val="bottom"/>
          </w:tcPr>
          <w:p w14:paraId="6D8B4B87" w14:textId="77777777" w:rsidR="004F0E20" w:rsidRDefault="004F0E20" w:rsidP="00F7615C">
            <w:pPr>
              <w:pStyle w:val="TDummy"/>
              <w:keepNext/>
            </w:pPr>
          </w:p>
        </w:tc>
        <w:tc>
          <w:tcPr>
            <w:tcW w:w="1021" w:type="dxa"/>
            <w:tcBorders>
              <w:top w:val="single" w:sz="8" w:space="0" w:color="000000"/>
            </w:tcBorders>
            <w:noWrap/>
            <w:vAlign w:val="bottom"/>
          </w:tcPr>
          <w:p w14:paraId="13DD6B7D" w14:textId="77777777" w:rsidR="004F0E20" w:rsidRDefault="004F0E20" w:rsidP="00F7615C">
            <w:pPr>
              <w:pStyle w:val="TDummy"/>
              <w:keepNext/>
            </w:pPr>
          </w:p>
        </w:tc>
        <w:tc>
          <w:tcPr>
            <w:tcW w:w="119" w:type="dxa"/>
            <w:tcBorders>
              <w:top w:val="single" w:sz="8" w:space="0" w:color="000000"/>
            </w:tcBorders>
            <w:noWrap/>
            <w:vAlign w:val="bottom"/>
          </w:tcPr>
          <w:p w14:paraId="30714E30" w14:textId="77777777" w:rsidR="004F0E20" w:rsidRDefault="004F0E20" w:rsidP="00F7615C">
            <w:pPr>
              <w:pStyle w:val="TDummy"/>
              <w:keepNext/>
            </w:pPr>
          </w:p>
        </w:tc>
        <w:tc>
          <w:tcPr>
            <w:tcW w:w="1021" w:type="dxa"/>
            <w:tcBorders>
              <w:top w:val="single" w:sz="8" w:space="0" w:color="000000"/>
            </w:tcBorders>
            <w:noWrap/>
            <w:vAlign w:val="bottom"/>
          </w:tcPr>
          <w:p w14:paraId="05D14EA0" w14:textId="77777777" w:rsidR="004F0E20" w:rsidRDefault="004F0E20" w:rsidP="00F7615C">
            <w:pPr>
              <w:pStyle w:val="TDummy"/>
              <w:keepNext/>
            </w:pPr>
          </w:p>
        </w:tc>
      </w:tr>
      <w:tr w:rsidR="004F0E20" w14:paraId="7162DF60" w14:textId="77777777" w:rsidTr="00F7615C">
        <w:tc>
          <w:tcPr>
            <w:tcW w:w="2914" w:type="dxa"/>
            <w:shd w:val="clear" w:color="000000" w:fill="FFFFFF"/>
            <w:noWrap/>
            <w:vAlign w:val="bottom"/>
          </w:tcPr>
          <w:p w14:paraId="308759D9" w14:textId="77777777" w:rsidR="004F0E20" w:rsidRDefault="004F0E20" w:rsidP="00F7615C">
            <w:pPr>
              <w:pStyle w:val="THeadfirstNumber"/>
            </w:pPr>
            <w:bookmarkStart w:id="26" w:name="RANGE!B39:N39"/>
            <w:bookmarkEnd w:id="26"/>
          </w:p>
        </w:tc>
        <w:tc>
          <w:tcPr>
            <w:tcW w:w="119" w:type="dxa"/>
            <w:noWrap/>
            <w:vAlign w:val="bottom"/>
          </w:tcPr>
          <w:p w14:paraId="538E977F" w14:textId="77777777" w:rsidR="004F0E20" w:rsidRDefault="004F0E20" w:rsidP="00F7615C">
            <w:pPr>
              <w:pStyle w:val="THeadfirstNumber"/>
            </w:pPr>
          </w:p>
        </w:tc>
        <w:tc>
          <w:tcPr>
            <w:tcW w:w="3301" w:type="dxa"/>
            <w:gridSpan w:val="5"/>
            <w:tcBorders>
              <w:bottom w:val="single" w:sz="4" w:space="0" w:color="A59C94"/>
            </w:tcBorders>
            <w:shd w:val="clear" w:color="000000" w:fill="FFFFFF"/>
            <w:noWrap/>
            <w:vAlign w:val="bottom"/>
          </w:tcPr>
          <w:p w14:paraId="2056CFC9" w14:textId="77777777" w:rsidR="004F0E20" w:rsidRDefault="004F0E20" w:rsidP="00F7615C">
            <w:pPr>
              <w:pStyle w:val="THeadfirstNumber"/>
            </w:pPr>
            <w:r>
              <w:t>Sales</w:t>
            </w:r>
          </w:p>
        </w:tc>
        <w:tc>
          <w:tcPr>
            <w:tcW w:w="119" w:type="dxa"/>
            <w:noWrap/>
            <w:vAlign w:val="bottom"/>
          </w:tcPr>
          <w:p w14:paraId="3D6E1408" w14:textId="77777777" w:rsidR="004F0E20" w:rsidRDefault="004F0E20" w:rsidP="00F7615C">
            <w:pPr>
              <w:pStyle w:val="THeadfirstNumber"/>
            </w:pPr>
          </w:p>
        </w:tc>
        <w:tc>
          <w:tcPr>
            <w:tcW w:w="3301" w:type="dxa"/>
            <w:gridSpan w:val="5"/>
            <w:tcBorders>
              <w:bottom w:val="single" w:sz="4" w:space="0" w:color="A59C94"/>
            </w:tcBorders>
            <w:shd w:val="clear" w:color="000000" w:fill="FFFFFF"/>
            <w:noWrap/>
            <w:vAlign w:val="bottom"/>
          </w:tcPr>
          <w:p w14:paraId="430351B8" w14:textId="77777777" w:rsidR="004F0E20" w:rsidRDefault="004F0E20" w:rsidP="00F7615C">
            <w:pPr>
              <w:pStyle w:val="THeadfirstNumber"/>
            </w:pPr>
            <w:r>
              <w:t>Adjusted EBITDA</w:t>
            </w:r>
          </w:p>
        </w:tc>
      </w:tr>
      <w:tr w:rsidR="004F0E20" w14:paraId="51A46B4F" w14:textId="77777777" w:rsidTr="00F7615C">
        <w:tc>
          <w:tcPr>
            <w:tcW w:w="2914" w:type="dxa"/>
            <w:tcBorders>
              <w:bottom w:val="single" w:sz="4" w:space="0" w:color="000000"/>
            </w:tcBorders>
            <w:shd w:val="clear" w:color="000000" w:fill="FFFFFF"/>
            <w:noWrap/>
            <w:vAlign w:val="bottom"/>
          </w:tcPr>
          <w:p w14:paraId="7920566A" w14:textId="77777777" w:rsidR="004F0E20" w:rsidRDefault="004F0E20" w:rsidP="00F7615C">
            <w:pPr>
              <w:pStyle w:val="THeadlastText"/>
            </w:pPr>
            <w:bookmarkStart w:id="27" w:name="RANGE!B40:N40"/>
            <w:bookmarkEnd w:id="27"/>
            <w:r>
              <w:t>in € million</w:t>
            </w:r>
          </w:p>
        </w:tc>
        <w:tc>
          <w:tcPr>
            <w:tcW w:w="119" w:type="dxa"/>
            <w:noWrap/>
            <w:vAlign w:val="bottom"/>
          </w:tcPr>
          <w:p w14:paraId="68A01A1D"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6116C33E" w14:textId="77777777" w:rsidR="004F0E20" w:rsidRDefault="004F0E20" w:rsidP="00F7615C">
            <w:pPr>
              <w:pStyle w:val="THeadlastNumber"/>
            </w:pPr>
            <w:r>
              <w:t>2022</w:t>
            </w:r>
          </w:p>
        </w:tc>
        <w:tc>
          <w:tcPr>
            <w:tcW w:w="119" w:type="dxa"/>
            <w:vAlign w:val="bottom"/>
          </w:tcPr>
          <w:p w14:paraId="414D1344"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44E8E734" w14:textId="77777777" w:rsidR="004F0E20" w:rsidRDefault="004F0E20" w:rsidP="00F7615C">
            <w:pPr>
              <w:pStyle w:val="THeadlastNumberbold"/>
            </w:pPr>
            <w:bookmarkStart w:id="28" w:name="RANGE!F40:F47"/>
            <w:bookmarkEnd w:id="28"/>
            <w:r>
              <w:t>2023</w:t>
            </w:r>
          </w:p>
        </w:tc>
        <w:tc>
          <w:tcPr>
            <w:tcW w:w="119" w:type="dxa"/>
            <w:noWrap/>
            <w:vAlign w:val="bottom"/>
          </w:tcPr>
          <w:p w14:paraId="35FA8504"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66CDBD19" w14:textId="77777777" w:rsidR="004F0E20" w:rsidRDefault="004F0E20" w:rsidP="00F7615C">
            <w:pPr>
              <w:pStyle w:val="THeaddifferenceNumber"/>
              <w:keepNext/>
            </w:pPr>
            <w:bookmarkStart w:id="29" w:name="RANGE!H40:H47"/>
            <w:bookmarkEnd w:id="29"/>
            <w:r>
              <w:t>Change in %</w:t>
            </w:r>
          </w:p>
        </w:tc>
        <w:tc>
          <w:tcPr>
            <w:tcW w:w="119" w:type="dxa"/>
            <w:vAlign w:val="bottom"/>
          </w:tcPr>
          <w:p w14:paraId="7DDC4F54"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07DC5543" w14:textId="77777777" w:rsidR="004F0E20" w:rsidRDefault="004F0E20" w:rsidP="00F7615C">
            <w:pPr>
              <w:pStyle w:val="THeadlastNumber"/>
            </w:pPr>
            <w:r>
              <w:t>2022</w:t>
            </w:r>
          </w:p>
        </w:tc>
        <w:tc>
          <w:tcPr>
            <w:tcW w:w="119" w:type="dxa"/>
            <w:vAlign w:val="bottom"/>
          </w:tcPr>
          <w:p w14:paraId="2ABF95AD"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12DDD961" w14:textId="77777777" w:rsidR="004F0E20" w:rsidRDefault="004F0E20" w:rsidP="00F7615C">
            <w:pPr>
              <w:pStyle w:val="THeadlastNumberbold"/>
            </w:pPr>
            <w:bookmarkStart w:id="30" w:name="RANGE!L40:L47"/>
            <w:bookmarkEnd w:id="30"/>
            <w:r>
              <w:t>2023</w:t>
            </w:r>
          </w:p>
        </w:tc>
        <w:tc>
          <w:tcPr>
            <w:tcW w:w="119" w:type="dxa"/>
            <w:noWrap/>
            <w:vAlign w:val="bottom"/>
          </w:tcPr>
          <w:p w14:paraId="63E9154F" w14:textId="77777777" w:rsidR="004F0E20" w:rsidRDefault="004F0E20" w:rsidP="00F7615C">
            <w:pPr>
              <w:pStyle w:val="THeadlastNumber"/>
            </w:pPr>
          </w:p>
        </w:tc>
        <w:tc>
          <w:tcPr>
            <w:tcW w:w="1021" w:type="dxa"/>
            <w:tcBorders>
              <w:top w:val="single" w:sz="4" w:space="0" w:color="A59C94"/>
              <w:bottom w:val="single" w:sz="4" w:space="0" w:color="000000"/>
            </w:tcBorders>
            <w:shd w:val="clear" w:color="000000" w:fill="FFFFFF"/>
            <w:vAlign w:val="bottom"/>
          </w:tcPr>
          <w:p w14:paraId="7FE364F1" w14:textId="77777777" w:rsidR="004F0E20" w:rsidRDefault="004F0E20" w:rsidP="00F7615C">
            <w:pPr>
              <w:pStyle w:val="THeaddifferenceNumber"/>
              <w:keepNext/>
            </w:pPr>
            <w:bookmarkStart w:id="31" w:name="RANGE!N40:N47"/>
            <w:bookmarkEnd w:id="31"/>
            <w:r>
              <w:t>Change in %</w:t>
            </w:r>
          </w:p>
        </w:tc>
      </w:tr>
      <w:tr w:rsidR="004F0E20" w14:paraId="780EE697" w14:textId="77777777" w:rsidTr="00F7615C">
        <w:tc>
          <w:tcPr>
            <w:tcW w:w="2914" w:type="dxa"/>
            <w:tcBorders>
              <w:top w:val="single" w:sz="4" w:space="0" w:color="000000"/>
              <w:bottom w:val="single" w:sz="4" w:space="0" w:color="A59C94"/>
            </w:tcBorders>
            <w:noWrap/>
            <w:vAlign w:val="bottom"/>
          </w:tcPr>
          <w:p w14:paraId="2BB595FC" w14:textId="77777777" w:rsidR="004F0E20" w:rsidRDefault="004F0E20" w:rsidP="00F7615C">
            <w:pPr>
              <w:pStyle w:val="TBodynormalText"/>
            </w:pPr>
            <w:r>
              <w:t>Specialty Additives</w:t>
            </w:r>
          </w:p>
        </w:tc>
        <w:tc>
          <w:tcPr>
            <w:tcW w:w="119" w:type="dxa"/>
            <w:noWrap/>
            <w:vAlign w:val="bottom"/>
          </w:tcPr>
          <w:p w14:paraId="7047A7AE" w14:textId="77777777" w:rsidR="004F0E20" w:rsidRDefault="004F0E20" w:rsidP="00F7615C">
            <w:pPr>
              <w:pStyle w:val="TBodynormalNumber"/>
              <w:keepNext/>
            </w:pPr>
          </w:p>
        </w:tc>
        <w:tc>
          <w:tcPr>
            <w:tcW w:w="1021" w:type="dxa"/>
            <w:tcBorders>
              <w:top w:val="single" w:sz="4" w:space="0" w:color="000000"/>
              <w:bottom w:val="single" w:sz="4" w:space="0" w:color="A59C94"/>
            </w:tcBorders>
            <w:noWrap/>
            <w:vAlign w:val="bottom"/>
          </w:tcPr>
          <w:p w14:paraId="07F8B4D4" w14:textId="77777777" w:rsidR="004F0E20" w:rsidRDefault="004F0E20" w:rsidP="00F7615C">
            <w:pPr>
              <w:pStyle w:val="TBodynormalNumber"/>
              <w:keepNext/>
            </w:pPr>
            <w:r>
              <w:t>4,184</w:t>
            </w:r>
          </w:p>
        </w:tc>
        <w:tc>
          <w:tcPr>
            <w:tcW w:w="119" w:type="dxa"/>
            <w:noWrap/>
            <w:vAlign w:val="bottom"/>
          </w:tcPr>
          <w:p w14:paraId="6B3DCACE" w14:textId="77777777" w:rsidR="004F0E20" w:rsidRDefault="004F0E20" w:rsidP="00F7615C">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3C9A3DF7" w14:textId="77777777" w:rsidR="004F0E20" w:rsidRDefault="004F0E20" w:rsidP="00F7615C">
            <w:pPr>
              <w:pStyle w:val="TBodynormalNumber"/>
              <w:keepNext/>
            </w:pPr>
            <w:r>
              <w:t>3,520</w:t>
            </w:r>
          </w:p>
        </w:tc>
        <w:tc>
          <w:tcPr>
            <w:tcW w:w="119" w:type="dxa"/>
            <w:noWrap/>
            <w:vAlign w:val="bottom"/>
          </w:tcPr>
          <w:p w14:paraId="044813C3" w14:textId="77777777" w:rsidR="004F0E20" w:rsidRDefault="004F0E20" w:rsidP="00F7615C">
            <w:pPr>
              <w:pStyle w:val="TBodynormalNumber"/>
              <w:keepNext/>
            </w:pPr>
          </w:p>
        </w:tc>
        <w:tc>
          <w:tcPr>
            <w:tcW w:w="1021" w:type="dxa"/>
            <w:tcBorders>
              <w:top w:val="single" w:sz="4" w:space="0" w:color="000000"/>
              <w:bottom w:val="single" w:sz="4" w:space="0" w:color="A59C94"/>
            </w:tcBorders>
            <w:noWrap/>
            <w:vAlign w:val="bottom"/>
          </w:tcPr>
          <w:p w14:paraId="5C2AC9F3" w14:textId="77777777" w:rsidR="004F0E20" w:rsidRDefault="004F0E20" w:rsidP="00F7615C">
            <w:pPr>
              <w:pStyle w:val="TBodynormalNumber"/>
              <w:keepNext/>
            </w:pPr>
            <w:r>
              <w:t>-16</w:t>
            </w:r>
          </w:p>
        </w:tc>
        <w:tc>
          <w:tcPr>
            <w:tcW w:w="119" w:type="dxa"/>
            <w:vAlign w:val="bottom"/>
          </w:tcPr>
          <w:p w14:paraId="70924C43" w14:textId="77777777" w:rsidR="004F0E20" w:rsidRDefault="004F0E20" w:rsidP="00F7615C">
            <w:pPr>
              <w:pStyle w:val="TBodynormalNumber"/>
              <w:keepNext/>
            </w:pPr>
          </w:p>
        </w:tc>
        <w:tc>
          <w:tcPr>
            <w:tcW w:w="1021" w:type="dxa"/>
            <w:tcBorders>
              <w:top w:val="single" w:sz="4" w:space="0" w:color="000000"/>
              <w:bottom w:val="single" w:sz="4" w:space="0" w:color="A59C94"/>
            </w:tcBorders>
            <w:noWrap/>
            <w:vAlign w:val="bottom"/>
          </w:tcPr>
          <w:p w14:paraId="37849024" w14:textId="77777777" w:rsidR="004F0E20" w:rsidRDefault="004F0E20" w:rsidP="00F7615C">
            <w:pPr>
              <w:pStyle w:val="TBodynormalNumber"/>
              <w:keepNext/>
            </w:pPr>
            <w:r>
              <w:t>946</w:t>
            </w:r>
          </w:p>
        </w:tc>
        <w:tc>
          <w:tcPr>
            <w:tcW w:w="119" w:type="dxa"/>
            <w:noWrap/>
            <w:vAlign w:val="bottom"/>
          </w:tcPr>
          <w:p w14:paraId="739A7AD5" w14:textId="77777777" w:rsidR="004F0E20" w:rsidRDefault="004F0E20" w:rsidP="00F7615C">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086741B5" w14:textId="77777777" w:rsidR="004F0E20" w:rsidRDefault="004F0E20" w:rsidP="00F7615C">
            <w:pPr>
              <w:pStyle w:val="TBodynormalNumber"/>
              <w:keepNext/>
            </w:pPr>
            <w:r>
              <w:t>673</w:t>
            </w:r>
          </w:p>
        </w:tc>
        <w:tc>
          <w:tcPr>
            <w:tcW w:w="119" w:type="dxa"/>
            <w:noWrap/>
            <w:vAlign w:val="bottom"/>
          </w:tcPr>
          <w:p w14:paraId="7C5067D6" w14:textId="77777777" w:rsidR="004F0E20" w:rsidRDefault="004F0E20" w:rsidP="00F7615C">
            <w:pPr>
              <w:pStyle w:val="TBodynormalNumber"/>
              <w:keepNext/>
            </w:pPr>
          </w:p>
        </w:tc>
        <w:tc>
          <w:tcPr>
            <w:tcW w:w="1021" w:type="dxa"/>
            <w:tcBorders>
              <w:top w:val="single" w:sz="4" w:space="0" w:color="000000"/>
              <w:bottom w:val="single" w:sz="4" w:space="0" w:color="A59C94"/>
            </w:tcBorders>
            <w:noWrap/>
            <w:vAlign w:val="bottom"/>
          </w:tcPr>
          <w:p w14:paraId="33AC6797" w14:textId="77777777" w:rsidR="004F0E20" w:rsidRDefault="004F0E20" w:rsidP="00F7615C">
            <w:pPr>
              <w:pStyle w:val="TBodynormalNumber"/>
              <w:keepNext/>
            </w:pPr>
            <w:r>
              <w:t>-29</w:t>
            </w:r>
          </w:p>
        </w:tc>
      </w:tr>
      <w:tr w:rsidR="004F0E20" w14:paraId="152154DD" w14:textId="77777777" w:rsidTr="00F7615C">
        <w:tc>
          <w:tcPr>
            <w:tcW w:w="2914" w:type="dxa"/>
            <w:tcBorders>
              <w:top w:val="single" w:sz="4" w:space="0" w:color="A59C94"/>
              <w:bottom w:val="single" w:sz="4" w:space="0" w:color="A59C94"/>
            </w:tcBorders>
            <w:noWrap/>
            <w:vAlign w:val="bottom"/>
          </w:tcPr>
          <w:p w14:paraId="6EB12DC8" w14:textId="77777777" w:rsidR="004F0E20" w:rsidRDefault="004F0E20" w:rsidP="00F7615C">
            <w:pPr>
              <w:pStyle w:val="TBodynormalText"/>
            </w:pPr>
            <w:r>
              <w:t>Nutrition &amp; Care</w:t>
            </w:r>
          </w:p>
        </w:tc>
        <w:tc>
          <w:tcPr>
            <w:tcW w:w="119" w:type="dxa"/>
            <w:noWrap/>
            <w:vAlign w:val="bottom"/>
          </w:tcPr>
          <w:p w14:paraId="1E364679"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233A4A54" w14:textId="77777777" w:rsidR="004F0E20" w:rsidRDefault="004F0E20" w:rsidP="00F7615C">
            <w:pPr>
              <w:pStyle w:val="TBodynormalNumber"/>
              <w:keepNext/>
            </w:pPr>
            <w:r>
              <w:t>4,237</w:t>
            </w:r>
          </w:p>
        </w:tc>
        <w:tc>
          <w:tcPr>
            <w:tcW w:w="119" w:type="dxa"/>
            <w:noWrap/>
            <w:vAlign w:val="bottom"/>
          </w:tcPr>
          <w:p w14:paraId="0E423F1A"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E7B7FF8" w14:textId="77777777" w:rsidR="004F0E20" w:rsidRDefault="004F0E20" w:rsidP="00F7615C">
            <w:pPr>
              <w:pStyle w:val="TBodynormalNumber"/>
              <w:keepNext/>
            </w:pPr>
            <w:r>
              <w:t>3,611</w:t>
            </w:r>
          </w:p>
        </w:tc>
        <w:tc>
          <w:tcPr>
            <w:tcW w:w="119" w:type="dxa"/>
            <w:noWrap/>
            <w:vAlign w:val="bottom"/>
          </w:tcPr>
          <w:p w14:paraId="02E9176D"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43346B44" w14:textId="77777777" w:rsidR="004F0E20" w:rsidRDefault="004F0E20" w:rsidP="00F7615C">
            <w:pPr>
              <w:pStyle w:val="TBodynormalNumber"/>
              <w:keepNext/>
            </w:pPr>
            <w:r>
              <w:t>-15</w:t>
            </w:r>
          </w:p>
        </w:tc>
        <w:tc>
          <w:tcPr>
            <w:tcW w:w="119" w:type="dxa"/>
            <w:noWrap/>
            <w:vAlign w:val="bottom"/>
          </w:tcPr>
          <w:p w14:paraId="4D03F229"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2B6DF34D" w14:textId="77777777" w:rsidR="004F0E20" w:rsidRDefault="004F0E20" w:rsidP="00F7615C">
            <w:pPr>
              <w:pStyle w:val="TBodynormalNumber"/>
              <w:keepNext/>
            </w:pPr>
            <w:r>
              <w:t>677</w:t>
            </w:r>
          </w:p>
        </w:tc>
        <w:tc>
          <w:tcPr>
            <w:tcW w:w="119" w:type="dxa"/>
            <w:noWrap/>
            <w:vAlign w:val="bottom"/>
          </w:tcPr>
          <w:p w14:paraId="341B93BC"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0FF6712" w14:textId="77777777" w:rsidR="004F0E20" w:rsidRDefault="004F0E20" w:rsidP="00F7615C">
            <w:pPr>
              <w:pStyle w:val="TBodynormalNumber"/>
              <w:keepNext/>
            </w:pPr>
            <w:r>
              <w:t>389</w:t>
            </w:r>
          </w:p>
        </w:tc>
        <w:tc>
          <w:tcPr>
            <w:tcW w:w="119" w:type="dxa"/>
            <w:noWrap/>
            <w:vAlign w:val="bottom"/>
          </w:tcPr>
          <w:p w14:paraId="0121D3DE"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09C99337" w14:textId="77777777" w:rsidR="004F0E20" w:rsidRDefault="004F0E20" w:rsidP="00F7615C">
            <w:pPr>
              <w:pStyle w:val="TBodynormalNumber"/>
              <w:keepNext/>
            </w:pPr>
            <w:r>
              <w:t>-43</w:t>
            </w:r>
          </w:p>
        </w:tc>
      </w:tr>
      <w:tr w:rsidR="004F0E20" w14:paraId="23BD4C75" w14:textId="77777777" w:rsidTr="00F7615C">
        <w:tc>
          <w:tcPr>
            <w:tcW w:w="2914" w:type="dxa"/>
            <w:tcBorders>
              <w:top w:val="single" w:sz="4" w:space="0" w:color="A59C94"/>
              <w:bottom w:val="single" w:sz="4" w:space="0" w:color="A59C94"/>
            </w:tcBorders>
            <w:noWrap/>
            <w:vAlign w:val="bottom"/>
          </w:tcPr>
          <w:p w14:paraId="3AC163E3" w14:textId="77777777" w:rsidR="004F0E20" w:rsidRDefault="004F0E20" w:rsidP="00F7615C">
            <w:pPr>
              <w:pStyle w:val="TBodynormalText"/>
            </w:pPr>
            <w:bookmarkStart w:id="32" w:name="SNAMD_ba539a7a48b140508e7df945c2a37169"/>
            <w:r>
              <w:t>Smart Materials</w:t>
            </w:r>
            <w:r>
              <w:rPr>
                <w:vertAlign w:val="superscript"/>
              </w:rPr>
              <w:t>a</w:t>
            </w:r>
            <w:bookmarkEnd w:id="32"/>
          </w:p>
        </w:tc>
        <w:tc>
          <w:tcPr>
            <w:tcW w:w="119" w:type="dxa"/>
            <w:noWrap/>
            <w:vAlign w:val="bottom"/>
          </w:tcPr>
          <w:p w14:paraId="2821C323"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3247D268" w14:textId="77777777" w:rsidR="004F0E20" w:rsidRDefault="004F0E20" w:rsidP="00F7615C">
            <w:pPr>
              <w:pStyle w:val="TBodynormalNumber"/>
              <w:keepNext/>
            </w:pPr>
            <w:r>
              <w:t>5,240</w:t>
            </w:r>
          </w:p>
        </w:tc>
        <w:tc>
          <w:tcPr>
            <w:tcW w:w="119" w:type="dxa"/>
            <w:noWrap/>
            <w:vAlign w:val="bottom"/>
          </w:tcPr>
          <w:p w14:paraId="085FBE92"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C1E91E6" w14:textId="77777777" w:rsidR="004F0E20" w:rsidRDefault="004F0E20" w:rsidP="00F7615C">
            <w:pPr>
              <w:pStyle w:val="TBodynormalNumber"/>
              <w:keepNext/>
            </w:pPr>
            <w:r>
              <w:t>4,461</w:t>
            </w:r>
          </w:p>
        </w:tc>
        <w:tc>
          <w:tcPr>
            <w:tcW w:w="119" w:type="dxa"/>
            <w:noWrap/>
            <w:vAlign w:val="bottom"/>
          </w:tcPr>
          <w:p w14:paraId="1BCFFA80"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14C9C117" w14:textId="77777777" w:rsidR="004F0E20" w:rsidRDefault="004F0E20" w:rsidP="00F7615C">
            <w:pPr>
              <w:pStyle w:val="TBodynormalNumber"/>
              <w:keepNext/>
            </w:pPr>
            <w:r>
              <w:t>-15</w:t>
            </w:r>
          </w:p>
        </w:tc>
        <w:tc>
          <w:tcPr>
            <w:tcW w:w="119" w:type="dxa"/>
            <w:noWrap/>
            <w:vAlign w:val="bottom"/>
          </w:tcPr>
          <w:p w14:paraId="1B0158DD"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1DBAD108" w14:textId="77777777" w:rsidR="004F0E20" w:rsidRDefault="004F0E20" w:rsidP="00F7615C">
            <w:pPr>
              <w:pStyle w:val="TBodynormalNumber"/>
              <w:keepNext/>
            </w:pPr>
            <w:r>
              <w:t>743</w:t>
            </w:r>
          </w:p>
        </w:tc>
        <w:tc>
          <w:tcPr>
            <w:tcW w:w="119" w:type="dxa"/>
            <w:noWrap/>
            <w:vAlign w:val="bottom"/>
          </w:tcPr>
          <w:p w14:paraId="22F1E2F8"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49D0D60" w14:textId="77777777" w:rsidR="004F0E20" w:rsidRDefault="004F0E20" w:rsidP="00F7615C">
            <w:pPr>
              <w:pStyle w:val="TBodynormalNumber"/>
              <w:keepNext/>
            </w:pPr>
            <w:r>
              <w:t>540</w:t>
            </w:r>
          </w:p>
        </w:tc>
        <w:tc>
          <w:tcPr>
            <w:tcW w:w="119" w:type="dxa"/>
            <w:noWrap/>
            <w:vAlign w:val="bottom"/>
          </w:tcPr>
          <w:p w14:paraId="0816E815"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71D216B0" w14:textId="77777777" w:rsidR="004F0E20" w:rsidRDefault="004F0E20" w:rsidP="00F7615C">
            <w:pPr>
              <w:pStyle w:val="TBodynormalNumber"/>
              <w:keepNext/>
            </w:pPr>
            <w:r>
              <w:t>-27</w:t>
            </w:r>
          </w:p>
        </w:tc>
      </w:tr>
      <w:tr w:rsidR="004F0E20" w14:paraId="3848427D" w14:textId="77777777" w:rsidTr="00F7615C">
        <w:tc>
          <w:tcPr>
            <w:tcW w:w="2914" w:type="dxa"/>
            <w:tcBorders>
              <w:top w:val="single" w:sz="4" w:space="0" w:color="A59C94"/>
              <w:bottom w:val="single" w:sz="4" w:space="0" w:color="A59C94"/>
            </w:tcBorders>
            <w:noWrap/>
            <w:vAlign w:val="bottom"/>
          </w:tcPr>
          <w:p w14:paraId="302AFB59" w14:textId="77777777" w:rsidR="004F0E20" w:rsidRDefault="004F0E20" w:rsidP="00F7615C">
            <w:pPr>
              <w:pStyle w:val="TBodynormalText"/>
            </w:pPr>
            <w:bookmarkStart w:id="33" w:name="SNAMD_7789d7a55c804ac1ad6a988e41cd9fe3"/>
            <w:r>
              <w:t>Performance Materials</w:t>
            </w:r>
            <w:r>
              <w:rPr>
                <w:vertAlign w:val="superscript"/>
              </w:rPr>
              <w:t>a</w:t>
            </w:r>
            <w:bookmarkEnd w:id="33"/>
          </w:p>
        </w:tc>
        <w:tc>
          <w:tcPr>
            <w:tcW w:w="119" w:type="dxa"/>
            <w:noWrap/>
            <w:vAlign w:val="bottom"/>
          </w:tcPr>
          <w:p w14:paraId="7BF94CCF"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2604AC58" w14:textId="77777777" w:rsidR="004F0E20" w:rsidRDefault="004F0E20" w:rsidP="00F7615C">
            <w:pPr>
              <w:pStyle w:val="TBodynormalNumber"/>
              <w:keepNext/>
            </w:pPr>
            <w:r>
              <w:t>3,253</w:t>
            </w:r>
          </w:p>
        </w:tc>
        <w:tc>
          <w:tcPr>
            <w:tcW w:w="119" w:type="dxa"/>
            <w:noWrap/>
            <w:vAlign w:val="bottom"/>
          </w:tcPr>
          <w:p w14:paraId="1C546B49"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DA495A6" w14:textId="77777777" w:rsidR="004F0E20" w:rsidRDefault="004F0E20" w:rsidP="00F7615C">
            <w:pPr>
              <w:pStyle w:val="TBodynormalNumber"/>
              <w:keepNext/>
            </w:pPr>
            <w:r>
              <w:t>2,549</w:t>
            </w:r>
          </w:p>
        </w:tc>
        <w:tc>
          <w:tcPr>
            <w:tcW w:w="119" w:type="dxa"/>
            <w:noWrap/>
            <w:vAlign w:val="bottom"/>
          </w:tcPr>
          <w:p w14:paraId="5E0E021B"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5A73A8F0" w14:textId="77777777" w:rsidR="004F0E20" w:rsidRDefault="004F0E20" w:rsidP="00F7615C">
            <w:pPr>
              <w:pStyle w:val="TBodynormalNumber"/>
              <w:keepNext/>
            </w:pPr>
            <w:r>
              <w:t>-22</w:t>
            </w:r>
          </w:p>
        </w:tc>
        <w:tc>
          <w:tcPr>
            <w:tcW w:w="119" w:type="dxa"/>
            <w:noWrap/>
            <w:vAlign w:val="bottom"/>
          </w:tcPr>
          <w:p w14:paraId="2224E4F1"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7C6FBEA6" w14:textId="77777777" w:rsidR="004F0E20" w:rsidRDefault="004F0E20" w:rsidP="00F7615C">
            <w:pPr>
              <w:pStyle w:val="TBodynormalNumber"/>
              <w:keepNext/>
            </w:pPr>
            <w:r>
              <w:t>350</w:t>
            </w:r>
          </w:p>
        </w:tc>
        <w:tc>
          <w:tcPr>
            <w:tcW w:w="119" w:type="dxa"/>
            <w:noWrap/>
            <w:vAlign w:val="bottom"/>
          </w:tcPr>
          <w:p w14:paraId="65F1E2FC"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B9DC0FB" w14:textId="77777777" w:rsidR="004F0E20" w:rsidRDefault="004F0E20" w:rsidP="00F7615C">
            <w:pPr>
              <w:pStyle w:val="TBodynormalNumber"/>
              <w:keepNext/>
            </w:pPr>
            <w:r>
              <w:t>111</w:t>
            </w:r>
          </w:p>
        </w:tc>
        <w:tc>
          <w:tcPr>
            <w:tcW w:w="119" w:type="dxa"/>
            <w:noWrap/>
            <w:vAlign w:val="bottom"/>
          </w:tcPr>
          <w:p w14:paraId="3E011215"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4A1F929C" w14:textId="77777777" w:rsidR="004F0E20" w:rsidRDefault="004F0E20" w:rsidP="00F7615C">
            <w:pPr>
              <w:pStyle w:val="TBodynormalNumber"/>
              <w:keepNext/>
            </w:pPr>
            <w:r>
              <w:t>-68</w:t>
            </w:r>
          </w:p>
        </w:tc>
      </w:tr>
      <w:tr w:rsidR="004F0E20" w14:paraId="5363CDAB" w14:textId="77777777" w:rsidTr="00F7615C">
        <w:tc>
          <w:tcPr>
            <w:tcW w:w="2914" w:type="dxa"/>
            <w:tcBorders>
              <w:top w:val="single" w:sz="4" w:space="0" w:color="A59C94"/>
              <w:bottom w:val="single" w:sz="4" w:space="0" w:color="A59C94"/>
            </w:tcBorders>
            <w:noWrap/>
            <w:vAlign w:val="bottom"/>
          </w:tcPr>
          <w:p w14:paraId="472B8AC1" w14:textId="77777777" w:rsidR="004F0E20" w:rsidRDefault="004F0E20" w:rsidP="00F7615C">
            <w:pPr>
              <w:pStyle w:val="TBodynormalText"/>
            </w:pPr>
            <w:r>
              <w:t>Technology &amp; Infrastructure</w:t>
            </w:r>
          </w:p>
        </w:tc>
        <w:tc>
          <w:tcPr>
            <w:tcW w:w="119" w:type="dxa"/>
            <w:noWrap/>
            <w:vAlign w:val="bottom"/>
          </w:tcPr>
          <w:p w14:paraId="6C76E3AE"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280974B0" w14:textId="77777777" w:rsidR="004F0E20" w:rsidRDefault="004F0E20" w:rsidP="00F7615C">
            <w:pPr>
              <w:pStyle w:val="TBodynormalNumber"/>
              <w:keepNext/>
            </w:pPr>
            <w:bookmarkStart w:id="34" w:name="SNAMD_15bcfd92ab2c469ab6b4c75cf1c4cdc2"/>
            <w:r>
              <w:t>1,508</w:t>
            </w:r>
            <w:bookmarkEnd w:id="34"/>
          </w:p>
        </w:tc>
        <w:tc>
          <w:tcPr>
            <w:tcW w:w="119" w:type="dxa"/>
            <w:noWrap/>
            <w:vAlign w:val="bottom"/>
          </w:tcPr>
          <w:p w14:paraId="0DCE3BC3"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BD767AE" w14:textId="77777777" w:rsidR="004F0E20" w:rsidRDefault="004F0E20" w:rsidP="00F7615C">
            <w:pPr>
              <w:pStyle w:val="TBodynormalNumber"/>
              <w:keepNext/>
            </w:pPr>
            <w:r>
              <w:t>1,073</w:t>
            </w:r>
          </w:p>
        </w:tc>
        <w:tc>
          <w:tcPr>
            <w:tcW w:w="119" w:type="dxa"/>
            <w:noWrap/>
            <w:vAlign w:val="bottom"/>
          </w:tcPr>
          <w:p w14:paraId="51B14EC2"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1A274C6F" w14:textId="77777777" w:rsidR="004F0E20" w:rsidRDefault="004F0E20" w:rsidP="00F7615C">
            <w:pPr>
              <w:pStyle w:val="TBodynormalNumber"/>
              <w:keepNext/>
            </w:pPr>
            <w:r>
              <w:t>-29</w:t>
            </w:r>
          </w:p>
        </w:tc>
        <w:tc>
          <w:tcPr>
            <w:tcW w:w="119" w:type="dxa"/>
            <w:noWrap/>
            <w:vAlign w:val="bottom"/>
          </w:tcPr>
          <w:p w14:paraId="70ABFDA3"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112E42B7" w14:textId="77777777" w:rsidR="004F0E20" w:rsidRDefault="004F0E20" w:rsidP="00F7615C">
            <w:pPr>
              <w:pStyle w:val="TBodynormalNumber"/>
              <w:keepNext/>
            </w:pPr>
            <w:r>
              <w:t>86</w:t>
            </w:r>
          </w:p>
        </w:tc>
        <w:tc>
          <w:tcPr>
            <w:tcW w:w="119" w:type="dxa"/>
            <w:noWrap/>
            <w:vAlign w:val="bottom"/>
          </w:tcPr>
          <w:p w14:paraId="36C21A8E"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F819CA4" w14:textId="77777777" w:rsidR="004F0E20" w:rsidRDefault="004F0E20" w:rsidP="00F7615C">
            <w:pPr>
              <w:pStyle w:val="TBodynormalNumber"/>
              <w:keepNext/>
            </w:pPr>
            <w:r>
              <w:t>217</w:t>
            </w:r>
          </w:p>
        </w:tc>
        <w:tc>
          <w:tcPr>
            <w:tcW w:w="119" w:type="dxa"/>
            <w:noWrap/>
            <w:vAlign w:val="bottom"/>
          </w:tcPr>
          <w:p w14:paraId="3A631E5D"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0790A703" w14:textId="77777777" w:rsidR="004F0E20" w:rsidRDefault="004F0E20" w:rsidP="00F7615C">
            <w:pPr>
              <w:pStyle w:val="TBodynormalNumber"/>
              <w:keepNext/>
            </w:pPr>
            <w:r>
              <w:t>152</w:t>
            </w:r>
          </w:p>
        </w:tc>
      </w:tr>
      <w:tr w:rsidR="004F0E20" w14:paraId="49067AEB" w14:textId="77777777" w:rsidTr="00F7615C">
        <w:tc>
          <w:tcPr>
            <w:tcW w:w="2914" w:type="dxa"/>
            <w:tcBorders>
              <w:top w:val="single" w:sz="4" w:space="0" w:color="A59C94"/>
              <w:bottom w:val="single" w:sz="4" w:space="0" w:color="A59C94"/>
            </w:tcBorders>
            <w:noWrap/>
            <w:vAlign w:val="bottom"/>
          </w:tcPr>
          <w:p w14:paraId="36D60013" w14:textId="77777777" w:rsidR="004F0E20" w:rsidRPr="001079B0" w:rsidRDefault="004F0E20" w:rsidP="00F7615C">
            <w:pPr>
              <w:pStyle w:val="TBodynormalText"/>
              <w:rPr>
                <w:lang w:val="en-US"/>
              </w:rPr>
            </w:pPr>
            <w:r w:rsidRPr="00CD27AF">
              <w:rPr>
                <w:lang w:val="en-US"/>
              </w:rPr>
              <w:t>Enabling functions, other activities, consolidation</w:t>
            </w:r>
          </w:p>
        </w:tc>
        <w:tc>
          <w:tcPr>
            <w:tcW w:w="119" w:type="dxa"/>
            <w:noWrap/>
            <w:vAlign w:val="bottom"/>
          </w:tcPr>
          <w:p w14:paraId="4ACDA268" w14:textId="77777777" w:rsidR="004F0E20" w:rsidRPr="001079B0" w:rsidRDefault="004F0E20" w:rsidP="00F7615C">
            <w:pPr>
              <w:pStyle w:val="TBodynormalNumber"/>
              <w:keepNext/>
              <w:rPr>
                <w:lang w:val="en-US"/>
              </w:rPr>
            </w:pPr>
          </w:p>
        </w:tc>
        <w:tc>
          <w:tcPr>
            <w:tcW w:w="1021" w:type="dxa"/>
            <w:tcBorders>
              <w:top w:val="single" w:sz="4" w:space="0" w:color="A59C94"/>
              <w:bottom w:val="single" w:sz="4" w:space="0" w:color="A59C94"/>
            </w:tcBorders>
            <w:noWrap/>
            <w:vAlign w:val="bottom"/>
          </w:tcPr>
          <w:p w14:paraId="4DDC50E3" w14:textId="77777777" w:rsidR="004F0E20" w:rsidRDefault="004F0E20" w:rsidP="00F7615C">
            <w:pPr>
              <w:pStyle w:val="TBodynormalNumber"/>
              <w:keepNext/>
            </w:pPr>
            <w:r>
              <w:t>66</w:t>
            </w:r>
          </w:p>
        </w:tc>
        <w:tc>
          <w:tcPr>
            <w:tcW w:w="119" w:type="dxa"/>
            <w:noWrap/>
            <w:vAlign w:val="bottom"/>
          </w:tcPr>
          <w:p w14:paraId="1817FDE4"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B73DD1B" w14:textId="77777777" w:rsidR="004F0E20" w:rsidRDefault="004F0E20" w:rsidP="00F7615C">
            <w:pPr>
              <w:pStyle w:val="TBodynormalNumber"/>
              <w:keepNext/>
            </w:pPr>
            <w:r>
              <w:t>53</w:t>
            </w:r>
          </w:p>
        </w:tc>
        <w:tc>
          <w:tcPr>
            <w:tcW w:w="119" w:type="dxa"/>
            <w:noWrap/>
            <w:vAlign w:val="bottom"/>
          </w:tcPr>
          <w:p w14:paraId="56F6475F"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411CFD60" w14:textId="77777777" w:rsidR="004F0E20" w:rsidRDefault="004F0E20" w:rsidP="00F7615C">
            <w:pPr>
              <w:pStyle w:val="TBodynormalNumber"/>
              <w:keepNext/>
            </w:pPr>
            <w:r>
              <w:t>-20</w:t>
            </w:r>
          </w:p>
        </w:tc>
        <w:tc>
          <w:tcPr>
            <w:tcW w:w="119" w:type="dxa"/>
            <w:noWrap/>
            <w:vAlign w:val="bottom"/>
          </w:tcPr>
          <w:p w14:paraId="10311B01"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46E5A1A5" w14:textId="77777777" w:rsidR="004F0E20" w:rsidRDefault="004F0E20" w:rsidP="00F7615C">
            <w:pPr>
              <w:pStyle w:val="TBodynormalNumber"/>
              <w:keepNext/>
            </w:pPr>
            <w:r>
              <w:t>-312</w:t>
            </w:r>
          </w:p>
        </w:tc>
        <w:tc>
          <w:tcPr>
            <w:tcW w:w="119" w:type="dxa"/>
            <w:noWrap/>
            <w:vAlign w:val="bottom"/>
          </w:tcPr>
          <w:p w14:paraId="72771E31" w14:textId="77777777" w:rsidR="004F0E20" w:rsidRDefault="004F0E20"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5ECE232D" w14:textId="77777777" w:rsidR="004F0E20" w:rsidRDefault="004F0E20" w:rsidP="00F7615C">
            <w:pPr>
              <w:pStyle w:val="TBodynormalNumber"/>
              <w:keepNext/>
            </w:pPr>
            <w:r>
              <w:t>-274</w:t>
            </w:r>
          </w:p>
        </w:tc>
        <w:tc>
          <w:tcPr>
            <w:tcW w:w="119" w:type="dxa"/>
            <w:noWrap/>
            <w:vAlign w:val="bottom"/>
          </w:tcPr>
          <w:p w14:paraId="25286C69" w14:textId="77777777" w:rsidR="004F0E20" w:rsidRDefault="004F0E20" w:rsidP="00F7615C">
            <w:pPr>
              <w:pStyle w:val="TBodynormalNumber"/>
              <w:keepNext/>
            </w:pPr>
          </w:p>
        </w:tc>
        <w:tc>
          <w:tcPr>
            <w:tcW w:w="1021" w:type="dxa"/>
            <w:tcBorders>
              <w:top w:val="single" w:sz="4" w:space="0" w:color="A59C94"/>
              <w:bottom w:val="single" w:sz="4" w:space="0" w:color="A59C94"/>
            </w:tcBorders>
            <w:noWrap/>
            <w:vAlign w:val="bottom"/>
          </w:tcPr>
          <w:p w14:paraId="1AD3C3AD" w14:textId="77777777" w:rsidR="004F0E20" w:rsidRDefault="004F0E20" w:rsidP="00F7615C">
            <w:pPr>
              <w:pStyle w:val="TBodynormalNumber"/>
              <w:keepNext/>
            </w:pPr>
            <w:r>
              <w:t>12</w:t>
            </w:r>
          </w:p>
        </w:tc>
      </w:tr>
      <w:tr w:rsidR="004F0E20" w14:paraId="0369DA85" w14:textId="77777777" w:rsidTr="00F7615C">
        <w:tc>
          <w:tcPr>
            <w:tcW w:w="2914" w:type="dxa"/>
            <w:tcBorders>
              <w:top w:val="single" w:sz="4" w:space="0" w:color="A59C94"/>
              <w:bottom w:val="single" w:sz="16" w:space="0" w:color="991D85"/>
            </w:tcBorders>
            <w:noWrap/>
            <w:vAlign w:val="bottom"/>
          </w:tcPr>
          <w:p w14:paraId="18A6769F" w14:textId="77777777" w:rsidR="004F0E20" w:rsidRDefault="004F0E20" w:rsidP="00F7615C">
            <w:pPr>
              <w:pStyle w:val="TBodytotalText"/>
            </w:pPr>
            <w:bookmarkStart w:id="35" w:name="RANGE!B47:N47"/>
            <w:bookmarkEnd w:id="35"/>
            <w:r>
              <w:t>Evonik Group</w:t>
            </w:r>
          </w:p>
        </w:tc>
        <w:tc>
          <w:tcPr>
            <w:tcW w:w="119" w:type="dxa"/>
            <w:tcBorders>
              <w:bottom w:val="single" w:sz="16" w:space="0" w:color="991D85"/>
            </w:tcBorders>
            <w:noWrap/>
            <w:vAlign w:val="bottom"/>
          </w:tcPr>
          <w:p w14:paraId="45215ECB" w14:textId="77777777" w:rsidR="004F0E20" w:rsidRDefault="004F0E20" w:rsidP="00F7615C">
            <w:pPr>
              <w:pStyle w:val="TBodytotalNumber"/>
            </w:pPr>
          </w:p>
        </w:tc>
        <w:tc>
          <w:tcPr>
            <w:tcW w:w="1021" w:type="dxa"/>
            <w:tcBorders>
              <w:top w:val="single" w:sz="4" w:space="0" w:color="A59C94"/>
              <w:bottom w:val="single" w:sz="16" w:space="0" w:color="991D85"/>
            </w:tcBorders>
            <w:noWrap/>
            <w:vAlign w:val="bottom"/>
          </w:tcPr>
          <w:p w14:paraId="2C3E71F5" w14:textId="77777777" w:rsidR="004F0E20" w:rsidRDefault="004F0E20" w:rsidP="00F7615C">
            <w:pPr>
              <w:pStyle w:val="TBodytotalNumber"/>
            </w:pPr>
            <w:r>
              <w:t>18,488</w:t>
            </w:r>
          </w:p>
        </w:tc>
        <w:tc>
          <w:tcPr>
            <w:tcW w:w="119" w:type="dxa"/>
            <w:tcBorders>
              <w:bottom w:val="single" w:sz="16" w:space="0" w:color="991D85"/>
            </w:tcBorders>
            <w:noWrap/>
            <w:vAlign w:val="bottom"/>
          </w:tcPr>
          <w:p w14:paraId="72A6802B" w14:textId="77777777" w:rsidR="004F0E20" w:rsidRDefault="004F0E20" w:rsidP="00F7615C">
            <w:pPr>
              <w:pStyle w:val="TBodytotalNumber"/>
            </w:pPr>
          </w:p>
        </w:tc>
        <w:tc>
          <w:tcPr>
            <w:tcW w:w="1021" w:type="dxa"/>
            <w:tcBorders>
              <w:top w:val="single" w:sz="4" w:space="0" w:color="A59C94"/>
              <w:bottom w:val="single" w:sz="16" w:space="0" w:color="991D85"/>
            </w:tcBorders>
            <w:shd w:val="clear" w:color="000000" w:fill="DAD5C9"/>
            <w:noWrap/>
            <w:vAlign w:val="bottom"/>
          </w:tcPr>
          <w:p w14:paraId="788FEC5A" w14:textId="77777777" w:rsidR="004F0E20" w:rsidRDefault="004F0E20" w:rsidP="00F7615C">
            <w:pPr>
              <w:pStyle w:val="TBodytotalNumber"/>
            </w:pPr>
            <w:r>
              <w:t>15,267</w:t>
            </w:r>
          </w:p>
        </w:tc>
        <w:tc>
          <w:tcPr>
            <w:tcW w:w="119" w:type="dxa"/>
            <w:tcBorders>
              <w:bottom w:val="single" w:sz="16" w:space="0" w:color="991D85"/>
            </w:tcBorders>
            <w:noWrap/>
            <w:vAlign w:val="bottom"/>
          </w:tcPr>
          <w:p w14:paraId="446B26EA" w14:textId="77777777" w:rsidR="004F0E20" w:rsidRDefault="004F0E20" w:rsidP="00F7615C">
            <w:pPr>
              <w:pStyle w:val="TBodytotalNumber"/>
            </w:pPr>
          </w:p>
        </w:tc>
        <w:tc>
          <w:tcPr>
            <w:tcW w:w="1021" w:type="dxa"/>
            <w:tcBorders>
              <w:top w:val="single" w:sz="4" w:space="0" w:color="A59C94"/>
              <w:bottom w:val="single" w:sz="16" w:space="0" w:color="991D85"/>
            </w:tcBorders>
            <w:noWrap/>
            <w:vAlign w:val="bottom"/>
          </w:tcPr>
          <w:p w14:paraId="5DC0C057" w14:textId="77777777" w:rsidR="004F0E20" w:rsidRDefault="004F0E20" w:rsidP="00F7615C">
            <w:pPr>
              <w:pStyle w:val="TBodytotalNumber"/>
            </w:pPr>
            <w:r>
              <w:t>-17</w:t>
            </w:r>
          </w:p>
        </w:tc>
        <w:tc>
          <w:tcPr>
            <w:tcW w:w="119" w:type="dxa"/>
            <w:tcBorders>
              <w:bottom w:val="single" w:sz="16" w:space="0" w:color="991D85"/>
            </w:tcBorders>
            <w:noWrap/>
            <w:vAlign w:val="bottom"/>
          </w:tcPr>
          <w:p w14:paraId="469FA192" w14:textId="77777777" w:rsidR="004F0E20" w:rsidRDefault="004F0E20" w:rsidP="00F7615C">
            <w:pPr>
              <w:pStyle w:val="TBodytotalNumber"/>
            </w:pPr>
          </w:p>
        </w:tc>
        <w:tc>
          <w:tcPr>
            <w:tcW w:w="1021" w:type="dxa"/>
            <w:tcBorders>
              <w:top w:val="single" w:sz="4" w:space="0" w:color="A59C94"/>
              <w:bottom w:val="single" w:sz="16" w:space="0" w:color="991D85"/>
            </w:tcBorders>
            <w:noWrap/>
            <w:vAlign w:val="bottom"/>
          </w:tcPr>
          <w:p w14:paraId="75064151" w14:textId="77777777" w:rsidR="004F0E20" w:rsidRDefault="004F0E20" w:rsidP="00F7615C">
            <w:pPr>
              <w:pStyle w:val="TBodytotalNumber"/>
            </w:pPr>
            <w:r>
              <w:t>2,490</w:t>
            </w:r>
          </w:p>
        </w:tc>
        <w:tc>
          <w:tcPr>
            <w:tcW w:w="119" w:type="dxa"/>
            <w:tcBorders>
              <w:bottom w:val="single" w:sz="16" w:space="0" w:color="991D85"/>
            </w:tcBorders>
            <w:noWrap/>
            <w:vAlign w:val="bottom"/>
          </w:tcPr>
          <w:p w14:paraId="0C04B41E" w14:textId="77777777" w:rsidR="004F0E20" w:rsidRDefault="004F0E20" w:rsidP="00F7615C">
            <w:pPr>
              <w:pStyle w:val="TBodytotalNumber"/>
            </w:pPr>
          </w:p>
        </w:tc>
        <w:tc>
          <w:tcPr>
            <w:tcW w:w="1021" w:type="dxa"/>
            <w:tcBorders>
              <w:top w:val="single" w:sz="4" w:space="0" w:color="A59C94"/>
              <w:bottom w:val="single" w:sz="16" w:space="0" w:color="991D85"/>
            </w:tcBorders>
            <w:shd w:val="clear" w:color="000000" w:fill="DAD5C9"/>
            <w:noWrap/>
            <w:vAlign w:val="bottom"/>
          </w:tcPr>
          <w:p w14:paraId="2B7EA7C2" w14:textId="77777777" w:rsidR="004F0E20" w:rsidRDefault="004F0E20" w:rsidP="00F7615C">
            <w:pPr>
              <w:pStyle w:val="TBodytotalNumber"/>
            </w:pPr>
            <w:r>
              <w:t>1,656</w:t>
            </w:r>
          </w:p>
        </w:tc>
        <w:tc>
          <w:tcPr>
            <w:tcW w:w="119" w:type="dxa"/>
            <w:tcBorders>
              <w:bottom w:val="single" w:sz="16" w:space="0" w:color="991D85"/>
            </w:tcBorders>
            <w:noWrap/>
            <w:vAlign w:val="bottom"/>
          </w:tcPr>
          <w:p w14:paraId="34F6948B" w14:textId="77777777" w:rsidR="004F0E20" w:rsidRDefault="004F0E20" w:rsidP="00F7615C">
            <w:pPr>
              <w:pStyle w:val="TBodytotalNumber"/>
            </w:pPr>
          </w:p>
        </w:tc>
        <w:tc>
          <w:tcPr>
            <w:tcW w:w="1021" w:type="dxa"/>
            <w:tcBorders>
              <w:top w:val="single" w:sz="4" w:space="0" w:color="A59C94"/>
              <w:bottom w:val="single" w:sz="16" w:space="0" w:color="991D85"/>
            </w:tcBorders>
            <w:noWrap/>
            <w:vAlign w:val="bottom"/>
          </w:tcPr>
          <w:p w14:paraId="72AD74E1" w14:textId="77777777" w:rsidR="004F0E20" w:rsidRDefault="004F0E20" w:rsidP="00F7615C">
            <w:pPr>
              <w:pStyle w:val="TBodytotalNumber"/>
            </w:pPr>
            <w:r>
              <w:t>-33</w:t>
            </w:r>
          </w:p>
        </w:tc>
      </w:tr>
    </w:tbl>
    <w:bookmarkEnd w:id="25"/>
    <w:p w14:paraId="6B2E6A02" w14:textId="77777777" w:rsidR="006272FC" w:rsidRPr="000F7540" w:rsidRDefault="006272FC" w:rsidP="006272FC">
      <w:pPr>
        <w:pStyle w:val="SNEvonikTabellenfu"/>
      </w:pPr>
      <w:r w:rsidRPr="000F7540">
        <w:rPr>
          <w:vertAlign w:val="superscript"/>
        </w:rPr>
        <w:t>a</w:t>
      </w:r>
      <w:r w:rsidRPr="000F7540">
        <w:t xml:space="preserve"> Prior-year figures re</w:t>
      </w:r>
      <w:r>
        <w:t>stated.</w:t>
      </w:r>
    </w:p>
    <w:p w14:paraId="326BADF4" w14:textId="77777777" w:rsidR="00CA3615" w:rsidRDefault="00CA3615" w:rsidP="00CF0A00">
      <w:pPr>
        <w:spacing w:line="240" w:lineRule="auto"/>
        <w:rPr>
          <w:lang w:val="en-US"/>
        </w:rPr>
      </w:pPr>
    </w:p>
    <w:p w14:paraId="58C40BB8" w14:textId="77777777" w:rsidR="00CB45CB" w:rsidRDefault="00CB45CB" w:rsidP="00CF0A00">
      <w:pPr>
        <w:spacing w:line="240" w:lineRule="auto"/>
        <w:rPr>
          <w:lang w:val="en-US"/>
        </w:rPr>
      </w:pPr>
    </w:p>
    <w:tbl>
      <w:tblPr>
        <w:tblW w:w="9753" w:type="dxa"/>
        <w:tblLayout w:type="fixed"/>
        <w:tblCellMar>
          <w:left w:w="0" w:type="dxa"/>
          <w:right w:w="0" w:type="dxa"/>
        </w:tblCellMar>
        <w:tblLook w:val="04A0" w:firstRow="1" w:lastRow="0" w:firstColumn="1" w:lastColumn="0" w:noHBand="0" w:noVBand="1"/>
        <w:tblDescription w:val="SNEID_b62441a9576e40a595c4b9d6c4600602"/>
      </w:tblPr>
      <w:tblGrid>
        <w:gridCol w:w="7473"/>
        <w:gridCol w:w="119"/>
        <w:gridCol w:w="1021"/>
        <w:gridCol w:w="119"/>
        <w:gridCol w:w="1021"/>
      </w:tblGrid>
      <w:tr w:rsidR="0025687E" w14:paraId="52538334" w14:textId="77777777" w:rsidTr="00F7615C">
        <w:tc>
          <w:tcPr>
            <w:tcW w:w="7473" w:type="dxa"/>
            <w:noWrap/>
            <w:vAlign w:val="bottom"/>
          </w:tcPr>
          <w:p w14:paraId="7D17AA1B" w14:textId="77777777" w:rsidR="0025687E" w:rsidRDefault="0025687E" w:rsidP="00F7615C">
            <w:pPr>
              <w:pStyle w:val="TTitleText"/>
            </w:pPr>
            <w:bookmarkStart w:id="36" w:name="SNEID_b62441a9576e40a595c4b9d6c4600602"/>
            <w:r>
              <w:t>Employees by division</w:t>
            </w:r>
          </w:p>
        </w:tc>
        <w:tc>
          <w:tcPr>
            <w:tcW w:w="119" w:type="dxa"/>
            <w:noWrap/>
            <w:vAlign w:val="bottom"/>
          </w:tcPr>
          <w:p w14:paraId="0FE5C24A" w14:textId="77777777" w:rsidR="0025687E" w:rsidRDefault="0025687E" w:rsidP="00F7615C">
            <w:pPr>
              <w:pStyle w:val="TTitleText"/>
            </w:pPr>
          </w:p>
        </w:tc>
        <w:tc>
          <w:tcPr>
            <w:tcW w:w="1021" w:type="dxa"/>
            <w:noWrap/>
            <w:vAlign w:val="bottom"/>
          </w:tcPr>
          <w:p w14:paraId="7C5B3F1C" w14:textId="77777777" w:rsidR="0025687E" w:rsidRDefault="0025687E" w:rsidP="00F7615C">
            <w:pPr>
              <w:pStyle w:val="TTitleText"/>
            </w:pPr>
          </w:p>
        </w:tc>
        <w:tc>
          <w:tcPr>
            <w:tcW w:w="119" w:type="dxa"/>
            <w:noWrap/>
            <w:vAlign w:val="bottom"/>
          </w:tcPr>
          <w:p w14:paraId="53911825" w14:textId="77777777" w:rsidR="0025687E" w:rsidRDefault="0025687E" w:rsidP="00F7615C">
            <w:pPr>
              <w:pStyle w:val="TTitleText"/>
            </w:pPr>
          </w:p>
        </w:tc>
        <w:tc>
          <w:tcPr>
            <w:tcW w:w="1021" w:type="dxa"/>
            <w:noWrap/>
            <w:vAlign w:val="bottom"/>
          </w:tcPr>
          <w:p w14:paraId="005830C4" w14:textId="77777777" w:rsidR="0025687E" w:rsidRDefault="0025687E" w:rsidP="00F7615C">
            <w:pPr>
              <w:pStyle w:val="TTitleText"/>
            </w:pPr>
          </w:p>
        </w:tc>
      </w:tr>
      <w:tr w:rsidR="0025687E" w14:paraId="72C0F32A" w14:textId="77777777" w:rsidTr="00F7615C">
        <w:tc>
          <w:tcPr>
            <w:tcW w:w="7473" w:type="dxa"/>
            <w:tcBorders>
              <w:top w:val="single" w:sz="8" w:space="0" w:color="000000"/>
            </w:tcBorders>
            <w:noWrap/>
            <w:vAlign w:val="bottom"/>
          </w:tcPr>
          <w:p w14:paraId="68DD3DFA" w14:textId="77777777" w:rsidR="0025687E" w:rsidRDefault="0025687E" w:rsidP="00F7615C">
            <w:pPr>
              <w:pStyle w:val="TDummy"/>
              <w:keepNext/>
            </w:pPr>
          </w:p>
        </w:tc>
        <w:tc>
          <w:tcPr>
            <w:tcW w:w="119" w:type="dxa"/>
            <w:tcBorders>
              <w:top w:val="single" w:sz="8" w:space="0" w:color="000000"/>
            </w:tcBorders>
            <w:noWrap/>
            <w:vAlign w:val="bottom"/>
          </w:tcPr>
          <w:p w14:paraId="0A9F911E" w14:textId="77777777" w:rsidR="0025687E" w:rsidRDefault="0025687E" w:rsidP="00F7615C">
            <w:pPr>
              <w:pStyle w:val="TDummy"/>
              <w:keepNext/>
            </w:pPr>
          </w:p>
        </w:tc>
        <w:tc>
          <w:tcPr>
            <w:tcW w:w="1021" w:type="dxa"/>
            <w:tcBorders>
              <w:top w:val="single" w:sz="8" w:space="0" w:color="000000"/>
            </w:tcBorders>
            <w:noWrap/>
            <w:vAlign w:val="bottom"/>
          </w:tcPr>
          <w:p w14:paraId="268ED197" w14:textId="77777777" w:rsidR="0025687E" w:rsidRDefault="0025687E" w:rsidP="00F7615C">
            <w:pPr>
              <w:pStyle w:val="TDummy"/>
              <w:keepNext/>
            </w:pPr>
          </w:p>
        </w:tc>
        <w:tc>
          <w:tcPr>
            <w:tcW w:w="119" w:type="dxa"/>
            <w:tcBorders>
              <w:top w:val="single" w:sz="8" w:space="0" w:color="000000"/>
            </w:tcBorders>
            <w:noWrap/>
            <w:vAlign w:val="bottom"/>
          </w:tcPr>
          <w:p w14:paraId="500B4F58" w14:textId="77777777" w:rsidR="0025687E" w:rsidRDefault="0025687E" w:rsidP="00F7615C">
            <w:pPr>
              <w:pStyle w:val="TDummy"/>
              <w:keepNext/>
            </w:pPr>
          </w:p>
        </w:tc>
        <w:tc>
          <w:tcPr>
            <w:tcW w:w="1021" w:type="dxa"/>
            <w:tcBorders>
              <w:top w:val="single" w:sz="8" w:space="0" w:color="000000"/>
            </w:tcBorders>
            <w:noWrap/>
            <w:vAlign w:val="bottom"/>
          </w:tcPr>
          <w:p w14:paraId="5CEFB35E" w14:textId="77777777" w:rsidR="0025687E" w:rsidRDefault="0025687E" w:rsidP="00F7615C">
            <w:pPr>
              <w:pStyle w:val="TDummy"/>
              <w:keepNext/>
            </w:pPr>
          </w:p>
        </w:tc>
      </w:tr>
      <w:tr w:rsidR="0025687E" w14:paraId="1B9496A6" w14:textId="77777777" w:rsidTr="00F7615C">
        <w:tc>
          <w:tcPr>
            <w:tcW w:w="7473" w:type="dxa"/>
            <w:tcBorders>
              <w:bottom w:val="single" w:sz="4" w:space="0" w:color="000000"/>
            </w:tcBorders>
            <w:shd w:val="clear" w:color="000000" w:fill="FFFFFF"/>
            <w:noWrap/>
            <w:vAlign w:val="bottom"/>
          </w:tcPr>
          <w:p w14:paraId="6F3D802D" w14:textId="77777777" w:rsidR="0025687E" w:rsidRDefault="0025687E" w:rsidP="00F7615C">
            <w:pPr>
              <w:pStyle w:val="THeadsingleText"/>
            </w:pPr>
            <w:bookmarkStart w:id="37" w:name="RANGE!B53:F53"/>
            <w:bookmarkEnd w:id="37"/>
          </w:p>
        </w:tc>
        <w:tc>
          <w:tcPr>
            <w:tcW w:w="119" w:type="dxa"/>
            <w:noWrap/>
            <w:vAlign w:val="bottom"/>
          </w:tcPr>
          <w:p w14:paraId="256B2A2C" w14:textId="77777777" w:rsidR="0025687E" w:rsidRDefault="0025687E" w:rsidP="00F7615C">
            <w:pPr>
              <w:pStyle w:val="THeadsingleNumber"/>
            </w:pPr>
          </w:p>
        </w:tc>
        <w:tc>
          <w:tcPr>
            <w:tcW w:w="1021" w:type="dxa"/>
            <w:tcBorders>
              <w:bottom w:val="single" w:sz="4" w:space="0" w:color="000000"/>
            </w:tcBorders>
            <w:shd w:val="clear" w:color="000000" w:fill="FFFFFF"/>
            <w:vAlign w:val="bottom"/>
          </w:tcPr>
          <w:p w14:paraId="1B3D9C26" w14:textId="77777777" w:rsidR="0025687E" w:rsidRDefault="0025687E" w:rsidP="00F7615C">
            <w:pPr>
              <w:pStyle w:val="THeadsingleNumber"/>
            </w:pPr>
            <w:r>
              <w:t>Dec. 31, 2022</w:t>
            </w:r>
          </w:p>
        </w:tc>
        <w:tc>
          <w:tcPr>
            <w:tcW w:w="119" w:type="dxa"/>
            <w:vAlign w:val="bottom"/>
          </w:tcPr>
          <w:p w14:paraId="259C2031" w14:textId="77777777" w:rsidR="0025687E" w:rsidRDefault="0025687E" w:rsidP="00F7615C">
            <w:pPr>
              <w:pStyle w:val="THeadsingleNumber"/>
            </w:pPr>
          </w:p>
        </w:tc>
        <w:tc>
          <w:tcPr>
            <w:tcW w:w="1021" w:type="dxa"/>
            <w:tcBorders>
              <w:bottom w:val="single" w:sz="4" w:space="0" w:color="000000"/>
            </w:tcBorders>
            <w:shd w:val="clear" w:color="000000" w:fill="FFFFFF"/>
            <w:vAlign w:val="bottom"/>
          </w:tcPr>
          <w:p w14:paraId="718BCF17" w14:textId="77777777" w:rsidR="0025687E" w:rsidRDefault="0025687E" w:rsidP="00F7615C">
            <w:pPr>
              <w:pStyle w:val="THeadsingleNumberbold"/>
            </w:pPr>
            <w:bookmarkStart w:id="38" w:name="RANGE!F53:F62"/>
            <w:bookmarkEnd w:id="38"/>
            <w:r>
              <w:t>Dec. 31, 2023</w:t>
            </w:r>
          </w:p>
        </w:tc>
      </w:tr>
      <w:tr w:rsidR="0025687E" w14:paraId="6E050479" w14:textId="77777777" w:rsidTr="00F7615C">
        <w:tc>
          <w:tcPr>
            <w:tcW w:w="7473" w:type="dxa"/>
            <w:tcBorders>
              <w:top w:val="single" w:sz="4" w:space="0" w:color="000000"/>
              <w:bottom w:val="single" w:sz="4" w:space="0" w:color="A59C94"/>
            </w:tcBorders>
            <w:noWrap/>
            <w:vAlign w:val="bottom"/>
          </w:tcPr>
          <w:p w14:paraId="2E642A5C" w14:textId="77777777" w:rsidR="0025687E" w:rsidRDefault="0025687E" w:rsidP="00F7615C">
            <w:pPr>
              <w:pStyle w:val="TBodynormalText"/>
            </w:pPr>
            <w:r>
              <w:t>Specialty Additives</w:t>
            </w:r>
          </w:p>
        </w:tc>
        <w:tc>
          <w:tcPr>
            <w:tcW w:w="119" w:type="dxa"/>
            <w:noWrap/>
            <w:vAlign w:val="bottom"/>
          </w:tcPr>
          <w:p w14:paraId="53B9CCE9" w14:textId="77777777" w:rsidR="0025687E" w:rsidRDefault="0025687E" w:rsidP="00F7615C">
            <w:pPr>
              <w:pStyle w:val="TBodynormalNumber"/>
              <w:keepNext/>
            </w:pPr>
          </w:p>
        </w:tc>
        <w:tc>
          <w:tcPr>
            <w:tcW w:w="1021" w:type="dxa"/>
            <w:tcBorders>
              <w:top w:val="single" w:sz="4" w:space="0" w:color="000000"/>
              <w:bottom w:val="single" w:sz="4" w:space="0" w:color="A59C94"/>
            </w:tcBorders>
            <w:noWrap/>
            <w:vAlign w:val="bottom"/>
          </w:tcPr>
          <w:p w14:paraId="19F6D70C" w14:textId="77777777" w:rsidR="0025687E" w:rsidRDefault="0025687E" w:rsidP="00F7615C">
            <w:pPr>
              <w:pStyle w:val="TBodynormalNumber"/>
              <w:keepNext/>
            </w:pPr>
            <w:r>
              <w:t>3,824</w:t>
            </w:r>
          </w:p>
        </w:tc>
        <w:tc>
          <w:tcPr>
            <w:tcW w:w="119" w:type="dxa"/>
            <w:noWrap/>
            <w:vAlign w:val="bottom"/>
          </w:tcPr>
          <w:p w14:paraId="2DA49704" w14:textId="77777777" w:rsidR="0025687E" w:rsidRDefault="0025687E" w:rsidP="00F7615C">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1E423C03" w14:textId="77777777" w:rsidR="0025687E" w:rsidRDefault="0025687E" w:rsidP="00F7615C">
            <w:pPr>
              <w:pStyle w:val="TBodynormalNumber"/>
              <w:keepNext/>
            </w:pPr>
            <w:r>
              <w:t>3,492</w:t>
            </w:r>
          </w:p>
        </w:tc>
      </w:tr>
      <w:tr w:rsidR="0025687E" w14:paraId="6FB9C4B0" w14:textId="77777777" w:rsidTr="00F7615C">
        <w:tc>
          <w:tcPr>
            <w:tcW w:w="7473" w:type="dxa"/>
            <w:tcBorders>
              <w:top w:val="single" w:sz="4" w:space="0" w:color="A59C94"/>
              <w:bottom w:val="single" w:sz="4" w:space="0" w:color="A59C94"/>
            </w:tcBorders>
            <w:noWrap/>
            <w:vAlign w:val="bottom"/>
          </w:tcPr>
          <w:p w14:paraId="51897770" w14:textId="77777777" w:rsidR="0025687E" w:rsidRDefault="0025687E" w:rsidP="00F7615C">
            <w:pPr>
              <w:pStyle w:val="TBodynormalText"/>
            </w:pPr>
            <w:r>
              <w:t>Nutrition &amp; Care</w:t>
            </w:r>
          </w:p>
        </w:tc>
        <w:tc>
          <w:tcPr>
            <w:tcW w:w="119" w:type="dxa"/>
            <w:noWrap/>
            <w:vAlign w:val="bottom"/>
          </w:tcPr>
          <w:p w14:paraId="21B7E9AB" w14:textId="77777777" w:rsidR="0025687E" w:rsidRDefault="0025687E" w:rsidP="00F7615C">
            <w:pPr>
              <w:pStyle w:val="TBodynormalNumber"/>
              <w:keepNext/>
            </w:pPr>
          </w:p>
        </w:tc>
        <w:tc>
          <w:tcPr>
            <w:tcW w:w="1021" w:type="dxa"/>
            <w:tcBorders>
              <w:top w:val="single" w:sz="4" w:space="0" w:color="A59C94"/>
              <w:bottom w:val="single" w:sz="4" w:space="0" w:color="A59C94"/>
            </w:tcBorders>
            <w:noWrap/>
            <w:vAlign w:val="bottom"/>
          </w:tcPr>
          <w:p w14:paraId="278C00C4" w14:textId="77777777" w:rsidR="0025687E" w:rsidRDefault="0025687E" w:rsidP="00F7615C">
            <w:pPr>
              <w:pStyle w:val="TBodynormalNumber"/>
              <w:keepNext/>
            </w:pPr>
            <w:r>
              <w:t>5,690</w:t>
            </w:r>
          </w:p>
        </w:tc>
        <w:tc>
          <w:tcPr>
            <w:tcW w:w="119" w:type="dxa"/>
            <w:noWrap/>
            <w:vAlign w:val="bottom"/>
          </w:tcPr>
          <w:p w14:paraId="41062928" w14:textId="77777777" w:rsidR="0025687E" w:rsidRDefault="0025687E"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465C816" w14:textId="77777777" w:rsidR="0025687E" w:rsidRDefault="0025687E" w:rsidP="00F7615C">
            <w:pPr>
              <w:pStyle w:val="TBodynormalNumber"/>
              <w:keepNext/>
            </w:pPr>
            <w:r>
              <w:t>5,630</w:t>
            </w:r>
          </w:p>
        </w:tc>
      </w:tr>
      <w:tr w:rsidR="0025687E" w14:paraId="0FFA9F35" w14:textId="77777777" w:rsidTr="00F7615C">
        <w:tc>
          <w:tcPr>
            <w:tcW w:w="7473" w:type="dxa"/>
            <w:tcBorders>
              <w:top w:val="single" w:sz="4" w:space="0" w:color="A59C94"/>
              <w:bottom w:val="single" w:sz="4" w:space="0" w:color="A59C94"/>
            </w:tcBorders>
            <w:noWrap/>
            <w:vAlign w:val="bottom"/>
          </w:tcPr>
          <w:p w14:paraId="44BB85D4" w14:textId="77777777" w:rsidR="0025687E" w:rsidRDefault="0025687E" w:rsidP="00F7615C">
            <w:pPr>
              <w:pStyle w:val="TBodynormalText"/>
            </w:pPr>
            <w:bookmarkStart w:id="39" w:name="SNAMD_2f1e07acf49b4f00908afd81e1f6a194"/>
            <w:r>
              <w:t>Smart Materials</w:t>
            </w:r>
            <w:r>
              <w:rPr>
                <w:vertAlign w:val="superscript"/>
              </w:rPr>
              <w:t>a</w:t>
            </w:r>
            <w:bookmarkEnd w:id="39"/>
          </w:p>
        </w:tc>
        <w:tc>
          <w:tcPr>
            <w:tcW w:w="119" w:type="dxa"/>
            <w:noWrap/>
            <w:vAlign w:val="bottom"/>
          </w:tcPr>
          <w:p w14:paraId="6909F373" w14:textId="77777777" w:rsidR="0025687E" w:rsidRDefault="0025687E" w:rsidP="00F7615C">
            <w:pPr>
              <w:pStyle w:val="TBodynormalNumber"/>
              <w:keepNext/>
            </w:pPr>
          </w:p>
        </w:tc>
        <w:tc>
          <w:tcPr>
            <w:tcW w:w="1021" w:type="dxa"/>
            <w:tcBorders>
              <w:top w:val="single" w:sz="4" w:space="0" w:color="A59C94"/>
              <w:bottom w:val="single" w:sz="4" w:space="0" w:color="A59C94"/>
            </w:tcBorders>
            <w:noWrap/>
            <w:vAlign w:val="bottom"/>
          </w:tcPr>
          <w:p w14:paraId="3DCD7006" w14:textId="77777777" w:rsidR="0025687E" w:rsidRDefault="0025687E" w:rsidP="00F7615C">
            <w:pPr>
              <w:pStyle w:val="TBodynormalNumber"/>
              <w:keepNext/>
            </w:pPr>
            <w:r>
              <w:t>8,011</w:t>
            </w:r>
          </w:p>
        </w:tc>
        <w:tc>
          <w:tcPr>
            <w:tcW w:w="119" w:type="dxa"/>
            <w:noWrap/>
            <w:vAlign w:val="bottom"/>
          </w:tcPr>
          <w:p w14:paraId="0D4F6994" w14:textId="77777777" w:rsidR="0025687E" w:rsidRDefault="0025687E"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A920C9C" w14:textId="77777777" w:rsidR="0025687E" w:rsidRDefault="0025687E" w:rsidP="00F7615C">
            <w:pPr>
              <w:pStyle w:val="TBodynormalNumber"/>
              <w:keepNext/>
            </w:pPr>
            <w:r>
              <w:t>8,103</w:t>
            </w:r>
          </w:p>
        </w:tc>
      </w:tr>
      <w:tr w:rsidR="0025687E" w14:paraId="310C3CF5" w14:textId="77777777" w:rsidTr="00F7615C">
        <w:tc>
          <w:tcPr>
            <w:tcW w:w="7473" w:type="dxa"/>
            <w:tcBorders>
              <w:top w:val="single" w:sz="4" w:space="0" w:color="A59C94"/>
              <w:bottom w:val="single" w:sz="4" w:space="0" w:color="A59C94"/>
            </w:tcBorders>
            <w:noWrap/>
            <w:vAlign w:val="bottom"/>
          </w:tcPr>
          <w:p w14:paraId="1CBA6243" w14:textId="77777777" w:rsidR="0025687E" w:rsidRDefault="0025687E" w:rsidP="00F7615C">
            <w:pPr>
              <w:pStyle w:val="TBodynormalText"/>
            </w:pPr>
            <w:bookmarkStart w:id="40" w:name="SNAMD_79fa2f4e37c64c0f8f0efe8250322b87"/>
            <w:r>
              <w:t>Performance Materials</w:t>
            </w:r>
            <w:r>
              <w:rPr>
                <w:vertAlign w:val="superscript"/>
              </w:rPr>
              <w:t>a</w:t>
            </w:r>
            <w:bookmarkEnd w:id="40"/>
          </w:p>
        </w:tc>
        <w:tc>
          <w:tcPr>
            <w:tcW w:w="119" w:type="dxa"/>
            <w:noWrap/>
            <w:vAlign w:val="bottom"/>
          </w:tcPr>
          <w:p w14:paraId="35586C0C" w14:textId="77777777" w:rsidR="0025687E" w:rsidRDefault="0025687E" w:rsidP="00F7615C">
            <w:pPr>
              <w:pStyle w:val="TBodynormalNumber"/>
              <w:keepNext/>
            </w:pPr>
          </w:p>
        </w:tc>
        <w:tc>
          <w:tcPr>
            <w:tcW w:w="1021" w:type="dxa"/>
            <w:tcBorders>
              <w:top w:val="single" w:sz="4" w:space="0" w:color="A59C94"/>
              <w:bottom w:val="single" w:sz="4" w:space="0" w:color="A59C94"/>
            </w:tcBorders>
            <w:noWrap/>
            <w:vAlign w:val="bottom"/>
          </w:tcPr>
          <w:p w14:paraId="1C35DBAF" w14:textId="77777777" w:rsidR="0025687E" w:rsidRDefault="0025687E" w:rsidP="00F7615C">
            <w:pPr>
              <w:pStyle w:val="TBodynormalNumber"/>
              <w:keepNext/>
            </w:pPr>
            <w:r>
              <w:t>1,951</w:t>
            </w:r>
          </w:p>
        </w:tc>
        <w:tc>
          <w:tcPr>
            <w:tcW w:w="119" w:type="dxa"/>
            <w:noWrap/>
            <w:vAlign w:val="bottom"/>
          </w:tcPr>
          <w:p w14:paraId="59397B73" w14:textId="77777777" w:rsidR="0025687E" w:rsidRDefault="0025687E"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D41D16F" w14:textId="77777777" w:rsidR="0025687E" w:rsidRDefault="0025687E" w:rsidP="00F7615C">
            <w:pPr>
              <w:pStyle w:val="TBodynormalNumber"/>
              <w:keepNext/>
            </w:pPr>
            <w:r>
              <w:t>1,738</w:t>
            </w:r>
          </w:p>
        </w:tc>
      </w:tr>
      <w:tr w:rsidR="0025687E" w14:paraId="7C7A9237" w14:textId="77777777" w:rsidTr="00F7615C">
        <w:tc>
          <w:tcPr>
            <w:tcW w:w="7473" w:type="dxa"/>
            <w:tcBorders>
              <w:top w:val="single" w:sz="4" w:space="0" w:color="A59C94"/>
              <w:bottom w:val="single" w:sz="4" w:space="0" w:color="A59C94"/>
            </w:tcBorders>
            <w:noWrap/>
            <w:vAlign w:val="bottom"/>
          </w:tcPr>
          <w:p w14:paraId="3D8B4E3B" w14:textId="77777777" w:rsidR="0025687E" w:rsidRDefault="0025687E" w:rsidP="00F7615C">
            <w:pPr>
              <w:pStyle w:val="TBodynormalText"/>
            </w:pPr>
            <w:r>
              <w:t>Technology &amp; Infrastructure</w:t>
            </w:r>
          </w:p>
        </w:tc>
        <w:tc>
          <w:tcPr>
            <w:tcW w:w="119" w:type="dxa"/>
            <w:noWrap/>
            <w:vAlign w:val="bottom"/>
          </w:tcPr>
          <w:p w14:paraId="2445155C" w14:textId="77777777" w:rsidR="0025687E" w:rsidRDefault="0025687E" w:rsidP="00F7615C">
            <w:pPr>
              <w:pStyle w:val="TBodynormalNumber"/>
              <w:keepNext/>
            </w:pPr>
          </w:p>
        </w:tc>
        <w:tc>
          <w:tcPr>
            <w:tcW w:w="1021" w:type="dxa"/>
            <w:tcBorders>
              <w:top w:val="single" w:sz="4" w:space="0" w:color="A59C94"/>
              <w:bottom w:val="single" w:sz="4" w:space="0" w:color="A59C94"/>
            </w:tcBorders>
            <w:noWrap/>
            <w:vAlign w:val="bottom"/>
          </w:tcPr>
          <w:p w14:paraId="095141CB" w14:textId="77777777" w:rsidR="0025687E" w:rsidRDefault="0025687E" w:rsidP="00F7615C">
            <w:pPr>
              <w:pStyle w:val="TBodynormalNumber"/>
              <w:keepNext/>
            </w:pPr>
            <w:r>
              <w:t>8,367</w:t>
            </w:r>
          </w:p>
        </w:tc>
        <w:tc>
          <w:tcPr>
            <w:tcW w:w="119" w:type="dxa"/>
            <w:noWrap/>
            <w:vAlign w:val="bottom"/>
          </w:tcPr>
          <w:p w14:paraId="0D55B448" w14:textId="77777777" w:rsidR="0025687E" w:rsidRDefault="0025687E"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BF1F617" w14:textId="77777777" w:rsidR="0025687E" w:rsidRDefault="0025687E" w:rsidP="00F7615C">
            <w:pPr>
              <w:pStyle w:val="TBodynormalNumber"/>
              <w:keepNext/>
            </w:pPr>
            <w:r>
              <w:t>8,197</w:t>
            </w:r>
          </w:p>
        </w:tc>
      </w:tr>
      <w:tr w:rsidR="0025687E" w14:paraId="7561C470" w14:textId="77777777" w:rsidTr="00F7615C">
        <w:tc>
          <w:tcPr>
            <w:tcW w:w="7473" w:type="dxa"/>
            <w:tcBorders>
              <w:top w:val="single" w:sz="4" w:space="0" w:color="A59C94"/>
              <w:bottom w:val="single" w:sz="4" w:space="0" w:color="A59C94"/>
            </w:tcBorders>
            <w:noWrap/>
            <w:vAlign w:val="bottom"/>
          </w:tcPr>
          <w:p w14:paraId="05483B39" w14:textId="77777777" w:rsidR="0025687E" w:rsidRPr="001079B0" w:rsidRDefault="0025687E" w:rsidP="00F7615C">
            <w:pPr>
              <w:pStyle w:val="TBodynormalText"/>
              <w:rPr>
                <w:lang w:val="en-US"/>
              </w:rPr>
            </w:pPr>
            <w:r w:rsidRPr="00CD27AF">
              <w:rPr>
                <w:lang w:val="en-US"/>
              </w:rPr>
              <w:t>Enabling functions, other activities, consolidation</w:t>
            </w:r>
          </w:p>
        </w:tc>
        <w:tc>
          <w:tcPr>
            <w:tcW w:w="119" w:type="dxa"/>
            <w:noWrap/>
            <w:vAlign w:val="bottom"/>
          </w:tcPr>
          <w:p w14:paraId="3F14BB45" w14:textId="77777777" w:rsidR="0025687E" w:rsidRPr="001079B0" w:rsidRDefault="0025687E" w:rsidP="00F7615C">
            <w:pPr>
              <w:pStyle w:val="TBodynormalNumber"/>
              <w:keepNext/>
              <w:rPr>
                <w:lang w:val="en-US"/>
              </w:rPr>
            </w:pPr>
          </w:p>
        </w:tc>
        <w:tc>
          <w:tcPr>
            <w:tcW w:w="1021" w:type="dxa"/>
            <w:tcBorders>
              <w:top w:val="single" w:sz="4" w:space="0" w:color="A59C94"/>
              <w:bottom w:val="single" w:sz="4" w:space="0" w:color="A59C94"/>
            </w:tcBorders>
            <w:noWrap/>
            <w:vAlign w:val="bottom"/>
          </w:tcPr>
          <w:p w14:paraId="19611D6F" w14:textId="77777777" w:rsidR="0025687E" w:rsidRDefault="0025687E" w:rsidP="00F7615C">
            <w:pPr>
              <w:pStyle w:val="TBodynormalNumber"/>
              <w:keepNext/>
            </w:pPr>
            <w:r>
              <w:t>6,186</w:t>
            </w:r>
          </w:p>
        </w:tc>
        <w:tc>
          <w:tcPr>
            <w:tcW w:w="119" w:type="dxa"/>
            <w:noWrap/>
            <w:vAlign w:val="bottom"/>
          </w:tcPr>
          <w:p w14:paraId="3DB2FD39" w14:textId="77777777" w:rsidR="0025687E" w:rsidRDefault="0025687E" w:rsidP="00F7615C">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6A93BA4" w14:textId="77777777" w:rsidR="0025687E" w:rsidRDefault="0025687E" w:rsidP="00F7615C">
            <w:pPr>
              <w:pStyle w:val="TBodynormalNumber"/>
              <w:keepNext/>
            </w:pPr>
            <w:r>
              <w:t>6,249</w:t>
            </w:r>
          </w:p>
        </w:tc>
      </w:tr>
      <w:tr w:rsidR="0025687E" w14:paraId="7CEDCFC9" w14:textId="77777777" w:rsidTr="00F7615C">
        <w:tc>
          <w:tcPr>
            <w:tcW w:w="7473" w:type="dxa"/>
            <w:tcBorders>
              <w:top w:val="single" w:sz="4" w:space="0" w:color="A59C94"/>
              <w:bottom w:val="single" w:sz="16" w:space="0" w:color="991D85"/>
            </w:tcBorders>
            <w:noWrap/>
            <w:vAlign w:val="bottom"/>
          </w:tcPr>
          <w:p w14:paraId="42B9EFED" w14:textId="77777777" w:rsidR="0025687E" w:rsidRDefault="0025687E" w:rsidP="00F7615C">
            <w:pPr>
              <w:pStyle w:val="TBodytotalText"/>
            </w:pPr>
            <w:bookmarkStart w:id="41" w:name="RANGE!B62:F62"/>
            <w:bookmarkEnd w:id="41"/>
            <w:r>
              <w:t>Evonik Group</w:t>
            </w:r>
          </w:p>
        </w:tc>
        <w:tc>
          <w:tcPr>
            <w:tcW w:w="119" w:type="dxa"/>
            <w:tcBorders>
              <w:bottom w:val="single" w:sz="16" w:space="0" w:color="991D85"/>
            </w:tcBorders>
            <w:noWrap/>
            <w:vAlign w:val="bottom"/>
          </w:tcPr>
          <w:p w14:paraId="72363F05" w14:textId="77777777" w:rsidR="0025687E" w:rsidRDefault="0025687E" w:rsidP="00F7615C">
            <w:pPr>
              <w:pStyle w:val="TBodytotalNumber"/>
            </w:pPr>
          </w:p>
        </w:tc>
        <w:tc>
          <w:tcPr>
            <w:tcW w:w="1021" w:type="dxa"/>
            <w:tcBorders>
              <w:top w:val="single" w:sz="4" w:space="0" w:color="A59C94"/>
              <w:bottom w:val="single" w:sz="16" w:space="0" w:color="991D85"/>
            </w:tcBorders>
            <w:noWrap/>
            <w:vAlign w:val="bottom"/>
          </w:tcPr>
          <w:p w14:paraId="261CA08C" w14:textId="77777777" w:rsidR="0025687E" w:rsidRDefault="0025687E" w:rsidP="00F7615C">
            <w:pPr>
              <w:pStyle w:val="TBodytotalNumber"/>
            </w:pPr>
            <w:r>
              <w:t>34,029</w:t>
            </w:r>
          </w:p>
        </w:tc>
        <w:tc>
          <w:tcPr>
            <w:tcW w:w="119" w:type="dxa"/>
            <w:tcBorders>
              <w:bottom w:val="single" w:sz="16" w:space="0" w:color="991D85"/>
            </w:tcBorders>
            <w:noWrap/>
            <w:vAlign w:val="bottom"/>
          </w:tcPr>
          <w:p w14:paraId="3347ECE8" w14:textId="77777777" w:rsidR="0025687E" w:rsidRDefault="0025687E" w:rsidP="00F7615C">
            <w:pPr>
              <w:pStyle w:val="TBodytotalNumber"/>
            </w:pPr>
          </w:p>
        </w:tc>
        <w:tc>
          <w:tcPr>
            <w:tcW w:w="1021" w:type="dxa"/>
            <w:tcBorders>
              <w:top w:val="single" w:sz="4" w:space="0" w:color="A59C94"/>
              <w:bottom w:val="single" w:sz="16" w:space="0" w:color="991D85"/>
            </w:tcBorders>
            <w:shd w:val="clear" w:color="000000" w:fill="DAD5C9"/>
            <w:noWrap/>
            <w:vAlign w:val="bottom"/>
          </w:tcPr>
          <w:p w14:paraId="69585626" w14:textId="77777777" w:rsidR="0025687E" w:rsidRDefault="0025687E" w:rsidP="00F7615C">
            <w:pPr>
              <w:pStyle w:val="TBodytotalNumber"/>
            </w:pPr>
            <w:r>
              <w:t>33,409</w:t>
            </w:r>
          </w:p>
        </w:tc>
      </w:tr>
    </w:tbl>
    <w:bookmarkEnd w:id="36"/>
    <w:p w14:paraId="6F2ED720" w14:textId="77777777" w:rsidR="00D6726F" w:rsidRPr="000F7540" w:rsidRDefault="00D6726F" w:rsidP="00D6726F">
      <w:pPr>
        <w:pStyle w:val="SNEvonikTabellenfu"/>
      </w:pPr>
      <w:r w:rsidRPr="000F7540">
        <w:rPr>
          <w:vertAlign w:val="superscript"/>
        </w:rPr>
        <w:t>a</w:t>
      </w:r>
      <w:r w:rsidRPr="000F7540">
        <w:t xml:space="preserve"> Prior-year figures re</w:t>
      </w:r>
      <w:r>
        <w:t>stated.</w:t>
      </w:r>
    </w:p>
    <w:p w14:paraId="66A54D48" w14:textId="5FF2F0FF" w:rsidR="006272FC" w:rsidRDefault="006272FC" w:rsidP="00CF0A00">
      <w:pPr>
        <w:spacing w:line="240" w:lineRule="auto"/>
        <w:rPr>
          <w:lang w:val="en-US"/>
        </w:rPr>
      </w:pPr>
    </w:p>
    <w:p w14:paraId="06143FA8" w14:textId="51DABB6A" w:rsidR="00A23033" w:rsidRDefault="00A23033" w:rsidP="00CF0A00">
      <w:pPr>
        <w:spacing w:line="240" w:lineRule="auto"/>
        <w:rPr>
          <w:lang w:val="en-US"/>
        </w:rPr>
      </w:pPr>
    </w:p>
    <w:p w14:paraId="4F54B1DD" w14:textId="77777777" w:rsidR="00A23033" w:rsidRDefault="00A23033" w:rsidP="00CF0A00">
      <w:pPr>
        <w:spacing w:line="240" w:lineRule="auto"/>
        <w:rPr>
          <w:lang w:val="en-US"/>
        </w:rPr>
      </w:pPr>
    </w:p>
    <w:p w14:paraId="5CA4014B" w14:textId="77777777" w:rsidR="00325294" w:rsidRDefault="00325294" w:rsidP="00CF0A00">
      <w:pPr>
        <w:spacing w:line="240" w:lineRule="auto"/>
        <w:rPr>
          <w:lang w:val="en-US"/>
        </w:rPr>
      </w:pPr>
    </w:p>
    <w:p w14:paraId="2A6227DE" w14:textId="36AE3CC3" w:rsidR="006E04EA" w:rsidRPr="00CF0A00" w:rsidRDefault="006E04EA" w:rsidP="00CF0A00">
      <w:pPr>
        <w:spacing w:line="240" w:lineRule="auto"/>
        <w:rPr>
          <w:lang w:val="en-US"/>
        </w:rPr>
      </w:pPr>
      <w:bookmarkStart w:id="42" w:name="RANGE!B23:N32"/>
      <w:bookmarkStart w:id="43" w:name="RANGE!B23:N33"/>
      <w:bookmarkStart w:id="44" w:name="SNEID_c62dec0fc810469592f6cb012e699811"/>
      <w:bookmarkEnd w:id="42"/>
      <w:bookmarkEnd w:id="43"/>
      <w:bookmarkEnd w:id="44"/>
      <w:r w:rsidRPr="006E04EA">
        <w:rPr>
          <w:b/>
          <w:bCs/>
          <w:color w:val="000000"/>
          <w:sz w:val="18"/>
          <w:szCs w:val="18"/>
          <w:lang w:val="en-US"/>
        </w:rPr>
        <w:t xml:space="preserve">Company information </w:t>
      </w:r>
    </w:p>
    <w:p w14:paraId="12A04751" w14:textId="3FFA3CD0" w:rsidR="006E04EA" w:rsidRPr="006E04EA" w:rsidRDefault="006E04EA" w:rsidP="006E04EA">
      <w:pPr>
        <w:spacing w:line="220" w:lineRule="exact"/>
        <w:rPr>
          <w:sz w:val="18"/>
          <w:szCs w:val="18"/>
          <w:lang w:val="en-US"/>
        </w:rPr>
      </w:pPr>
      <w:r w:rsidRPr="006E04EA">
        <w:rPr>
          <w:sz w:val="18"/>
          <w:szCs w:val="18"/>
          <w:lang w:val="en-US"/>
        </w:rPr>
        <w:lastRenderedPageBreak/>
        <w:t>Evonik is one of the world leaders in specialty chemicals. The company is active in more than 100 countries around the world and generated sales of €1</w:t>
      </w:r>
      <w:r w:rsidR="00C228BA">
        <w:rPr>
          <w:sz w:val="18"/>
          <w:szCs w:val="18"/>
          <w:lang w:val="en-US"/>
        </w:rPr>
        <w:t>5</w:t>
      </w:r>
      <w:r w:rsidR="00B74282">
        <w:rPr>
          <w:sz w:val="18"/>
          <w:szCs w:val="18"/>
          <w:lang w:val="en-US"/>
        </w:rPr>
        <w:t>.</w:t>
      </w:r>
      <w:r w:rsidR="00C228BA">
        <w:rPr>
          <w:sz w:val="18"/>
          <w:szCs w:val="18"/>
          <w:lang w:val="en-US"/>
        </w:rPr>
        <w:t>3</w:t>
      </w:r>
      <w:r w:rsidRPr="006E04EA">
        <w:rPr>
          <w:sz w:val="18"/>
          <w:szCs w:val="18"/>
          <w:lang w:val="en-US"/>
        </w:rPr>
        <w:t xml:space="preserve"> billion and an operating profit (adjusted EBITDA) of €</w:t>
      </w:r>
      <w:r w:rsidR="00C228BA">
        <w:rPr>
          <w:sz w:val="18"/>
          <w:szCs w:val="18"/>
          <w:lang w:val="en-US"/>
        </w:rPr>
        <w:t>1.66</w:t>
      </w:r>
      <w:r w:rsidRPr="006E04EA">
        <w:rPr>
          <w:sz w:val="18"/>
          <w:szCs w:val="18"/>
          <w:lang w:val="en-US"/>
        </w:rPr>
        <w:t xml:space="preserve"> billion in 202</w:t>
      </w:r>
      <w:r w:rsidR="00082248">
        <w:rPr>
          <w:sz w:val="18"/>
          <w:szCs w:val="18"/>
          <w:lang w:val="en-US"/>
        </w:rPr>
        <w:t>3</w:t>
      </w:r>
      <w:r w:rsidRPr="006E04EA">
        <w:rPr>
          <w:sz w:val="18"/>
          <w:szCs w:val="18"/>
          <w:lang w:val="en-US"/>
        </w:rPr>
        <w:t xml:space="preserve">. Evonik goes far beyond chemistry to create innovative, profitable, and sustainable solutions for customers. </w:t>
      </w:r>
      <w:r w:rsidR="00C228BA">
        <w:rPr>
          <w:sz w:val="18"/>
          <w:szCs w:val="18"/>
          <w:lang w:val="en-US"/>
        </w:rPr>
        <w:t>More than</w:t>
      </w:r>
      <w:r w:rsidRPr="006E04EA">
        <w:rPr>
          <w:sz w:val="18"/>
          <w:szCs w:val="18"/>
          <w:lang w:val="en-US"/>
        </w:rPr>
        <w:t xml:space="preserve"> </w:t>
      </w:r>
      <w:r w:rsidRPr="00AB389B">
        <w:rPr>
          <w:sz w:val="18"/>
          <w:szCs w:val="18"/>
          <w:lang w:val="en-US"/>
        </w:rPr>
        <w:t>3</w:t>
      </w:r>
      <w:r w:rsidR="00C228BA" w:rsidRPr="00AB389B">
        <w:rPr>
          <w:sz w:val="18"/>
          <w:szCs w:val="18"/>
          <w:lang w:val="en-US"/>
        </w:rPr>
        <w:t>3</w:t>
      </w:r>
      <w:r w:rsidRPr="006E04EA">
        <w:rPr>
          <w:sz w:val="18"/>
          <w:szCs w:val="18"/>
          <w:lang w:val="en-US"/>
        </w:rPr>
        <w:t>,000 employees work together for a common purpose: We want to improve life today and tomorrow.</w:t>
      </w:r>
    </w:p>
    <w:p w14:paraId="0BFC1D73" w14:textId="77777777" w:rsidR="003B0938" w:rsidRPr="006E04EA" w:rsidRDefault="003B0938" w:rsidP="003B0938">
      <w:pPr>
        <w:rPr>
          <w:sz w:val="18"/>
          <w:szCs w:val="18"/>
          <w:lang w:val="en-US"/>
        </w:rPr>
      </w:pPr>
    </w:p>
    <w:p w14:paraId="6D8DACED" w14:textId="0D75CEAA" w:rsidR="007C2596" w:rsidRPr="007C2596" w:rsidRDefault="007C2596" w:rsidP="007C2596">
      <w:pPr>
        <w:spacing w:line="220" w:lineRule="exact"/>
        <w:outlineLvl w:val="0"/>
        <w:rPr>
          <w:b/>
          <w:bCs/>
          <w:color w:val="000000"/>
          <w:sz w:val="18"/>
          <w:szCs w:val="18"/>
          <w:lang w:val="en-US"/>
        </w:rPr>
      </w:pPr>
      <w:r w:rsidRPr="007C2596">
        <w:rPr>
          <w:b/>
          <w:bCs/>
          <w:color w:val="000000"/>
          <w:sz w:val="18"/>
          <w:szCs w:val="18"/>
          <w:lang w:val="en-US"/>
        </w:rPr>
        <w:t>D</w:t>
      </w:r>
      <w:r w:rsidR="000E0368">
        <w:rPr>
          <w:b/>
          <w:bCs/>
          <w:color w:val="000000"/>
          <w:sz w:val="18"/>
          <w:szCs w:val="18"/>
          <w:lang w:val="en-US"/>
        </w:rPr>
        <w:t>isclaimer</w:t>
      </w:r>
    </w:p>
    <w:p w14:paraId="45B642EB" w14:textId="2AD3F629" w:rsidR="000B1B97" w:rsidRPr="00FC6A15" w:rsidRDefault="007C2596" w:rsidP="00FC6A15">
      <w:pPr>
        <w:spacing w:line="220" w:lineRule="exact"/>
        <w:rPr>
          <w:sz w:val="18"/>
          <w:szCs w:val="18"/>
          <w:lang w:val="en-US"/>
        </w:rPr>
      </w:pPr>
      <w:r w:rsidRPr="007C2596">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0B1B97" w:rsidRPr="00FC6A15" w:rsidSect="00A92B19">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C128" w14:textId="77777777" w:rsidR="00A92B19" w:rsidRDefault="00A92B19" w:rsidP="00FD1184">
      <w:r>
        <w:separator/>
      </w:r>
    </w:p>
  </w:endnote>
  <w:endnote w:type="continuationSeparator" w:id="0">
    <w:p w14:paraId="6C8C9E2F" w14:textId="77777777" w:rsidR="00A92B19" w:rsidRDefault="00A92B19" w:rsidP="00FD1184">
      <w:r>
        <w:continuationSeparator/>
      </w:r>
    </w:p>
  </w:endnote>
  <w:endnote w:type="continuationNotice" w:id="1">
    <w:p w14:paraId="54EAA6C0" w14:textId="77777777" w:rsidR="00A92B19" w:rsidRDefault="00A92B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000000000000000"/>
    <w:charset w:val="00"/>
    <w:family w:val="modern"/>
    <w:notTrueType/>
    <w:pitch w:val="variable"/>
    <w:sig w:usb0="20000007" w:usb1="00000001" w:usb2="00000000" w:usb3="00000000" w:csb0="00000193" w:csb1="00000000"/>
  </w:font>
  <w:font w:name="Evonik Prokyon">
    <w:altName w:val="Calibri"/>
    <w:panose1 w:val="000000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Rodap"/>
    </w:pPr>
  </w:p>
  <w:p w14:paraId="2893F790" w14:textId="77777777" w:rsidR="004B3707" w:rsidRDefault="004B3707">
    <w:pPr>
      <w:pStyle w:val="Rodap"/>
    </w:pPr>
    <w:r>
      <w:t xml:space="preserve">Seite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von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B300" w14:textId="77777777" w:rsidR="00A92B19" w:rsidRDefault="00A92B19" w:rsidP="00FD1184">
      <w:r>
        <w:separator/>
      </w:r>
    </w:p>
  </w:footnote>
  <w:footnote w:type="continuationSeparator" w:id="0">
    <w:p w14:paraId="144CDFD7" w14:textId="77777777" w:rsidR="00A92B19" w:rsidRDefault="00A92B19" w:rsidP="00FD1184">
      <w:r>
        <w:continuationSeparator/>
      </w:r>
    </w:p>
  </w:footnote>
  <w:footnote w:type="continuationNotice" w:id="1">
    <w:p w14:paraId="36B3A30B" w14:textId="77777777" w:rsidR="00A92B19" w:rsidRDefault="00A92B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ZKRJNv05/v9m+" int2:id="6OidVvn5">
      <int2:state int2:value="Rejected" int2:type="AugLoop_Text_Critique"/>
    </int2:textHash>
    <int2:textHash int2:hashCode="f6H5QyXB+TzLmN" int2:id="uuVzfNlP">
      <int2:state int2:value="Rejected" int2:type="AugLoop_Text_Critique"/>
    </int2:textHash>
    <int2:textHash int2:hashCode="UubYq4hHGvgtoS" int2:id="bGuWGmkG">
      <int2:state int2:value="Rejected" int2:type="AugLoop_Text_Critique"/>
    </int2:textHash>
    <int2:textHash int2:hashCode="T/CxU4RpM4oAc+" int2:id="89M1s4IZ">
      <int2:state int2:value="Rejected" int2:type="AugLoop_Text_Critique"/>
    </int2:textHash>
    <int2:textHash int2:hashCode="N6UwGojaM03Fr8" int2:id="nvsOzGca">
      <int2:state int2:value="Rejected" int2:type="AugLoop_Text_Critique"/>
    </int2:textHash>
    <int2:textHash int2:hashCode="TvnpNQATkz7bXl" int2:id="MCpFxbi2">
      <int2:state int2:value="Rejected" int2:type="AugLoop_Text_Critique"/>
    </int2:textHash>
    <int2:textHash int2:hashCode="ORtmKdm2RdMHPG" int2:id="gORd9Gzu">
      <int2:state int2:value="Rejected" int2:type="AugLoop_Text_Critique"/>
    </int2:textHash>
    <int2:textHash int2:hashCode="D2EzULZuZNku8h" int2:id="T1IR5nf6">
      <int2:state int2:value="Rejected" int2:type="AugLoop_Text_Critique"/>
    </int2:textHash>
    <int2:textHash int2:hashCode="ycUEnaW6n2VqtX" int2:id="V7wg5GTq">
      <int2:state int2:value="Rejected" int2:type="AugLoop_Text_Critique"/>
    </int2:textHash>
    <int2:textHash int2:hashCode="DlurEAdiA8z7+S" int2:id="x1FCfVcX">
      <int2:state int2:value="Rejected" int2:type="AugLoop_Text_Critique"/>
    </int2:textHash>
    <int2:textHash int2:hashCode="6FAgWIKc+6Uak8" int2:id="oDr0tE7M">
      <int2:state int2:value="Rejected" int2:type="AugLoop_Text_Critique"/>
    </int2:textHash>
    <int2:textHash int2:hashCode="rdENQJkZCzhMEp" int2:id="Le5U0LeV">
      <int2:state int2:value="Rejected" int2:type="AugLoop_Text_Critique"/>
    </int2:textHash>
    <int2:bookmark int2:bookmarkName="_Int_VxODMWhn" int2:invalidationBookmarkName="" int2:hashCode="f6H5QyXB+TzLmN" int2:id="N9Y2uIQc">
      <int2:state int2:value="Rejected" int2:type="AugLoop_Text_Critique"/>
    </int2:bookmark>
    <int2:bookmark int2:bookmarkName="_Int_fIPo3NT2" int2:invalidationBookmarkName="" int2:hashCode="QbQm+2nIGcHzpX" int2:id="OE2i0nrW">
      <int2:state int2:value="Rejected" int2:type="AugLoop_Text_Critique"/>
    </int2:bookmark>
    <int2:bookmark int2:bookmarkName="_Int_oBVwZTAc" int2:invalidationBookmarkName="" int2:hashCode="zOG5fu83ltwWsY" int2:id="vcSTrmRE">
      <int2:state int2:value="Rejected" int2:type="AugLoop_Text_Critique"/>
    </int2:bookmark>
    <int2:bookmark int2:bookmarkName="_Int_p1MT1cay" int2:invalidationBookmarkName="" int2:hashCode="qwjHB9JD//Cw+x" int2:id="Ehx0jcvX">
      <int2:state int2:value="Rejected" int2:type="AugLoop_Text_Critique"/>
    </int2:bookmark>
    <int2:bookmark int2:bookmarkName="_Int_q3zN2eWu" int2:invalidationBookmarkName="" int2:hashCode="fnmjryY03mY15Z" int2:id="VMFdS5Ov">
      <int2:state int2:value="Rejected" int2:type="AugLoop_Text_Critique"/>
    </int2:bookmark>
    <int2:bookmark int2:bookmarkName="_Int_rScIVAae" int2:invalidationBookmarkName="" int2:hashCode="3+AXQSZJik2eVK" int2:id="RZyvyz19">
      <int2:state int2:value="Rejected" int2:type="AugLoop_Acronyms_AcronymsCritique"/>
    </int2:bookmark>
    <int2:bookmark int2:bookmarkName="_Int_QOJLMmQ5" int2:invalidationBookmarkName="" int2:hashCode="JoqrV1z/XvJmS1" int2:id="HlknJRHu">
      <int2:state int2:value="Rejected" int2:type="AugLoop_Acronyms_AcronymsCritique"/>
    </int2:bookmark>
    <int2:bookmark int2:bookmarkName="_Int_RU51zSYl" int2:invalidationBookmarkName="" int2:hashCode="2zzAJcwyoS06vM" int2:id="DR3yL5k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039C"/>
    <w:rsid w:val="00001D43"/>
    <w:rsid w:val="00001EBC"/>
    <w:rsid w:val="000050F7"/>
    <w:rsid w:val="000060A3"/>
    <w:rsid w:val="0000663A"/>
    <w:rsid w:val="00007459"/>
    <w:rsid w:val="00007F6B"/>
    <w:rsid w:val="00014019"/>
    <w:rsid w:val="000155D5"/>
    <w:rsid w:val="000159E6"/>
    <w:rsid w:val="000170E4"/>
    <w:rsid w:val="00017FD6"/>
    <w:rsid w:val="0002230A"/>
    <w:rsid w:val="00022955"/>
    <w:rsid w:val="000261BB"/>
    <w:rsid w:val="00030FAC"/>
    <w:rsid w:val="00031C52"/>
    <w:rsid w:val="00033332"/>
    <w:rsid w:val="00033B6F"/>
    <w:rsid w:val="00033D36"/>
    <w:rsid w:val="00035360"/>
    <w:rsid w:val="00042660"/>
    <w:rsid w:val="000428D0"/>
    <w:rsid w:val="00044EB8"/>
    <w:rsid w:val="00046D8D"/>
    <w:rsid w:val="000478DF"/>
    <w:rsid w:val="00047E57"/>
    <w:rsid w:val="00052D1E"/>
    <w:rsid w:val="00052FB1"/>
    <w:rsid w:val="0005492A"/>
    <w:rsid w:val="000557A8"/>
    <w:rsid w:val="00057817"/>
    <w:rsid w:val="0006177F"/>
    <w:rsid w:val="00062424"/>
    <w:rsid w:val="00065378"/>
    <w:rsid w:val="0006608A"/>
    <w:rsid w:val="0006653B"/>
    <w:rsid w:val="0007047A"/>
    <w:rsid w:val="00070FC4"/>
    <w:rsid w:val="000731FD"/>
    <w:rsid w:val="00082248"/>
    <w:rsid w:val="00083287"/>
    <w:rsid w:val="00084555"/>
    <w:rsid w:val="000846DA"/>
    <w:rsid w:val="00084C9A"/>
    <w:rsid w:val="000859A8"/>
    <w:rsid w:val="00085DD4"/>
    <w:rsid w:val="00086556"/>
    <w:rsid w:val="000902FA"/>
    <w:rsid w:val="000907CD"/>
    <w:rsid w:val="00090E4A"/>
    <w:rsid w:val="00092F83"/>
    <w:rsid w:val="00093326"/>
    <w:rsid w:val="00096127"/>
    <w:rsid w:val="000964AB"/>
    <w:rsid w:val="000A0271"/>
    <w:rsid w:val="000A0801"/>
    <w:rsid w:val="000A0DDB"/>
    <w:rsid w:val="000A7091"/>
    <w:rsid w:val="000B1B97"/>
    <w:rsid w:val="000B2383"/>
    <w:rsid w:val="000B48F4"/>
    <w:rsid w:val="000B4D73"/>
    <w:rsid w:val="000C2858"/>
    <w:rsid w:val="000C2CC1"/>
    <w:rsid w:val="000C455F"/>
    <w:rsid w:val="000C5379"/>
    <w:rsid w:val="000C6C10"/>
    <w:rsid w:val="000C7337"/>
    <w:rsid w:val="000D13BE"/>
    <w:rsid w:val="000D1DD8"/>
    <w:rsid w:val="000D39F8"/>
    <w:rsid w:val="000D4283"/>
    <w:rsid w:val="000D4364"/>
    <w:rsid w:val="000E0368"/>
    <w:rsid w:val="000E06AB"/>
    <w:rsid w:val="000E0F42"/>
    <w:rsid w:val="000E196A"/>
    <w:rsid w:val="000E2F2F"/>
    <w:rsid w:val="000E3F88"/>
    <w:rsid w:val="000E5877"/>
    <w:rsid w:val="000E67C3"/>
    <w:rsid w:val="000E790D"/>
    <w:rsid w:val="000F329B"/>
    <w:rsid w:val="000F3FFE"/>
    <w:rsid w:val="000F4B74"/>
    <w:rsid w:val="000F4B89"/>
    <w:rsid w:val="000F70A3"/>
    <w:rsid w:val="00102E05"/>
    <w:rsid w:val="00103DC4"/>
    <w:rsid w:val="0010786E"/>
    <w:rsid w:val="00110640"/>
    <w:rsid w:val="00110DE8"/>
    <w:rsid w:val="0011155E"/>
    <w:rsid w:val="0011444D"/>
    <w:rsid w:val="00114820"/>
    <w:rsid w:val="00115462"/>
    <w:rsid w:val="00115DC2"/>
    <w:rsid w:val="00116973"/>
    <w:rsid w:val="001174A9"/>
    <w:rsid w:val="001175D3"/>
    <w:rsid w:val="00122669"/>
    <w:rsid w:val="00122E78"/>
    <w:rsid w:val="00123F01"/>
    <w:rsid w:val="00124443"/>
    <w:rsid w:val="00126AD4"/>
    <w:rsid w:val="00130280"/>
    <w:rsid w:val="00130512"/>
    <w:rsid w:val="00132881"/>
    <w:rsid w:val="00132BCB"/>
    <w:rsid w:val="00133E0B"/>
    <w:rsid w:val="00134299"/>
    <w:rsid w:val="00137117"/>
    <w:rsid w:val="00140BFC"/>
    <w:rsid w:val="00141796"/>
    <w:rsid w:val="00141B2B"/>
    <w:rsid w:val="00143755"/>
    <w:rsid w:val="00146359"/>
    <w:rsid w:val="00147601"/>
    <w:rsid w:val="00150BA7"/>
    <w:rsid w:val="00152E73"/>
    <w:rsid w:val="00153246"/>
    <w:rsid w:val="00160869"/>
    <w:rsid w:val="00162093"/>
    <w:rsid w:val="001625AF"/>
    <w:rsid w:val="00162CEE"/>
    <w:rsid w:val="001631E8"/>
    <w:rsid w:val="00165932"/>
    <w:rsid w:val="00166959"/>
    <w:rsid w:val="00166AED"/>
    <w:rsid w:val="001677EF"/>
    <w:rsid w:val="00171327"/>
    <w:rsid w:val="001722E7"/>
    <w:rsid w:val="00173ABB"/>
    <w:rsid w:val="0017414F"/>
    <w:rsid w:val="00174CFC"/>
    <w:rsid w:val="00175935"/>
    <w:rsid w:val="00175ECC"/>
    <w:rsid w:val="001770B5"/>
    <w:rsid w:val="00180279"/>
    <w:rsid w:val="00183B02"/>
    <w:rsid w:val="00185364"/>
    <w:rsid w:val="00186875"/>
    <w:rsid w:val="00190830"/>
    <w:rsid w:val="00190CD0"/>
    <w:rsid w:val="00191CA1"/>
    <w:rsid w:val="001927A1"/>
    <w:rsid w:val="001927E8"/>
    <w:rsid w:val="00193451"/>
    <w:rsid w:val="00193567"/>
    <w:rsid w:val="00196518"/>
    <w:rsid w:val="001971F9"/>
    <w:rsid w:val="00197C9A"/>
    <w:rsid w:val="001A4D2D"/>
    <w:rsid w:val="001A5358"/>
    <w:rsid w:val="001A78C2"/>
    <w:rsid w:val="001B0B67"/>
    <w:rsid w:val="001B206A"/>
    <w:rsid w:val="001B21E0"/>
    <w:rsid w:val="001B48CF"/>
    <w:rsid w:val="001C1E1E"/>
    <w:rsid w:val="001C49AE"/>
    <w:rsid w:val="001D0C92"/>
    <w:rsid w:val="001D3ECC"/>
    <w:rsid w:val="001D4294"/>
    <w:rsid w:val="001D684D"/>
    <w:rsid w:val="001D7E24"/>
    <w:rsid w:val="001E0059"/>
    <w:rsid w:val="001E333A"/>
    <w:rsid w:val="001F00B7"/>
    <w:rsid w:val="001F0A5E"/>
    <w:rsid w:val="001F1C59"/>
    <w:rsid w:val="001F321B"/>
    <w:rsid w:val="001F363C"/>
    <w:rsid w:val="001F43D4"/>
    <w:rsid w:val="001F45B7"/>
    <w:rsid w:val="001F6319"/>
    <w:rsid w:val="001F7C26"/>
    <w:rsid w:val="002013A4"/>
    <w:rsid w:val="002014CB"/>
    <w:rsid w:val="00203AD4"/>
    <w:rsid w:val="002044B1"/>
    <w:rsid w:val="0020578A"/>
    <w:rsid w:val="00206E89"/>
    <w:rsid w:val="002122A6"/>
    <w:rsid w:val="00212D11"/>
    <w:rsid w:val="00212D4A"/>
    <w:rsid w:val="002159BA"/>
    <w:rsid w:val="002175F2"/>
    <w:rsid w:val="0022009A"/>
    <w:rsid w:val="002204B4"/>
    <w:rsid w:val="00220726"/>
    <w:rsid w:val="0022144D"/>
    <w:rsid w:val="00221C32"/>
    <w:rsid w:val="0022399B"/>
    <w:rsid w:val="00224428"/>
    <w:rsid w:val="00224A9A"/>
    <w:rsid w:val="00226307"/>
    <w:rsid w:val="002274BD"/>
    <w:rsid w:val="00227E70"/>
    <w:rsid w:val="00230AC6"/>
    <w:rsid w:val="0023190B"/>
    <w:rsid w:val="00232B24"/>
    <w:rsid w:val="0023466C"/>
    <w:rsid w:val="002355B7"/>
    <w:rsid w:val="002364F0"/>
    <w:rsid w:val="002366B2"/>
    <w:rsid w:val="002406C9"/>
    <w:rsid w:val="00240B05"/>
    <w:rsid w:val="00242A50"/>
    <w:rsid w:val="0024351A"/>
    <w:rsid w:val="0024351E"/>
    <w:rsid w:val="0024395D"/>
    <w:rsid w:val="002448A1"/>
    <w:rsid w:val="00245368"/>
    <w:rsid w:val="002465EB"/>
    <w:rsid w:val="00246E46"/>
    <w:rsid w:val="00247BAB"/>
    <w:rsid w:val="00247D5A"/>
    <w:rsid w:val="0025219A"/>
    <w:rsid w:val="00252307"/>
    <w:rsid w:val="002529E6"/>
    <w:rsid w:val="002530DF"/>
    <w:rsid w:val="00256484"/>
    <w:rsid w:val="0025687E"/>
    <w:rsid w:val="002579E5"/>
    <w:rsid w:val="00260CCD"/>
    <w:rsid w:val="00260F5E"/>
    <w:rsid w:val="00261FB4"/>
    <w:rsid w:val="0026294A"/>
    <w:rsid w:val="00262EE6"/>
    <w:rsid w:val="00264DE8"/>
    <w:rsid w:val="002651DC"/>
    <w:rsid w:val="0026645A"/>
    <w:rsid w:val="00266B39"/>
    <w:rsid w:val="002678FE"/>
    <w:rsid w:val="00270C7E"/>
    <w:rsid w:val="00271224"/>
    <w:rsid w:val="0027232B"/>
    <w:rsid w:val="0027405D"/>
    <w:rsid w:val="00275D17"/>
    <w:rsid w:val="00276C89"/>
    <w:rsid w:val="002771D9"/>
    <w:rsid w:val="002804AF"/>
    <w:rsid w:val="00282371"/>
    <w:rsid w:val="00282723"/>
    <w:rsid w:val="00287090"/>
    <w:rsid w:val="00290D43"/>
    <w:rsid w:val="00290F07"/>
    <w:rsid w:val="002922C1"/>
    <w:rsid w:val="00294CFF"/>
    <w:rsid w:val="00296571"/>
    <w:rsid w:val="002A204A"/>
    <w:rsid w:val="002A2921"/>
    <w:rsid w:val="002A3B92"/>
    <w:rsid w:val="002A4D97"/>
    <w:rsid w:val="002A67F0"/>
    <w:rsid w:val="002A7D36"/>
    <w:rsid w:val="002B149D"/>
    <w:rsid w:val="002B320C"/>
    <w:rsid w:val="002B44E5"/>
    <w:rsid w:val="002B60A3"/>
    <w:rsid w:val="002B6293"/>
    <w:rsid w:val="002B62A3"/>
    <w:rsid w:val="002B645E"/>
    <w:rsid w:val="002B6670"/>
    <w:rsid w:val="002B6B13"/>
    <w:rsid w:val="002B6E5B"/>
    <w:rsid w:val="002C029B"/>
    <w:rsid w:val="002C0460"/>
    <w:rsid w:val="002C058B"/>
    <w:rsid w:val="002C0EDD"/>
    <w:rsid w:val="002C10C6"/>
    <w:rsid w:val="002C12A0"/>
    <w:rsid w:val="002C6634"/>
    <w:rsid w:val="002D206A"/>
    <w:rsid w:val="002D2996"/>
    <w:rsid w:val="002D327B"/>
    <w:rsid w:val="002D464B"/>
    <w:rsid w:val="002E310E"/>
    <w:rsid w:val="002E698A"/>
    <w:rsid w:val="002F03E7"/>
    <w:rsid w:val="002F596A"/>
    <w:rsid w:val="002F5BCB"/>
    <w:rsid w:val="002F5EE0"/>
    <w:rsid w:val="002F7770"/>
    <w:rsid w:val="003001B0"/>
    <w:rsid w:val="00300C9D"/>
    <w:rsid w:val="00300F28"/>
    <w:rsid w:val="003018AE"/>
    <w:rsid w:val="00301998"/>
    <w:rsid w:val="00301CD5"/>
    <w:rsid w:val="0030341A"/>
    <w:rsid w:val="00304F7C"/>
    <w:rsid w:val="003067D4"/>
    <w:rsid w:val="003168FA"/>
    <w:rsid w:val="00316EC0"/>
    <w:rsid w:val="00317620"/>
    <w:rsid w:val="00317BB5"/>
    <w:rsid w:val="003208DA"/>
    <w:rsid w:val="00322659"/>
    <w:rsid w:val="00322817"/>
    <w:rsid w:val="003237B0"/>
    <w:rsid w:val="00323FA6"/>
    <w:rsid w:val="00325294"/>
    <w:rsid w:val="003258A0"/>
    <w:rsid w:val="00325E94"/>
    <w:rsid w:val="00326AF6"/>
    <w:rsid w:val="00333B8A"/>
    <w:rsid w:val="003402B9"/>
    <w:rsid w:val="003410B9"/>
    <w:rsid w:val="00341E39"/>
    <w:rsid w:val="00342D8A"/>
    <w:rsid w:val="00343712"/>
    <w:rsid w:val="003449DC"/>
    <w:rsid w:val="00344E3B"/>
    <w:rsid w:val="00345D41"/>
    <w:rsid w:val="00347E81"/>
    <w:rsid w:val="003505CD"/>
    <w:rsid w:val="003508E4"/>
    <w:rsid w:val="0035258E"/>
    <w:rsid w:val="003550BE"/>
    <w:rsid w:val="003567A4"/>
    <w:rsid w:val="003603CB"/>
    <w:rsid w:val="003609B3"/>
    <w:rsid w:val="00363C3A"/>
    <w:rsid w:val="00364B56"/>
    <w:rsid w:val="00365627"/>
    <w:rsid w:val="00365FD7"/>
    <w:rsid w:val="00366697"/>
    <w:rsid w:val="00367974"/>
    <w:rsid w:val="003742D9"/>
    <w:rsid w:val="00375717"/>
    <w:rsid w:val="00376260"/>
    <w:rsid w:val="00377238"/>
    <w:rsid w:val="00380845"/>
    <w:rsid w:val="0038091C"/>
    <w:rsid w:val="00381866"/>
    <w:rsid w:val="00383023"/>
    <w:rsid w:val="00384C52"/>
    <w:rsid w:val="00384D11"/>
    <w:rsid w:val="00385A03"/>
    <w:rsid w:val="0038612E"/>
    <w:rsid w:val="003868B6"/>
    <w:rsid w:val="003919C3"/>
    <w:rsid w:val="00391F75"/>
    <w:rsid w:val="003935F4"/>
    <w:rsid w:val="003977C7"/>
    <w:rsid w:val="00397877"/>
    <w:rsid w:val="003A023D"/>
    <w:rsid w:val="003A1BB1"/>
    <w:rsid w:val="003A390F"/>
    <w:rsid w:val="003A4CED"/>
    <w:rsid w:val="003A555F"/>
    <w:rsid w:val="003A6890"/>
    <w:rsid w:val="003B0938"/>
    <w:rsid w:val="003B46BD"/>
    <w:rsid w:val="003B7457"/>
    <w:rsid w:val="003C0198"/>
    <w:rsid w:val="003C0B6A"/>
    <w:rsid w:val="003C14F1"/>
    <w:rsid w:val="003C2848"/>
    <w:rsid w:val="003C2FEE"/>
    <w:rsid w:val="003C3519"/>
    <w:rsid w:val="003C3598"/>
    <w:rsid w:val="003C55AF"/>
    <w:rsid w:val="003D2BAE"/>
    <w:rsid w:val="003D3C20"/>
    <w:rsid w:val="003D4604"/>
    <w:rsid w:val="003D5621"/>
    <w:rsid w:val="003D6E84"/>
    <w:rsid w:val="003E3A9B"/>
    <w:rsid w:val="003E4161"/>
    <w:rsid w:val="003E607B"/>
    <w:rsid w:val="003F01FD"/>
    <w:rsid w:val="003F217C"/>
    <w:rsid w:val="003F37FB"/>
    <w:rsid w:val="003F4BE4"/>
    <w:rsid w:val="003F5509"/>
    <w:rsid w:val="003F57E9"/>
    <w:rsid w:val="003F67EB"/>
    <w:rsid w:val="003F7122"/>
    <w:rsid w:val="004010A5"/>
    <w:rsid w:val="004016F5"/>
    <w:rsid w:val="0040488E"/>
    <w:rsid w:val="00404D8B"/>
    <w:rsid w:val="004050DF"/>
    <w:rsid w:val="004060FC"/>
    <w:rsid w:val="004126CE"/>
    <w:rsid w:val="0041404B"/>
    <w:rsid w:val="004140F4"/>
    <w:rsid w:val="004146D3"/>
    <w:rsid w:val="00415145"/>
    <w:rsid w:val="004152E2"/>
    <w:rsid w:val="004209D2"/>
    <w:rsid w:val="00422338"/>
    <w:rsid w:val="004228A4"/>
    <w:rsid w:val="004249B8"/>
    <w:rsid w:val="00425650"/>
    <w:rsid w:val="00426265"/>
    <w:rsid w:val="00426B5B"/>
    <w:rsid w:val="00426CE4"/>
    <w:rsid w:val="00427214"/>
    <w:rsid w:val="00432732"/>
    <w:rsid w:val="0043547E"/>
    <w:rsid w:val="004364BD"/>
    <w:rsid w:val="00436C94"/>
    <w:rsid w:val="00440620"/>
    <w:rsid w:val="004423C0"/>
    <w:rsid w:val="00445AB8"/>
    <w:rsid w:val="00446271"/>
    <w:rsid w:val="0045457D"/>
    <w:rsid w:val="0045469F"/>
    <w:rsid w:val="004636BF"/>
    <w:rsid w:val="00463981"/>
    <w:rsid w:val="00464541"/>
    <w:rsid w:val="00474BA8"/>
    <w:rsid w:val="00474DC8"/>
    <w:rsid w:val="00475D2F"/>
    <w:rsid w:val="00476A8F"/>
    <w:rsid w:val="00476F6F"/>
    <w:rsid w:val="0047761E"/>
    <w:rsid w:val="00480F3B"/>
    <w:rsid w:val="0048125C"/>
    <w:rsid w:val="004815AA"/>
    <w:rsid w:val="00481D0B"/>
    <w:rsid w:val="004820F9"/>
    <w:rsid w:val="004840CC"/>
    <w:rsid w:val="00484973"/>
    <w:rsid w:val="004864F7"/>
    <w:rsid w:val="004870E2"/>
    <w:rsid w:val="00491579"/>
    <w:rsid w:val="00491B96"/>
    <w:rsid w:val="00491C7E"/>
    <w:rsid w:val="0049367A"/>
    <w:rsid w:val="00493AA6"/>
    <w:rsid w:val="004964A7"/>
    <w:rsid w:val="0049665B"/>
    <w:rsid w:val="0049694B"/>
    <w:rsid w:val="004A0C9E"/>
    <w:rsid w:val="004A28CF"/>
    <w:rsid w:val="004A34D6"/>
    <w:rsid w:val="004A3551"/>
    <w:rsid w:val="004A5E45"/>
    <w:rsid w:val="004A67DD"/>
    <w:rsid w:val="004A75A5"/>
    <w:rsid w:val="004B2690"/>
    <w:rsid w:val="004B3707"/>
    <w:rsid w:val="004B39B0"/>
    <w:rsid w:val="004C043A"/>
    <w:rsid w:val="004C0873"/>
    <w:rsid w:val="004C0E1C"/>
    <w:rsid w:val="004C28A5"/>
    <w:rsid w:val="004C520C"/>
    <w:rsid w:val="004C578D"/>
    <w:rsid w:val="004C5E53"/>
    <w:rsid w:val="004C681D"/>
    <w:rsid w:val="004D0F9A"/>
    <w:rsid w:val="004D1330"/>
    <w:rsid w:val="004D7BB2"/>
    <w:rsid w:val="004E04B2"/>
    <w:rsid w:val="004E1DCE"/>
    <w:rsid w:val="004E27F6"/>
    <w:rsid w:val="004E3505"/>
    <w:rsid w:val="004E4811"/>
    <w:rsid w:val="004E51C3"/>
    <w:rsid w:val="004E73C7"/>
    <w:rsid w:val="004E7EFC"/>
    <w:rsid w:val="004F0B24"/>
    <w:rsid w:val="004F0E20"/>
    <w:rsid w:val="004F1444"/>
    <w:rsid w:val="004F15BC"/>
    <w:rsid w:val="004F1A72"/>
    <w:rsid w:val="004F2374"/>
    <w:rsid w:val="004F4459"/>
    <w:rsid w:val="004F6283"/>
    <w:rsid w:val="004F6534"/>
    <w:rsid w:val="004F6B5C"/>
    <w:rsid w:val="004F711E"/>
    <w:rsid w:val="005020EF"/>
    <w:rsid w:val="00502CE4"/>
    <w:rsid w:val="00503125"/>
    <w:rsid w:val="005045CC"/>
    <w:rsid w:val="00507E0F"/>
    <w:rsid w:val="00510ACF"/>
    <w:rsid w:val="00513D7D"/>
    <w:rsid w:val="00515029"/>
    <w:rsid w:val="00516E89"/>
    <w:rsid w:val="005225B4"/>
    <w:rsid w:val="005225EC"/>
    <w:rsid w:val="00524608"/>
    <w:rsid w:val="00525847"/>
    <w:rsid w:val="00525CA7"/>
    <w:rsid w:val="0053273E"/>
    <w:rsid w:val="005337DD"/>
    <w:rsid w:val="00537FE8"/>
    <w:rsid w:val="00540E64"/>
    <w:rsid w:val="0054257B"/>
    <w:rsid w:val="005427DB"/>
    <w:rsid w:val="00545F48"/>
    <w:rsid w:val="005501CB"/>
    <w:rsid w:val="005512E0"/>
    <w:rsid w:val="005514B0"/>
    <w:rsid w:val="00552032"/>
    <w:rsid w:val="00552ADA"/>
    <w:rsid w:val="00552D52"/>
    <w:rsid w:val="005530E6"/>
    <w:rsid w:val="00554320"/>
    <w:rsid w:val="00554C5A"/>
    <w:rsid w:val="00555D3D"/>
    <w:rsid w:val="0055655D"/>
    <w:rsid w:val="00562B5F"/>
    <w:rsid w:val="00566A34"/>
    <w:rsid w:val="005707E5"/>
    <w:rsid w:val="005708C9"/>
    <w:rsid w:val="0057548A"/>
    <w:rsid w:val="00577D46"/>
    <w:rsid w:val="0058124F"/>
    <w:rsid w:val="005819E2"/>
    <w:rsid w:val="00582643"/>
    <w:rsid w:val="00582C0E"/>
    <w:rsid w:val="00582E88"/>
    <w:rsid w:val="00583ACC"/>
    <w:rsid w:val="00583CD3"/>
    <w:rsid w:val="005871F1"/>
    <w:rsid w:val="00587C52"/>
    <w:rsid w:val="0059103C"/>
    <w:rsid w:val="00591774"/>
    <w:rsid w:val="00594798"/>
    <w:rsid w:val="00594DC3"/>
    <w:rsid w:val="0059505E"/>
    <w:rsid w:val="0059588E"/>
    <w:rsid w:val="0059636C"/>
    <w:rsid w:val="005A0F39"/>
    <w:rsid w:val="005A119C"/>
    <w:rsid w:val="005A2DE0"/>
    <w:rsid w:val="005A2FCB"/>
    <w:rsid w:val="005A3561"/>
    <w:rsid w:val="005A55A9"/>
    <w:rsid w:val="005A73EC"/>
    <w:rsid w:val="005B0CE1"/>
    <w:rsid w:val="005B11BC"/>
    <w:rsid w:val="005B3116"/>
    <w:rsid w:val="005B3BD7"/>
    <w:rsid w:val="005B4DEE"/>
    <w:rsid w:val="005B5CBD"/>
    <w:rsid w:val="005B6EA1"/>
    <w:rsid w:val="005B7C4D"/>
    <w:rsid w:val="005C05D3"/>
    <w:rsid w:val="005D116B"/>
    <w:rsid w:val="005D3E2C"/>
    <w:rsid w:val="005D5432"/>
    <w:rsid w:val="005D64F3"/>
    <w:rsid w:val="005E0314"/>
    <w:rsid w:val="005E0397"/>
    <w:rsid w:val="005E649F"/>
    <w:rsid w:val="005E799F"/>
    <w:rsid w:val="005F14F3"/>
    <w:rsid w:val="005F234C"/>
    <w:rsid w:val="005F26C2"/>
    <w:rsid w:val="005F3548"/>
    <w:rsid w:val="005F3D4A"/>
    <w:rsid w:val="005F3EC9"/>
    <w:rsid w:val="005F50D9"/>
    <w:rsid w:val="005F52C9"/>
    <w:rsid w:val="0060157D"/>
    <w:rsid w:val="00602954"/>
    <w:rsid w:val="00604241"/>
    <w:rsid w:val="00604CE4"/>
    <w:rsid w:val="00605C02"/>
    <w:rsid w:val="00606608"/>
    <w:rsid w:val="00606A38"/>
    <w:rsid w:val="00606A57"/>
    <w:rsid w:val="006076C2"/>
    <w:rsid w:val="00610B7C"/>
    <w:rsid w:val="006115B5"/>
    <w:rsid w:val="00611B98"/>
    <w:rsid w:val="00611C97"/>
    <w:rsid w:val="00615194"/>
    <w:rsid w:val="00617635"/>
    <w:rsid w:val="00623460"/>
    <w:rsid w:val="00625CA1"/>
    <w:rsid w:val="006260FB"/>
    <w:rsid w:val="006264FE"/>
    <w:rsid w:val="00626B36"/>
    <w:rsid w:val="006272FC"/>
    <w:rsid w:val="00630DAD"/>
    <w:rsid w:val="00631FF2"/>
    <w:rsid w:val="0063241D"/>
    <w:rsid w:val="00636C35"/>
    <w:rsid w:val="0064067D"/>
    <w:rsid w:val="00645F2F"/>
    <w:rsid w:val="006460A9"/>
    <w:rsid w:val="00647919"/>
    <w:rsid w:val="00651C95"/>
    <w:rsid w:val="00651F1E"/>
    <w:rsid w:val="00652A75"/>
    <w:rsid w:val="0065376F"/>
    <w:rsid w:val="0065697E"/>
    <w:rsid w:val="006572CF"/>
    <w:rsid w:val="00657771"/>
    <w:rsid w:val="00662D9E"/>
    <w:rsid w:val="00663315"/>
    <w:rsid w:val="00663350"/>
    <w:rsid w:val="00663B85"/>
    <w:rsid w:val="00664394"/>
    <w:rsid w:val="00665007"/>
    <w:rsid w:val="006651E2"/>
    <w:rsid w:val="00666F8E"/>
    <w:rsid w:val="00667E49"/>
    <w:rsid w:val="00667FE2"/>
    <w:rsid w:val="00671F39"/>
    <w:rsid w:val="006729D2"/>
    <w:rsid w:val="006741CC"/>
    <w:rsid w:val="00676B4B"/>
    <w:rsid w:val="006776E1"/>
    <w:rsid w:val="0068334F"/>
    <w:rsid w:val="00687D9D"/>
    <w:rsid w:val="00691FD8"/>
    <w:rsid w:val="00693CBB"/>
    <w:rsid w:val="00694B93"/>
    <w:rsid w:val="00695F5D"/>
    <w:rsid w:val="00696594"/>
    <w:rsid w:val="006966D4"/>
    <w:rsid w:val="00697813"/>
    <w:rsid w:val="006A1832"/>
    <w:rsid w:val="006A37AB"/>
    <w:rsid w:val="006A3F03"/>
    <w:rsid w:val="006A49ED"/>
    <w:rsid w:val="006A581A"/>
    <w:rsid w:val="006A6ED2"/>
    <w:rsid w:val="006A757E"/>
    <w:rsid w:val="006B0C0D"/>
    <w:rsid w:val="006B0EAD"/>
    <w:rsid w:val="006B7C22"/>
    <w:rsid w:val="006C10FF"/>
    <w:rsid w:val="006C35A6"/>
    <w:rsid w:val="006C388A"/>
    <w:rsid w:val="006C6ABC"/>
    <w:rsid w:val="006C6B58"/>
    <w:rsid w:val="006C733A"/>
    <w:rsid w:val="006C781C"/>
    <w:rsid w:val="006D12F9"/>
    <w:rsid w:val="006D2890"/>
    <w:rsid w:val="006D5963"/>
    <w:rsid w:val="006D601A"/>
    <w:rsid w:val="006D6547"/>
    <w:rsid w:val="006D6931"/>
    <w:rsid w:val="006D74C7"/>
    <w:rsid w:val="006E04EA"/>
    <w:rsid w:val="006E0718"/>
    <w:rsid w:val="006E2710"/>
    <w:rsid w:val="006E27F5"/>
    <w:rsid w:val="006E2F15"/>
    <w:rsid w:val="006E383C"/>
    <w:rsid w:val="006E5B66"/>
    <w:rsid w:val="006E5EA2"/>
    <w:rsid w:val="006E636E"/>
    <w:rsid w:val="006F1B3F"/>
    <w:rsid w:val="006F2902"/>
    <w:rsid w:val="006F3AB9"/>
    <w:rsid w:val="006F47B3"/>
    <w:rsid w:val="006F47D3"/>
    <w:rsid w:val="006F5AC8"/>
    <w:rsid w:val="006F61BC"/>
    <w:rsid w:val="006F765C"/>
    <w:rsid w:val="006F7CDC"/>
    <w:rsid w:val="0070241E"/>
    <w:rsid w:val="00706663"/>
    <w:rsid w:val="00706777"/>
    <w:rsid w:val="007068A1"/>
    <w:rsid w:val="007069DA"/>
    <w:rsid w:val="00710688"/>
    <w:rsid w:val="00711E25"/>
    <w:rsid w:val="00712934"/>
    <w:rsid w:val="007156F0"/>
    <w:rsid w:val="00716783"/>
    <w:rsid w:val="00716CC3"/>
    <w:rsid w:val="007170C2"/>
    <w:rsid w:val="00717EDA"/>
    <w:rsid w:val="00720BDD"/>
    <w:rsid w:val="00720F6E"/>
    <w:rsid w:val="007214E4"/>
    <w:rsid w:val="00723615"/>
    <w:rsid w:val="0072366D"/>
    <w:rsid w:val="00726D41"/>
    <w:rsid w:val="00731495"/>
    <w:rsid w:val="00736501"/>
    <w:rsid w:val="00736E08"/>
    <w:rsid w:val="007406D4"/>
    <w:rsid w:val="00740EA7"/>
    <w:rsid w:val="00742797"/>
    <w:rsid w:val="00744FA6"/>
    <w:rsid w:val="00745612"/>
    <w:rsid w:val="00751E3D"/>
    <w:rsid w:val="0075396B"/>
    <w:rsid w:val="007601B0"/>
    <w:rsid w:val="00763004"/>
    <w:rsid w:val="00763416"/>
    <w:rsid w:val="00763D75"/>
    <w:rsid w:val="0076457A"/>
    <w:rsid w:val="00767FE6"/>
    <w:rsid w:val="00770879"/>
    <w:rsid w:val="00773048"/>
    <w:rsid w:val="00775D2E"/>
    <w:rsid w:val="007767FA"/>
    <w:rsid w:val="00776B8A"/>
    <w:rsid w:val="00783487"/>
    <w:rsid w:val="0078363B"/>
    <w:rsid w:val="00784360"/>
    <w:rsid w:val="0078618D"/>
    <w:rsid w:val="00793017"/>
    <w:rsid w:val="00793C37"/>
    <w:rsid w:val="0079694B"/>
    <w:rsid w:val="007A0939"/>
    <w:rsid w:val="007A2C47"/>
    <w:rsid w:val="007A3375"/>
    <w:rsid w:val="007A7E47"/>
    <w:rsid w:val="007A7F8A"/>
    <w:rsid w:val="007B0012"/>
    <w:rsid w:val="007B05D6"/>
    <w:rsid w:val="007B0E41"/>
    <w:rsid w:val="007B3022"/>
    <w:rsid w:val="007B3B39"/>
    <w:rsid w:val="007B4E96"/>
    <w:rsid w:val="007C2596"/>
    <w:rsid w:val="007C329E"/>
    <w:rsid w:val="007C3F8C"/>
    <w:rsid w:val="007C420E"/>
    <w:rsid w:val="007C42FA"/>
    <w:rsid w:val="007E025C"/>
    <w:rsid w:val="007E1760"/>
    <w:rsid w:val="007E502D"/>
    <w:rsid w:val="007E5A2B"/>
    <w:rsid w:val="007E615D"/>
    <w:rsid w:val="007E7C76"/>
    <w:rsid w:val="007F0E0D"/>
    <w:rsid w:val="007F1506"/>
    <w:rsid w:val="007F1B92"/>
    <w:rsid w:val="007F200A"/>
    <w:rsid w:val="007F2B5C"/>
    <w:rsid w:val="007F50F8"/>
    <w:rsid w:val="007F66A2"/>
    <w:rsid w:val="00800AA9"/>
    <w:rsid w:val="008015EC"/>
    <w:rsid w:val="008031D2"/>
    <w:rsid w:val="008046F2"/>
    <w:rsid w:val="008056AC"/>
    <w:rsid w:val="008107E3"/>
    <w:rsid w:val="008108AA"/>
    <w:rsid w:val="00810F29"/>
    <w:rsid w:val="00811FAB"/>
    <w:rsid w:val="008165FD"/>
    <w:rsid w:val="00816A81"/>
    <w:rsid w:val="00820548"/>
    <w:rsid w:val="0082139F"/>
    <w:rsid w:val="0082192E"/>
    <w:rsid w:val="00823875"/>
    <w:rsid w:val="00824097"/>
    <w:rsid w:val="0082512E"/>
    <w:rsid w:val="00826AB1"/>
    <w:rsid w:val="00830DDC"/>
    <w:rsid w:val="00834C6F"/>
    <w:rsid w:val="00834E44"/>
    <w:rsid w:val="00836459"/>
    <w:rsid w:val="00836B9A"/>
    <w:rsid w:val="008420F0"/>
    <w:rsid w:val="00842C80"/>
    <w:rsid w:val="0084389E"/>
    <w:rsid w:val="00844390"/>
    <w:rsid w:val="00846E59"/>
    <w:rsid w:val="00851A49"/>
    <w:rsid w:val="008522FD"/>
    <w:rsid w:val="008528B3"/>
    <w:rsid w:val="00853FC9"/>
    <w:rsid w:val="00855E52"/>
    <w:rsid w:val="00860A6B"/>
    <w:rsid w:val="00860CDC"/>
    <w:rsid w:val="0086271A"/>
    <w:rsid w:val="0086407A"/>
    <w:rsid w:val="00864967"/>
    <w:rsid w:val="00866B7D"/>
    <w:rsid w:val="008766FF"/>
    <w:rsid w:val="00876E81"/>
    <w:rsid w:val="008776AF"/>
    <w:rsid w:val="008813B2"/>
    <w:rsid w:val="00882800"/>
    <w:rsid w:val="008842B7"/>
    <w:rsid w:val="00884445"/>
    <w:rsid w:val="00885442"/>
    <w:rsid w:val="00891733"/>
    <w:rsid w:val="008933A4"/>
    <w:rsid w:val="008936C2"/>
    <w:rsid w:val="00893E65"/>
    <w:rsid w:val="00894378"/>
    <w:rsid w:val="00894D5E"/>
    <w:rsid w:val="0089565B"/>
    <w:rsid w:val="00896D71"/>
    <w:rsid w:val="0089716A"/>
    <w:rsid w:val="008977C3"/>
    <w:rsid w:val="00897BEE"/>
    <w:rsid w:val="008A0D35"/>
    <w:rsid w:val="008A7CB7"/>
    <w:rsid w:val="008A7E22"/>
    <w:rsid w:val="008B03E0"/>
    <w:rsid w:val="008B576F"/>
    <w:rsid w:val="008B5D8B"/>
    <w:rsid w:val="008B7AFE"/>
    <w:rsid w:val="008C00D3"/>
    <w:rsid w:val="008C06FF"/>
    <w:rsid w:val="008C0846"/>
    <w:rsid w:val="008C17EB"/>
    <w:rsid w:val="008C1CC1"/>
    <w:rsid w:val="008C2187"/>
    <w:rsid w:val="008C289E"/>
    <w:rsid w:val="008C544E"/>
    <w:rsid w:val="008C668E"/>
    <w:rsid w:val="008D3B57"/>
    <w:rsid w:val="008D4664"/>
    <w:rsid w:val="008D5A15"/>
    <w:rsid w:val="008D6543"/>
    <w:rsid w:val="008D70C3"/>
    <w:rsid w:val="008E059A"/>
    <w:rsid w:val="008E374A"/>
    <w:rsid w:val="008E38E3"/>
    <w:rsid w:val="008E3B47"/>
    <w:rsid w:val="008E656B"/>
    <w:rsid w:val="008E6680"/>
    <w:rsid w:val="008E7921"/>
    <w:rsid w:val="008F1890"/>
    <w:rsid w:val="008F1DDB"/>
    <w:rsid w:val="008F3450"/>
    <w:rsid w:val="008F3451"/>
    <w:rsid w:val="008F49C5"/>
    <w:rsid w:val="008F4A69"/>
    <w:rsid w:val="008F68F5"/>
    <w:rsid w:val="00902C7D"/>
    <w:rsid w:val="009031FF"/>
    <w:rsid w:val="009036F8"/>
    <w:rsid w:val="00903D13"/>
    <w:rsid w:val="009045E1"/>
    <w:rsid w:val="00904D77"/>
    <w:rsid w:val="00905FE0"/>
    <w:rsid w:val="0090621C"/>
    <w:rsid w:val="00910214"/>
    <w:rsid w:val="00910E5E"/>
    <w:rsid w:val="00912355"/>
    <w:rsid w:val="009125A5"/>
    <w:rsid w:val="00915982"/>
    <w:rsid w:val="00916C67"/>
    <w:rsid w:val="009175F0"/>
    <w:rsid w:val="00917A76"/>
    <w:rsid w:val="0092110D"/>
    <w:rsid w:val="009215FE"/>
    <w:rsid w:val="00921EF8"/>
    <w:rsid w:val="00922A0A"/>
    <w:rsid w:val="009243F3"/>
    <w:rsid w:val="00924C80"/>
    <w:rsid w:val="009253E6"/>
    <w:rsid w:val="0092775B"/>
    <w:rsid w:val="00933627"/>
    <w:rsid w:val="00934DE5"/>
    <w:rsid w:val="009356A8"/>
    <w:rsid w:val="00935881"/>
    <w:rsid w:val="00940402"/>
    <w:rsid w:val="00940BB9"/>
    <w:rsid w:val="0094116B"/>
    <w:rsid w:val="00946B07"/>
    <w:rsid w:val="00955959"/>
    <w:rsid w:val="009560C1"/>
    <w:rsid w:val="009577A8"/>
    <w:rsid w:val="00960B0D"/>
    <w:rsid w:val="009645ED"/>
    <w:rsid w:val="00966112"/>
    <w:rsid w:val="009679E5"/>
    <w:rsid w:val="0097086C"/>
    <w:rsid w:val="009711B1"/>
    <w:rsid w:val="00971345"/>
    <w:rsid w:val="00971552"/>
    <w:rsid w:val="00972767"/>
    <w:rsid w:val="00972BD4"/>
    <w:rsid w:val="009751CD"/>
    <w:rsid w:val="009752DC"/>
    <w:rsid w:val="0097547F"/>
    <w:rsid w:val="00975DC3"/>
    <w:rsid w:val="00977987"/>
    <w:rsid w:val="00980E3B"/>
    <w:rsid w:val="00980EB3"/>
    <w:rsid w:val="00981DE2"/>
    <w:rsid w:val="00982106"/>
    <w:rsid w:val="00982B3B"/>
    <w:rsid w:val="00983B9D"/>
    <w:rsid w:val="0098423C"/>
    <w:rsid w:val="00984BAA"/>
    <w:rsid w:val="00986420"/>
    <w:rsid w:val="00992553"/>
    <w:rsid w:val="00992891"/>
    <w:rsid w:val="00993AD5"/>
    <w:rsid w:val="009950BD"/>
    <w:rsid w:val="00995C1E"/>
    <w:rsid w:val="00995FF1"/>
    <w:rsid w:val="009978D8"/>
    <w:rsid w:val="009A18B1"/>
    <w:rsid w:val="009A2F60"/>
    <w:rsid w:val="009A4744"/>
    <w:rsid w:val="009A7CDC"/>
    <w:rsid w:val="009B1AD8"/>
    <w:rsid w:val="009B1CDA"/>
    <w:rsid w:val="009B4117"/>
    <w:rsid w:val="009B4921"/>
    <w:rsid w:val="009C0555"/>
    <w:rsid w:val="009C06F8"/>
    <w:rsid w:val="009C40DA"/>
    <w:rsid w:val="009C5F4B"/>
    <w:rsid w:val="009C7413"/>
    <w:rsid w:val="009D3C54"/>
    <w:rsid w:val="009D4165"/>
    <w:rsid w:val="009D5B52"/>
    <w:rsid w:val="009D72BD"/>
    <w:rsid w:val="009D779F"/>
    <w:rsid w:val="009D7C20"/>
    <w:rsid w:val="009E0BC9"/>
    <w:rsid w:val="009E3102"/>
    <w:rsid w:val="009E38EF"/>
    <w:rsid w:val="009E3A1C"/>
    <w:rsid w:val="009E4BF1"/>
    <w:rsid w:val="009E60E2"/>
    <w:rsid w:val="009F05F2"/>
    <w:rsid w:val="009F07A5"/>
    <w:rsid w:val="009F07B1"/>
    <w:rsid w:val="009F0D84"/>
    <w:rsid w:val="009F10A2"/>
    <w:rsid w:val="009F275D"/>
    <w:rsid w:val="009F4DBE"/>
    <w:rsid w:val="00A00793"/>
    <w:rsid w:val="00A01910"/>
    <w:rsid w:val="00A033BF"/>
    <w:rsid w:val="00A04545"/>
    <w:rsid w:val="00A065F4"/>
    <w:rsid w:val="00A06854"/>
    <w:rsid w:val="00A07C2B"/>
    <w:rsid w:val="00A10045"/>
    <w:rsid w:val="00A11293"/>
    <w:rsid w:val="00A148D4"/>
    <w:rsid w:val="00A14AE7"/>
    <w:rsid w:val="00A1593C"/>
    <w:rsid w:val="00A16154"/>
    <w:rsid w:val="00A23033"/>
    <w:rsid w:val="00A24BB0"/>
    <w:rsid w:val="00A25205"/>
    <w:rsid w:val="00A25948"/>
    <w:rsid w:val="00A26160"/>
    <w:rsid w:val="00A27EEB"/>
    <w:rsid w:val="00A30BD0"/>
    <w:rsid w:val="00A333D9"/>
    <w:rsid w:val="00A333FB"/>
    <w:rsid w:val="00A3426E"/>
    <w:rsid w:val="00A34DFC"/>
    <w:rsid w:val="00A35115"/>
    <w:rsid w:val="00A3644E"/>
    <w:rsid w:val="00A3768C"/>
    <w:rsid w:val="00A40C5F"/>
    <w:rsid w:val="00A41C88"/>
    <w:rsid w:val="00A43D2C"/>
    <w:rsid w:val="00A44514"/>
    <w:rsid w:val="00A470BB"/>
    <w:rsid w:val="00A5345B"/>
    <w:rsid w:val="00A543F1"/>
    <w:rsid w:val="00A6056D"/>
    <w:rsid w:val="00A60CE5"/>
    <w:rsid w:val="00A63BEB"/>
    <w:rsid w:val="00A640CC"/>
    <w:rsid w:val="00A64686"/>
    <w:rsid w:val="00A67A4C"/>
    <w:rsid w:val="00A708DA"/>
    <w:rsid w:val="00A70B67"/>
    <w:rsid w:val="00A70C5E"/>
    <w:rsid w:val="00A70E96"/>
    <w:rsid w:val="00A712B8"/>
    <w:rsid w:val="00A712C6"/>
    <w:rsid w:val="00A71452"/>
    <w:rsid w:val="00A76704"/>
    <w:rsid w:val="00A77698"/>
    <w:rsid w:val="00A777B7"/>
    <w:rsid w:val="00A81042"/>
    <w:rsid w:val="00A81F2D"/>
    <w:rsid w:val="00A82F77"/>
    <w:rsid w:val="00A82F9D"/>
    <w:rsid w:val="00A87325"/>
    <w:rsid w:val="00A906D5"/>
    <w:rsid w:val="00A91B7D"/>
    <w:rsid w:val="00A92B19"/>
    <w:rsid w:val="00A9601D"/>
    <w:rsid w:val="00A96F0A"/>
    <w:rsid w:val="00AA3775"/>
    <w:rsid w:val="00AA57E4"/>
    <w:rsid w:val="00AA6346"/>
    <w:rsid w:val="00AA7951"/>
    <w:rsid w:val="00AB389B"/>
    <w:rsid w:val="00AB431C"/>
    <w:rsid w:val="00AB4E21"/>
    <w:rsid w:val="00AC20B4"/>
    <w:rsid w:val="00AC2652"/>
    <w:rsid w:val="00AC5257"/>
    <w:rsid w:val="00AC6DC8"/>
    <w:rsid w:val="00AD283F"/>
    <w:rsid w:val="00AD607E"/>
    <w:rsid w:val="00AD71BA"/>
    <w:rsid w:val="00AD7598"/>
    <w:rsid w:val="00AD7F55"/>
    <w:rsid w:val="00AE11B0"/>
    <w:rsid w:val="00AE17D3"/>
    <w:rsid w:val="00AE276A"/>
    <w:rsid w:val="00AE3085"/>
    <w:rsid w:val="00AE36EF"/>
    <w:rsid w:val="00AE3848"/>
    <w:rsid w:val="00AE4085"/>
    <w:rsid w:val="00AE4BC8"/>
    <w:rsid w:val="00AE57A3"/>
    <w:rsid w:val="00AE67FB"/>
    <w:rsid w:val="00AE75C5"/>
    <w:rsid w:val="00AE75D7"/>
    <w:rsid w:val="00AF0606"/>
    <w:rsid w:val="00AF071B"/>
    <w:rsid w:val="00AF37D8"/>
    <w:rsid w:val="00AF4AEF"/>
    <w:rsid w:val="00B037E8"/>
    <w:rsid w:val="00B04AAC"/>
    <w:rsid w:val="00B05683"/>
    <w:rsid w:val="00B059F3"/>
    <w:rsid w:val="00B073C6"/>
    <w:rsid w:val="00B10AFC"/>
    <w:rsid w:val="00B128FD"/>
    <w:rsid w:val="00B143B8"/>
    <w:rsid w:val="00B1778B"/>
    <w:rsid w:val="00B2025B"/>
    <w:rsid w:val="00B217F6"/>
    <w:rsid w:val="00B247D8"/>
    <w:rsid w:val="00B2500C"/>
    <w:rsid w:val="00B26419"/>
    <w:rsid w:val="00B300C4"/>
    <w:rsid w:val="00B30CF5"/>
    <w:rsid w:val="00B31D5A"/>
    <w:rsid w:val="00B32937"/>
    <w:rsid w:val="00B365B4"/>
    <w:rsid w:val="00B42BB6"/>
    <w:rsid w:val="00B431F4"/>
    <w:rsid w:val="00B43689"/>
    <w:rsid w:val="00B43FE4"/>
    <w:rsid w:val="00B465D6"/>
    <w:rsid w:val="00B467E6"/>
    <w:rsid w:val="00B46BD0"/>
    <w:rsid w:val="00B478BF"/>
    <w:rsid w:val="00B50494"/>
    <w:rsid w:val="00B52E63"/>
    <w:rsid w:val="00B535F2"/>
    <w:rsid w:val="00B5783F"/>
    <w:rsid w:val="00B615C7"/>
    <w:rsid w:val="00B63522"/>
    <w:rsid w:val="00B63828"/>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076"/>
    <w:rsid w:val="00B85766"/>
    <w:rsid w:val="00B85905"/>
    <w:rsid w:val="00B860F5"/>
    <w:rsid w:val="00B90BBD"/>
    <w:rsid w:val="00B93312"/>
    <w:rsid w:val="00B935D9"/>
    <w:rsid w:val="00B94592"/>
    <w:rsid w:val="00B96200"/>
    <w:rsid w:val="00B963C9"/>
    <w:rsid w:val="00BA115E"/>
    <w:rsid w:val="00BA11C5"/>
    <w:rsid w:val="00BA2C6E"/>
    <w:rsid w:val="00BA30B6"/>
    <w:rsid w:val="00BA41A7"/>
    <w:rsid w:val="00BA4EB5"/>
    <w:rsid w:val="00BA518B"/>
    <w:rsid w:val="00BA584D"/>
    <w:rsid w:val="00BA6649"/>
    <w:rsid w:val="00BA7B1A"/>
    <w:rsid w:val="00BB01E9"/>
    <w:rsid w:val="00BB33FF"/>
    <w:rsid w:val="00BB347B"/>
    <w:rsid w:val="00BB4C6A"/>
    <w:rsid w:val="00BB5424"/>
    <w:rsid w:val="00BB6058"/>
    <w:rsid w:val="00BC1D7E"/>
    <w:rsid w:val="00BC23DC"/>
    <w:rsid w:val="00BC2653"/>
    <w:rsid w:val="00BC2833"/>
    <w:rsid w:val="00BC4566"/>
    <w:rsid w:val="00BC56A7"/>
    <w:rsid w:val="00BC59CB"/>
    <w:rsid w:val="00BC6EFA"/>
    <w:rsid w:val="00BC75CE"/>
    <w:rsid w:val="00BD03DC"/>
    <w:rsid w:val="00BD0760"/>
    <w:rsid w:val="00BD10E1"/>
    <w:rsid w:val="00BD1ED4"/>
    <w:rsid w:val="00BD4E9A"/>
    <w:rsid w:val="00BD60C3"/>
    <w:rsid w:val="00BD646A"/>
    <w:rsid w:val="00BD6F6D"/>
    <w:rsid w:val="00BE0223"/>
    <w:rsid w:val="00BE0EBB"/>
    <w:rsid w:val="00BE1628"/>
    <w:rsid w:val="00BE25DC"/>
    <w:rsid w:val="00BE4418"/>
    <w:rsid w:val="00BE475B"/>
    <w:rsid w:val="00BE5166"/>
    <w:rsid w:val="00BE6AEE"/>
    <w:rsid w:val="00BE72A5"/>
    <w:rsid w:val="00BF0F5C"/>
    <w:rsid w:val="00BF2950"/>
    <w:rsid w:val="00BF2B75"/>
    <w:rsid w:val="00BF2CEC"/>
    <w:rsid w:val="00BF3099"/>
    <w:rsid w:val="00BF30BC"/>
    <w:rsid w:val="00BF70B0"/>
    <w:rsid w:val="00BF7733"/>
    <w:rsid w:val="00BF7A7D"/>
    <w:rsid w:val="00C006E6"/>
    <w:rsid w:val="00C02839"/>
    <w:rsid w:val="00C02A2A"/>
    <w:rsid w:val="00C04C86"/>
    <w:rsid w:val="00C05A9D"/>
    <w:rsid w:val="00C142D6"/>
    <w:rsid w:val="00C144BC"/>
    <w:rsid w:val="00C14EAB"/>
    <w:rsid w:val="00C16898"/>
    <w:rsid w:val="00C17218"/>
    <w:rsid w:val="00C20AFD"/>
    <w:rsid w:val="00C21FFE"/>
    <w:rsid w:val="00C2259A"/>
    <w:rsid w:val="00C228BA"/>
    <w:rsid w:val="00C2311A"/>
    <w:rsid w:val="00C242F2"/>
    <w:rsid w:val="00C251AD"/>
    <w:rsid w:val="00C25C2B"/>
    <w:rsid w:val="00C3056B"/>
    <w:rsid w:val="00C30F15"/>
    <w:rsid w:val="00C310A2"/>
    <w:rsid w:val="00C31764"/>
    <w:rsid w:val="00C33407"/>
    <w:rsid w:val="00C34702"/>
    <w:rsid w:val="00C3628A"/>
    <w:rsid w:val="00C4015D"/>
    <w:rsid w:val="00C40E5D"/>
    <w:rsid w:val="00C421AD"/>
    <w:rsid w:val="00C4228E"/>
    <w:rsid w:val="00C42762"/>
    <w:rsid w:val="00C4300F"/>
    <w:rsid w:val="00C44817"/>
    <w:rsid w:val="00C44B6D"/>
    <w:rsid w:val="00C4512A"/>
    <w:rsid w:val="00C513BF"/>
    <w:rsid w:val="00C53E6F"/>
    <w:rsid w:val="00C54364"/>
    <w:rsid w:val="00C577BA"/>
    <w:rsid w:val="00C60F15"/>
    <w:rsid w:val="00C62002"/>
    <w:rsid w:val="00C63F9F"/>
    <w:rsid w:val="00C64A3D"/>
    <w:rsid w:val="00C64B6A"/>
    <w:rsid w:val="00C66297"/>
    <w:rsid w:val="00C74D6D"/>
    <w:rsid w:val="00C75563"/>
    <w:rsid w:val="00C75728"/>
    <w:rsid w:val="00C765DA"/>
    <w:rsid w:val="00C774D9"/>
    <w:rsid w:val="00C817B6"/>
    <w:rsid w:val="00C8233F"/>
    <w:rsid w:val="00C829B3"/>
    <w:rsid w:val="00C84A94"/>
    <w:rsid w:val="00C84CB8"/>
    <w:rsid w:val="00C855F3"/>
    <w:rsid w:val="00C86A9B"/>
    <w:rsid w:val="00C92897"/>
    <w:rsid w:val="00C930F0"/>
    <w:rsid w:val="00C951F5"/>
    <w:rsid w:val="00C96191"/>
    <w:rsid w:val="00C97CD7"/>
    <w:rsid w:val="00CA3615"/>
    <w:rsid w:val="00CA42EF"/>
    <w:rsid w:val="00CB0F7E"/>
    <w:rsid w:val="00CB1B65"/>
    <w:rsid w:val="00CB3A53"/>
    <w:rsid w:val="00CB45CB"/>
    <w:rsid w:val="00CB57D1"/>
    <w:rsid w:val="00CB5A47"/>
    <w:rsid w:val="00CC10A7"/>
    <w:rsid w:val="00CC1C7C"/>
    <w:rsid w:val="00CC223A"/>
    <w:rsid w:val="00CC24EB"/>
    <w:rsid w:val="00CC69A5"/>
    <w:rsid w:val="00CC7E85"/>
    <w:rsid w:val="00CD12B9"/>
    <w:rsid w:val="00CD18DB"/>
    <w:rsid w:val="00CD22E8"/>
    <w:rsid w:val="00CD5D52"/>
    <w:rsid w:val="00CD754E"/>
    <w:rsid w:val="00CD7584"/>
    <w:rsid w:val="00CE10DA"/>
    <w:rsid w:val="00CE17BF"/>
    <w:rsid w:val="00CE2E92"/>
    <w:rsid w:val="00CE3A94"/>
    <w:rsid w:val="00CE3D01"/>
    <w:rsid w:val="00CE522C"/>
    <w:rsid w:val="00CE654B"/>
    <w:rsid w:val="00CE6B6F"/>
    <w:rsid w:val="00CF0A00"/>
    <w:rsid w:val="00CF2D76"/>
    <w:rsid w:val="00CF2E07"/>
    <w:rsid w:val="00CF3942"/>
    <w:rsid w:val="00CF515C"/>
    <w:rsid w:val="00CF6590"/>
    <w:rsid w:val="00D04B1F"/>
    <w:rsid w:val="00D04E1F"/>
    <w:rsid w:val="00D05225"/>
    <w:rsid w:val="00D05278"/>
    <w:rsid w:val="00D07A7F"/>
    <w:rsid w:val="00D10621"/>
    <w:rsid w:val="00D129CF"/>
    <w:rsid w:val="00D132C0"/>
    <w:rsid w:val="00D165D2"/>
    <w:rsid w:val="00D20BBE"/>
    <w:rsid w:val="00D21F65"/>
    <w:rsid w:val="00D224BE"/>
    <w:rsid w:val="00D24590"/>
    <w:rsid w:val="00D24AFE"/>
    <w:rsid w:val="00D2642C"/>
    <w:rsid w:val="00D26642"/>
    <w:rsid w:val="00D3075D"/>
    <w:rsid w:val="00D313CF"/>
    <w:rsid w:val="00D32AEC"/>
    <w:rsid w:val="00D3308C"/>
    <w:rsid w:val="00D332A5"/>
    <w:rsid w:val="00D333AA"/>
    <w:rsid w:val="00D35567"/>
    <w:rsid w:val="00D415F5"/>
    <w:rsid w:val="00D418FB"/>
    <w:rsid w:val="00D44D10"/>
    <w:rsid w:val="00D46695"/>
    <w:rsid w:val="00D46A63"/>
    <w:rsid w:val="00D46DAB"/>
    <w:rsid w:val="00D50B3E"/>
    <w:rsid w:val="00D55961"/>
    <w:rsid w:val="00D577C0"/>
    <w:rsid w:val="00D60C11"/>
    <w:rsid w:val="00D60EE3"/>
    <w:rsid w:val="00D61633"/>
    <w:rsid w:val="00D62ED7"/>
    <w:rsid w:val="00D63746"/>
    <w:rsid w:val="00D63F45"/>
    <w:rsid w:val="00D6726F"/>
    <w:rsid w:val="00D67640"/>
    <w:rsid w:val="00D72572"/>
    <w:rsid w:val="00D72A07"/>
    <w:rsid w:val="00D72B0C"/>
    <w:rsid w:val="00D733D9"/>
    <w:rsid w:val="00D77973"/>
    <w:rsid w:val="00D77E13"/>
    <w:rsid w:val="00D8089A"/>
    <w:rsid w:val="00D81FE9"/>
    <w:rsid w:val="00D82212"/>
    <w:rsid w:val="00D824C6"/>
    <w:rsid w:val="00D8292A"/>
    <w:rsid w:val="00D82B77"/>
    <w:rsid w:val="00D83AC4"/>
    <w:rsid w:val="00D84239"/>
    <w:rsid w:val="00D863CD"/>
    <w:rsid w:val="00D8641B"/>
    <w:rsid w:val="00D90334"/>
    <w:rsid w:val="00D90774"/>
    <w:rsid w:val="00D90AF8"/>
    <w:rsid w:val="00D911FC"/>
    <w:rsid w:val="00D91247"/>
    <w:rsid w:val="00D91355"/>
    <w:rsid w:val="00D944D2"/>
    <w:rsid w:val="00D95388"/>
    <w:rsid w:val="00D96E15"/>
    <w:rsid w:val="00DA2F3F"/>
    <w:rsid w:val="00DA639C"/>
    <w:rsid w:val="00DA6A8C"/>
    <w:rsid w:val="00DA705A"/>
    <w:rsid w:val="00DA78E7"/>
    <w:rsid w:val="00DB077F"/>
    <w:rsid w:val="00DB1FE1"/>
    <w:rsid w:val="00DB2A5E"/>
    <w:rsid w:val="00DB2AA8"/>
    <w:rsid w:val="00DB3AFA"/>
    <w:rsid w:val="00DB3E3C"/>
    <w:rsid w:val="00DB4924"/>
    <w:rsid w:val="00DB6976"/>
    <w:rsid w:val="00DB6C40"/>
    <w:rsid w:val="00DC04A5"/>
    <w:rsid w:val="00DC07BB"/>
    <w:rsid w:val="00DC1C9F"/>
    <w:rsid w:val="00DC326B"/>
    <w:rsid w:val="00DC3B81"/>
    <w:rsid w:val="00DC3C41"/>
    <w:rsid w:val="00DC3E2D"/>
    <w:rsid w:val="00DC5814"/>
    <w:rsid w:val="00DD14FA"/>
    <w:rsid w:val="00DD310A"/>
    <w:rsid w:val="00DD3173"/>
    <w:rsid w:val="00DD775F"/>
    <w:rsid w:val="00DE3197"/>
    <w:rsid w:val="00DE534A"/>
    <w:rsid w:val="00DE7067"/>
    <w:rsid w:val="00DE7850"/>
    <w:rsid w:val="00DE79ED"/>
    <w:rsid w:val="00DE7E62"/>
    <w:rsid w:val="00DF15DC"/>
    <w:rsid w:val="00DF20A7"/>
    <w:rsid w:val="00DF26F9"/>
    <w:rsid w:val="00DF3377"/>
    <w:rsid w:val="00DF56EC"/>
    <w:rsid w:val="00DF62E8"/>
    <w:rsid w:val="00DF7105"/>
    <w:rsid w:val="00E029D0"/>
    <w:rsid w:val="00E02C91"/>
    <w:rsid w:val="00E04853"/>
    <w:rsid w:val="00E05BB2"/>
    <w:rsid w:val="00E06203"/>
    <w:rsid w:val="00E120CF"/>
    <w:rsid w:val="00E13506"/>
    <w:rsid w:val="00E13C04"/>
    <w:rsid w:val="00E14655"/>
    <w:rsid w:val="00E15BDB"/>
    <w:rsid w:val="00E172A1"/>
    <w:rsid w:val="00E241F5"/>
    <w:rsid w:val="00E24D67"/>
    <w:rsid w:val="00E32972"/>
    <w:rsid w:val="00E33C65"/>
    <w:rsid w:val="00E35456"/>
    <w:rsid w:val="00E363F0"/>
    <w:rsid w:val="00E36451"/>
    <w:rsid w:val="00E40C84"/>
    <w:rsid w:val="00E411BD"/>
    <w:rsid w:val="00E41A3E"/>
    <w:rsid w:val="00E423BF"/>
    <w:rsid w:val="00E42699"/>
    <w:rsid w:val="00E430EA"/>
    <w:rsid w:val="00E43345"/>
    <w:rsid w:val="00E4351A"/>
    <w:rsid w:val="00E44197"/>
    <w:rsid w:val="00E44B62"/>
    <w:rsid w:val="00E45C32"/>
    <w:rsid w:val="00E45D20"/>
    <w:rsid w:val="00E5017D"/>
    <w:rsid w:val="00E506FB"/>
    <w:rsid w:val="00E535D9"/>
    <w:rsid w:val="00E541EA"/>
    <w:rsid w:val="00E55822"/>
    <w:rsid w:val="00E56426"/>
    <w:rsid w:val="00E62725"/>
    <w:rsid w:val="00E63441"/>
    <w:rsid w:val="00E67025"/>
    <w:rsid w:val="00E67709"/>
    <w:rsid w:val="00E73043"/>
    <w:rsid w:val="00E8047E"/>
    <w:rsid w:val="00E83545"/>
    <w:rsid w:val="00E83FA9"/>
    <w:rsid w:val="00E8576B"/>
    <w:rsid w:val="00E8637D"/>
    <w:rsid w:val="00E903C1"/>
    <w:rsid w:val="00E97290"/>
    <w:rsid w:val="00E975F8"/>
    <w:rsid w:val="00EA10BE"/>
    <w:rsid w:val="00EA13AF"/>
    <w:rsid w:val="00EA2FC2"/>
    <w:rsid w:val="00EA6D5D"/>
    <w:rsid w:val="00EB0336"/>
    <w:rsid w:val="00EB05AA"/>
    <w:rsid w:val="00EB0C3E"/>
    <w:rsid w:val="00EB12D8"/>
    <w:rsid w:val="00EB1B72"/>
    <w:rsid w:val="00EB69C5"/>
    <w:rsid w:val="00EB6D6B"/>
    <w:rsid w:val="00EC012C"/>
    <w:rsid w:val="00EC2C4D"/>
    <w:rsid w:val="00EC2E95"/>
    <w:rsid w:val="00EC62DD"/>
    <w:rsid w:val="00EC7B88"/>
    <w:rsid w:val="00EC7D84"/>
    <w:rsid w:val="00ED0384"/>
    <w:rsid w:val="00ED0680"/>
    <w:rsid w:val="00ED072D"/>
    <w:rsid w:val="00ED1059"/>
    <w:rsid w:val="00ED14CA"/>
    <w:rsid w:val="00ED6F27"/>
    <w:rsid w:val="00ED75F0"/>
    <w:rsid w:val="00EE0DEF"/>
    <w:rsid w:val="00EE150A"/>
    <w:rsid w:val="00EE2EAD"/>
    <w:rsid w:val="00EE3391"/>
    <w:rsid w:val="00EE466B"/>
    <w:rsid w:val="00EE4B27"/>
    <w:rsid w:val="00EE56A6"/>
    <w:rsid w:val="00EE5B8E"/>
    <w:rsid w:val="00EE65CF"/>
    <w:rsid w:val="00EF0987"/>
    <w:rsid w:val="00EF169D"/>
    <w:rsid w:val="00EF1E72"/>
    <w:rsid w:val="00EF353E"/>
    <w:rsid w:val="00EF3553"/>
    <w:rsid w:val="00EF4577"/>
    <w:rsid w:val="00EF5FFC"/>
    <w:rsid w:val="00EF7C78"/>
    <w:rsid w:val="00EF7CED"/>
    <w:rsid w:val="00EF7D5A"/>
    <w:rsid w:val="00EF7EB3"/>
    <w:rsid w:val="00F01E13"/>
    <w:rsid w:val="00F025CB"/>
    <w:rsid w:val="00F0287A"/>
    <w:rsid w:val="00F0296C"/>
    <w:rsid w:val="00F02BAF"/>
    <w:rsid w:val="00F07F0E"/>
    <w:rsid w:val="00F10108"/>
    <w:rsid w:val="00F11A5B"/>
    <w:rsid w:val="00F13042"/>
    <w:rsid w:val="00F13677"/>
    <w:rsid w:val="00F147A1"/>
    <w:rsid w:val="00F14DEA"/>
    <w:rsid w:val="00F15787"/>
    <w:rsid w:val="00F16F4D"/>
    <w:rsid w:val="00F1734D"/>
    <w:rsid w:val="00F2000B"/>
    <w:rsid w:val="00F2009F"/>
    <w:rsid w:val="00F215B9"/>
    <w:rsid w:val="00F21C42"/>
    <w:rsid w:val="00F222F0"/>
    <w:rsid w:val="00F24D2F"/>
    <w:rsid w:val="00F25EC2"/>
    <w:rsid w:val="00F2697E"/>
    <w:rsid w:val="00F302F8"/>
    <w:rsid w:val="00F312ED"/>
    <w:rsid w:val="00F31961"/>
    <w:rsid w:val="00F32A44"/>
    <w:rsid w:val="00F32F14"/>
    <w:rsid w:val="00F3327E"/>
    <w:rsid w:val="00F36025"/>
    <w:rsid w:val="00F41C6F"/>
    <w:rsid w:val="00F431F9"/>
    <w:rsid w:val="00F44519"/>
    <w:rsid w:val="00F469DD"/>
    <w:rsid w:val="00F47702"/>
    <w:rsid w:val="00F478A2"/>
    <w:rsid w:val="00F5602B"/>
    <w:rsid w:val="00F5608E"/>
    <w:rsid w:val="00F56590"/>
    <w:rsid w:val="00F57036"/>
    <w:rsid w:val="00F623B8"/>
    <w:rsid w:val="00F637A6"/>
    <w:rsid w:val="00F654F8"/>
    <w:rsid w:val="00F66FEE"/>
    <w:rsid w:val="00F70606"/>
    <w:rsid w:val="00F708E8"/>
    <w:rsid w:val="00F71A0F"/>
    <w:rsid w:val="00F757ED"/>
    <w:rsid w:val="00F75AD0"/>
    <w:rsid w:val="00F77541"/>
    <w:rsid w:val="00F778DD"/>
    <w:rsid w:val="00F81C34"/>
    <w:rsid w:val="00F846F4"/>
    <w:rsid w:val="00F85998"/>
    <w:rsid w:val="00F87391"/>
    <w:rsid w:val="00F87DB6"/>
    <w:rsid w:val="00F91CD8"/>
    <w:rsid w:val="00F9221B"/>
    <w:rsid w:val="00F94E80"/>
    <w:rsid w:val="00FA0FC6"/>
    <w:rsid w:val="00FA128C"/>
    <w:rsid w:val="00FA151A"/>
    <w:rsid w:val="00FA2B29"/>
    <w:rsid w:val="00FA30D7"/>
    <w:rsid w:val="00FA4A15"/>
    <w:rsid w:val="00FA4AB9"/>
    <w:rsid w:val="00FA5164"/>
    <w:rsid w:val="00FA5F5C"/>
    <w:rsid w:val="00FA64C5"/>
    <w:rsid w:val="00FA6612"/>
    <w:rsid w:val="00FA7F8A"/>
    <w:rsid w:val="00FB0DF3"/>
    <w:rsid w:val="00FB1B28"/>
    <w:rsid w:val="00FB3C2D"/>
    <w:rsid w:val="00FB5C1F"/>
    <w:rsid w:val="00FB7279"/>
    <w:rsid w:val="00FC2DDB"/>
    <w:rsid w:val="00FC2DE3"/>
    <w:rsid w:val="00FC4787"/>
    <w:rsid w:val="00FC4B37"/>
    <w:rsid w:val="00FC5572"/>
    <w:rsid w:val="00FC5616"/>
    <w:rsid w:val="00FC6945"/>
    <w:rsid w:val="00FC6A15"/>
    <w:rsid w:val="00FC7B66"/>
    <w:rsid w:val="00FD0461"/>
    <w:rsid w:val="00FD1094"/>
    <w:rsid w:val="00FD1184"/>
    <w:rsid w:val="00FD37DA"/>
    <w:rsid w:val="00FD53BE"/>
    <w:rsid w:val="00FD7760"/>
    <w:rsid w:val="00FD7844"/>
    <w:rsid w:val="00FE3B0D"/>
    <w:rsid w:val="00FE591C"/>
    <w:rsid w:val="00FE676A"/>
    <w:rsid w:val="00FE6F62"/>
    <w:rsid w:val="00FF0DA9"/>
    <w:rsid w:val="00FF1F34"/>
    <w:rsid w:val="00FF4474"/>
    <w:rsid w:val="00FF77B3"/>
    <w:rsid w:val="0BA49420"/>
    <w:rsid w:val="0FDCB44A"/>
    <w:rsid w:val="13B143B6"/>
    <w:rsid w:val="19A34AB2"/>
    <w:rsid w:val="1D3EFD9F"/>
    <w:rsid w:val="25CB468E"/>
    <w:rsid w:val="2895AF48"/>
    <w:rsid w:val="39726EA6"/>
    <w:rsid w:val="40B6B448"/>
    <w:rsid w:val="4369A7B2"/>
    <w:rsid w:val="45F56D9E"/>
    <w:rsid w:val="486708AD"/>
    <w:rsid w:val="4B3889D9"/>
    <w:rsid w:val="5762C5F1"/>
    <w:rsid w:val="5B090198"/>
    <w:rsid w:val="5C84F490"/>
    <w:rsid w:val="5E29D9F0"/>
    <w:rsid w:val="6379E3BB"/>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tabs>
        <w:tab w:val="clear" w:pos="643"/>
      </w:tabs>
      <w:ind w:left="360"/>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unhideWhenUsed/>
    <w:rsid w:val="00E56426"/>
    <w:pPr>
      <w:spacing w:line="240" w:lineRule="auto"/>
    </w:pPr>
    <w:rPr>
      <w:sz w:val="20"/>
      <w:szCs w:val="20"/>
    </w:rPr>
  </w:style>
  <w:style w:type="character" w:customStyle="1" w:styleId="TextodecomentrioChar">
    <w:name w:val="Texto de comentário Char"/>
    <w:basedOn w:val="Fontepargpadro"/>
    <w:link w:val="Textodecomentrio"/>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paragraph" w:customStyle="1" w:styleId="SNEvonikStandard">
    <w:name w:val="_SN_Evonik Standard"/>
    <w:basedOn w:val="Normal"/>
    <w:link w:val="SNEvonikStandardZchn"/>
    <w:uiPriority w:val="99"/>
    <w:qFormat/>
    <w:rsid w:val="00663315"/>
    <w:pPr>
      <w:spacing w:line="300" w:lineRule="atLeast"/>
      <w:jc w:val="both"/>
    </w:pPr>
    <w:rPr>
      <w:rFonts w:ascii="Evonik Prokyon" w:hAnsi="Evonik Prokyon"/>
      <w:sz w:val="18"/>
      <w:szCs w:val="20"/>
      <w:lang w:eastAsia="en-US"/>
    </w:rPr>
  </w:style>
  <w:style w:type="character" w:customStyle="1" w:styleId="SNEvonikStandardZchn">
    <w:name w:val="_SN_Evonik Standard Zchn"/>
    <w:link w:val="SNEvonikStandard"/>
    <w:uiPriority w:val="99"/>
    <w:locked/>
    <w:rsid w:val="00663315"/>
    <w:rPr>
      <w:rFonts w:ascii="Evonik Prokyon" w:hAnsi="Evonik Prokyon"/>
      <w:sz w:val="18"/>
      <w:lang w:eastAsia="en-US"/>
    </w:rPr>
  </w:style>
  <w:style w:type="paragraph" w:customStyle="1" w:styleId="TBodyindent5Text">
    <w:name w:val="T_Body_indent5_Text"/>
    <w:rsid w:val="00325294"/>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325294"/>
    <w:pPr>
      <w:spacing w:after="40" w:line="220" w:lineRule="exact"/>
      <w:ind w:right="57"/>
      <w:jc w:val="right"/>
    </w:pPr>
    <w:rPr>
      <w:rFonts w:ascii="Evonik Prokyon" w:eastAsia="Calibri" w:hAnsi="Evonik Prokyon"/>
      <w:color w:val="6F6F6E"/>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rg2.Wagner@evonik.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746ADB6B62D474FBF8C3ABAD79E67C4" ma:contentTypeVersion="6" ma:contentTypeDescription="Ein neues Dokument erstellen." ma:contentTypeScope="" ma:versionID="59a9b32885bbc1bbddea396591acad40">
  <xsd:schema xmlns:xsd="http://www.w3.org/2001/XMLSchema" xmlns:xs="http://www.w3.org/2001/XMLSchema" xmlns:p="http://schemas.microsoft.com/office/2006/metadata/properties" xmlns:ns2="1e13ff23-327b-43f9-9bef-8526e74038f5" xmlns:ns3="03ec6e89-3e05-4b10-b60c-f66ee03cf7f6" targetNamespace="http://schemas.microsoft.com/office/2006/metadata/properties" ma:root="true" ma:fieldsID="7035216a2e3d891d39e952441898988a" ns2:_="" ns3:_="">
    <xsd:import namespace="1e13ff23-327b-43f9-9bef-8526e74038f5"/>
    <xsd:import namespace="03ec6e89-3e05-4b10-b60c-f66ee03cf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ff23-327b-43f9-9bef-8526e740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c6e89-3e05-4b10-b60c-f66ee03cf7f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3.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4.xml><?xml version="1.0" encoding="utf-8"?>
<ds:datastoreItem xmlns:ds="http://schemas.openxmlformats.org/officeDocument/2006/customXml" ds:itemID="{EFEF7B06-EBDE-4E9F-B746-FB186438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ff23-327b-43f9-9bef-8526e74038f5"/>
    <ds:schemaRef ds:uri="03ec6e89-3e05-4b10-b60c-f66ee03cf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10922</Characters>
  <Application>Microsoft Office Word</Application>
  <DocSecurity>0</DocSecurity>
  <Lines>91</Lines>
  <Paragraphs>25</Paragraphs>
  <ScaleCrop>false</ScaleCrop>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presse@evonik.com</dc:creator>
  <cp:keywords/>
  <dc:description/>
  <cp:lastModifiedBy>Taís Augusto</cp:lastModifiedBy>
  <cp:revision>2</cp:revision>
  <cp:lastPrinted>2024-02-28T13:55:00Z</cp:lastPrinted>
  <dcterms:created xsi:type="dcterms:W3CDTF">2024-03-04T13:17:00Z</dcterms:created>
  <dcterms:modified xsi:type="dcterms:W3CDTF">2024-03-04T13:17:00Z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0x0101003746ADB6B62D474FBF8C3ABAD79E67C4</vt:lpwstr>
  </property>
  <property fmtid="{D5CDD505-2E9C-101B-9397-08002B2CF9AE}" pid="10" name="MediaServiceImageTags">
    <vt:lpwstr/>
  </property>
  <property fmtid="{D5CDD505-2E9C-101B-9397-08002B2CF9AE}" pid="11" name="43b072f0-0f82-4aac-be1e-8abeffc32f66">
    <vt:bool>false</vt:bool>
  </property>
</Properties>
</file>