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B7F3A" w14:paraId="2BF09F07" w14:textId="77777777" w:rsidTr="00D81410">
        <w:trPr>
          <w:trHeight w:val="851"/>
        </w:trPr>
        <w:tc>
          <w:tcPr>
            <w:tcW w:w="2552" w:type="dxa"/>
            <w:shd w:val="clear" w:color="auto" w:fill="auto"/>
          </w:tcPr>
          <w:p w14:paraId="2FE442A2" w14:textId="455D0281" w:rsidR="004F1918" w:rsidRPr="008D6243" w:rsidRDefault="00587E71" w:rsidP="004F1918">
            <w:pPr>
              <w:pStyle w:val="M7"/>
              <w:framePr w:wrap="auto" w:vAnchor="margin" w:hAnchor="text" w:xAlign="left" w:yAlign="inline"/>
              <w:suppressOverlap w:val="0"/>
              <w:rPr>
                <w:b w:val="0"/>
                <w:noProof/>
                <w:sz w:val="18"/>
                <w:szCs w:val="18"/>
                <w:lang w:val="pt-BR"/>
              </w:rPr>
            </w:pPr>
            <w:r>
              <w:rPr>
                <w:b w:val="0"/>
                <w:noProof/>
                <w:sz w:val="18"/>
                <w:szCs w:val="18"/>
                <w:lang w:val="pt-BR"/>
              </w:rPr>
              <w:t>14</w:t>
            </w:r>
            <w:r w:rsidRPr="005C4BE1">
              <w:rPr>
                <w:b w:val="0"/>
                <w:noProof/>
                <w:sz w:val="18"/>
                <w:szCs w:val="18"/>
                <w:lang w:val="pt-BR"/>
              </w:rPr>
              <w:t xml:space="preserve"> de </w:t>
            </w:r>
            <w:r>
              <w:rPr>
                <w:b w:val="0"/>
                <w:noProof/>
                <w:sz w:val="18"/>
                <w:szCs w:val="18"/>
                <w:lang w:val="pt-BR"/>
              </w:rPr>
              <w:t>outubro</w:t>
            </w:r>
            <w:r w:rsidRPr="005C4BE1">
              <w:rPr>
                <w:b w:val="0"/>
                <w:noProof/>
                <w:sz w:val="18"/>
                <w:szCs w:val="18"/>
                <w:lang w:val="pt-BR"/>
              </w:rPr>
              <w:t xml:space="preserve"> de 2022</w:t>
            </w:r>
          </w:p>
          <w:p w14:paraId="62DD01BD" w14:textId="77777777" w:rsidR="004F1918" w:rsidRPr="008D6243" w:rsidRDefault="004F1918" w:rsidP="004F1918">
            <w:pPr>
              <w:pStyle w:val="M7"/>
              <w:framePr w:wrap="auto" w:vAnchor="margin" w:hAnchor="text" w:xAlign="left" w:yAlign="inline"/>
              <w:suppressOverlap w:val="0"/>
              <w:rPr>
                <w:noProof/>
                <w:lang w:val="pt-BR"/>
              </w:rPr>
            </w:pPr>
          </w:p>
          <w:p w14:paraId="5398950A" w14:textId="77777777" w:rsidR="004F1918" w:rsidRPr="008D6243" w:rsidRDefault="004F1918" w:rsidP="004F1918">
            <w:pPr>
              <w:pStyle w:val="M7"/>
              <w:framePr w:wrap="auto" w:vAnchor="margin" w:hAnchor="text" w:xAlign="left" w:yAlign="inline"/>
              <w:suppressOverlap w:val="0"/>
              <w:rPr>
                <w:noProof/>
                <w:lang w:val="pt-BR"/>
              </w:rPr>
            </w:pPr>
          </w:p>
          <w:p w14:paraId="1F9A7142" w14:textId="77777777" w:rsidR="00840CD4" w:rsidRPr="008D6243" w:rsidRDefault="00093F4C" w:rsidP="004F1918">
            <w:pPr>
              <w:pStyle w:val="M7"/>
              <w:framePr w:wrap="auto" w:vAnchor="margin" w:hAnchor="text" w:xAlign="left" w:yAlign="inline"/>
              <w:suppressOverlap w:val="0"/>
              <w:rPr>
                <w:noProof/>
                <w:lang w:val="pt-BR"/>
              </w:rPr>
            </w:pPr>
            <w:r w:rsidRPr="005C4BE1">
              <w:rPr>
                <w:rFonts w:eastAsia="Lucida Sans Unicode" w:cs="Lucida Sans Unicode"/>
                <w:noProof/>
                <w:szCs w:val="13"/>
                <w:bdr w:val="nil"/>
                <w:lang w:val="pt-BR"/>
              </w:rPr>
              <w:t>Regina Bárbara</w:t>
            </w:r>
          </w:p>
          <w:p w14:paraId="02F7B58A" w14:textId="77777777" w:rsidR="004F1918" w:rsidRPr="005C4BE1" w:rsidRDefault="00093F4C" w:rsidP="00840CD4">
            <w:pPr>
              <w:pStyle w:val="M7"/>
              <w:framePr w:wrap="auto" w:vAnchor="margin" w:hAnchor="text" w:xAlign="left" w:yAlign="inline"/>
              <w:suppressOverlap w:val="0"/>
              <w:rPr>
                <w:b w:val="0"/>
                <w:noProof/>
                <w:lang w:val="es-ES"/>
              </w:rPr>
            </w:pPr>
            <w:r w:rsidRPr="008D6243">
              <w:rPr>
                <w:rFonts w:eastAsia="Lucida Sans Unicode" w:cs="Lucida Sans Unicode"/>
                <w:b w:val="0"/>
                <w:bCs w:val="0"/>
                <w:noProof/>
                <w:szCs w:val="13"/>
                <w:bdr w:val="nil"/>
                <w:lang w:val="es-AR"/>
              </w:rPr>
              <w:t>Comunicación &amp; Eventos</w:t>
            </w:r>
            <w:r w:rsidRPr="008D6243">
              <w:rPr>
                <w:rFonts w:eastAsia="Lucida Sans Unicode" w:cs="Lucida Sans Unicode"/>
                <w:b w:val="0"/>
                <w:bCs w:val="0"/>
                <w:noProof/>
                <w:szCs w:val="13"/>
                <w:bdr w:val="nil"/>
                <w:lang w:val="es-AR"/>
              </w:rPr>
              <w:br/>
              <w:t xml:space="preserve">América Central y del Sur </w:t>
            </w:r>
            <w:r w:rsidRPr="008D6243">
              <w:rPr>
                <w:rFonts w:eastAsia="Lucida Sans Unicode" w:cs="Lucida Sans Unicode"/>
                <w:b w:val="0"/>
                <w:bCs w:val="0"/>
                <w:noProof/>
                <w:szCs w:val="13"/>
                <w:bdr w:val="nil"/>
                <w:lang w:val="es-AR"/>
              </w:rPr>
              <w:br/>
              <w:t>Teléfono +55 11 3146-4170</w:t>
            </w:r>
          </w:p>
          <w:p w14:paraId="73FC2A53" w14:textId="77777777" w:rsidR="004F1918" w:rsidRPr="008D6243" w:rsidRDefault="00093F4C" w:rsidP="004F1918">
            <w:pPr>
              <w:pStyle w:val="M10"/>
              <w:framePr w:wrap="auto" w:vAnchor="margin" w:hAnchor="text" w:xAlign="left" w:yAlign="inline"/>
              <w:suppressOverlap w:val="0"/>
              <w:rPr>
                <w:noProof/>
                <w:lang w:val="pt-BR"/>
              </w:rPr>
            </w:pPr>
            <w:r w:rsidRPr="008D6243">
              <w:rPr>
                <w:rFonts w:eastAsia="Lucida Sans Unicode" w:cs="Lucida Sans Unicode"/>
                <w:noProof/>
                <w:szCs w:val="13"/>
                <w:bdr w:val="nil"/>
                <w:lang w:val="es-AR"/>
              </w:rPr>
              <w:t xml:space="preserve">regina.barbara@evonik.com </w:t>
            </w:r>
          </w:p>
        </w:tc>
      </w:tr>
      <w:tr w:rsidR="007B7F3A" w14:paraId="42DE85D4" w14:textId="77777777" w:rsidTr="00D81410">
        <w:trPr>
          <w:trHeight w:val="851"/>
        </w:trPr>
        <w:tc>
          <w:tcPr>
            <w:tcW w:w="2552" w:type="dxa"/>
            <w:shd w:val="clear" w:color="auto" w:fill="auto"/>
          </w:tcPr>
          <w:p w14:paraId="49119719" w14:textId="77777777" w:rsidR="004F1918" w:rsidRPr="008D6243" w:rsidRDefault="004F1918" w:rsidP="008F5C81">
            <w:pPr>
              <w:pStyle w:val="M10"/>
              <w:framePr w:wrap="auto" w:vAnchor="margin" w:hAnchor="text" w:xAlign="left" w:yAlign="inline"/>
              <w:suppressOverlap w:val="0"/>
              <w:rPr>
                <w:noProof/>
                <w:lang w:val="pt-BR"/>
              </w:rPr>
            </w:pPr>
          </w:p>
        </w:tc>
      </w:tr>
    </w:tbl>
    <w:p w14:paraId="6DC0F77F" w14:textId="77777777" w:rsidR="00D04B00" w:rsidRPr="008D6243" w:rsidRDefault="00093F4C" w:rsidP="00D04B00">
      <w:pPr>
        <w:framePr w:w="2659" w:wrap="around" w:hAnchor="page" w:x="8971" w:yAlign="bottom" w:anchorLock="1"/>
        <w:tabs>
          <w:tab w:val="left" w:pos="518"/>
        </w:tabs>
        <w:spacing w:line="180" w:lineRule="exact"/>
        <w:rPr>
          <w:noProof/>
          <w:sz w:val="13"/>
        </w:rPr>
      </w:pPr>
      <w:r w:rsidRPr="008D6243">
        <w:rPr>
          <w:rFonts w:eastAsia="Lucida Sans Unicode" w:cs="Lucida Sans Unicode"/>
          <w:b/>
          <w:bCs/>
          <w:noProof/>
          <w:sz w:val="13"/>
          <w:szCs w:val="13"/>
          <w:bdr w:val="nil"/>
          <w:lang w:val="es-AR"/>
        </w:rPr>
        <w:t>Evonik Brasil Ltda.</w:t>
      </w:r>
    </w:p>
    <w:p w14:paraId="1EE3A90B" w14:textId="77777777" w:rsidR="00D04B00" w:rsidRPr="008D6243"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5C4BE1">
        <w:rPr>
          <w:rFonts w:eastAsia="Lucida Sans Unicode" w:cs="Lucida Sans Unicode"/>
          <w:noProof/>
          <w:sz w:val="13"/>
          <w:szCs w:val="13"/>
          <w:bdr w:val="nil"/>
        </w:rPr>
        <w:t>Rua Arq. Olavo Redig de Campos, 105</w:t>
      </w:r>
    </w:p>
    <w:p w14:paraId="1ED8BFAC" w14:textId="77777777" w:rsidR="00D04B00" w:rsidRPr="008D6243"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5C4BE1">
        <w:rPr>
          <w:rFonts w:eastAsia="Lucida Sans Unicode" w:cs="Lucida Sans Unicode"/>
          <w:noProof/>
          <w:sz w:val="13"/>
          <w:szCs w:val="13"/>
          <w:bdr w:val="nil"/>
        </w:rPr>
        <w:t>Torre A – 04711-904 - São Paulo – SP Brasil</w:t>
      </w:r>
    </w:p>
    <w:p w14:paraId="7C3DF78E" w14:textId="77777777" w:rsidR="00D04B00" w:rsidRPr="008D6243"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704F0D20" w14:textId="77777777" w:rsidR="00D04B00" w:rsidRPr="008D6243" w:rsidRDefault="000000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hyperlink r:id="rId11" w:history="1">
        <w:r w:rsidR="002B49D6" w:rsidRPr="005C4BE1">
          <w:rPr>
            <w:rFonts w:eastAsia="Lucida Sans Unicode" w:cs="Lucida Sans Unicode"/>
            <w:noProof/>
            <w:sz w:val="13"/>
            <w:szCs w:val="13"/>
            <w:bdr w:val="nil"/>
          </w:rPr>
          <w:t>www.evonik.com.br</w:t>
        </w:r>
      </w:hyperlink>
    </w:p>
    <w:p w14:paraId="23B77F49" w14:textId="77777777" w:rsidR="00D04B00" w:rsidRPr="008D6243"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519AD455" w14:textId="77777777" w:rsidR="00D04B00" w:rsidRPr="008D6243" w:rsidRDefault="00D04B00"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p>
    <w:p w14:paraId="3BD09F4A" w14:textId="77777777" w:rsidR="00D04B00" w:rsidRPr="008D6243"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5C4BE1">
        <w:rPr>
          <w:rFonts w:eastAsia="Lucida Sans Unicode" w:cs="Lucida Sans Unicode"/>
          <w:noProof/>
          <w:sz w:val="13"/>
          <w:szCs w:val="13"/>
          <w:bdr w:val="nil"/>
        </w:rPr>
        <w:t>facebook.com/Evonik</w:t>
      </w:r>
    </w:p>
    <w:p w14:paraId="4D7BAEA0" w14:textId="77777777" w:rsidR="00D04B00" w:rsidRPr="008D6243"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5C4BE1">
        <w:rPr>
          <w:rFonts w:eastAsia="Lucida Sans Unicode" w:cs="Lucida Sans Unicode"/>
          <w:noProof/>
          <w:sz w:val="13"/>
          <w:szCs w:val="13"/>
          <w:bdr w:val="nil"/>
        </w:rPr>
        <w:t>instagram.com/Evonik.Brasil</w:t>
      </w:r>
    </w:p>
    <w:p w14:paraId="1CE71AAD" w14:textId="77777777" w:rsidR="00D04B00" w:rsidRPr="008D6243"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rPr>
      </w:pPr>
      <w:r w:rsidRPr="005C4BE1">
        <w:rPr>
          <w:rFonts w:eastAsia="Lucida Sans Unicode" w:cs="Lucida Sans Unicode"/>
          <w:noProof/>
          <w:sz w:val="13"/>
          <w:szCs w:val="13"/>
          <w:bdr w:val="nil"/>
        </w:rPr>
        <w:t>youtube.com/EvonikIndustries</w:t>
      </w:r>
    </w:p>
    <w:p w14:paraId="68F71D8F" w14:textId="77777777" w:rsidR="00D04B00" w:rsidRPr="009A6E87"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lang w:val="en-US"/>
        </w:rPr>
      </w:pPr>
      <w:r w:rsidRPr="005C4BE1">
        <w:rPr>
          <w:rFonts w:eastAsia="Lucida Sans Unicode" w:cs="Lucida Sans Unicode"/>
          <w:noProof/>
          <w:sz w:val="13"/>
          <w:szCs w:val="13"/>
          <w:bdr w:val="nil"/>
          <w:lang w:val="en-US"/>
        </w:rPr>
        <w:t>linkedin.com/company/Evonik</w:t>
      </w:r>
    </w:p>
    <w:p w14:paraId="6B35F86C" w14:textId="77777777" w:rsidR="00D04B00" w:rsidRPr="009A6E87" w:rsidRDefault="00093F4C" w:rsidP="00D04B00">
      <w:pPr>
        <w:framePr w:w="2659" w:wrap="around" w:hAnchor="page" w:x="8971" w:yAlign="bottom" w:anchorLock="1"/>
        <w:tabs>
          <w:tab w:val="left" w:pos="518"/>
        </w:tabs>
        <w:spacing w:line="180" w:lineRule="exact"/>
        <w:rPr>
          <w:rFonts w:eastAsia="Lucida Sans Unicode" w:cs="Lucida Sans Unicode"/>
          <w:noProof/>
          <w:sz w:val="13"/>
          <w:szCs w:val="13"/>
          <w:bdr w:val="nil"/>
          <w:lang w:val="en-US"/>
        </w:rPr>
      </w:pPr>
      <w:r w:rsidRPr="005C4BE1">
        <w:rPr>
          <w:rFonts w:eastAsia="Lucida Sans Unicode" w:cs="Lucida Sans Unicode"/>
          <w:noProof/>
          <w:sz w:val="13"/>
          <w:szCs w:val="13"/>
          <w:bdr w:val="nil"/>
          <w:lang w:val="en-US"/>
        </w:rPr>
        <w:t>twitter.com/Evonik_BR</w:t>
      </w:r>
    </w:p>
    <w:p w14:paraId="108842A5" w14:textId="1481D998" w:rsidR="00791F65" w:rsidRPr="005C4BE1" w:rsidRDefault="00093F4C" w:rsidP="00587E71">
      <w:pPr>
        <w:pStyle w:val="Ttulo"/>
        <w:rPr>
          <w:noProof/>
          <w:sz w:val="28"/>
          <w:szCs w:val="28"/>
          <w:lang w:val="es-ES"/>
        </w:rPr>
      </w:pPr>
      <w:r w:rsidRPr="008D6243">
        <w:rPr>
          <w:noProof/>
          <w:sz w:val="28"/>
          <w:szCs w:val="28"/>
          <w:lang w:val="es-AR"/>
        </w:rPr>
        <w:t>Evonik y Phathom Pharmaceuticals se asocian para producir el nuevo bloqueador de ácidos vonopraz</w:t>
      </w:r>
      <w:r w:rsidR="004C0DF9">
        <w:rPr>
          <w:noProof/>
          <w:sz w:val="28"/>
          <w:szCs w:val="28"/>
          <w:lang w:val="es-AR"/>
        </w:rPr>
        <w:t>án</w:t>
      </w:r>
    </w:p>
    <w:p w14:paraId="56716DB6" w14:textId="77777777" w:rsidR="00791F65" w:rsidRPr="005C4BE1" w:rsidRDefault="00791F65" w:rsidP="00587E71">
      <w:pPr>
        <w:pStyle w:val="Ttulo"/>
        <w:rPr>
          <w:noProof/>
          <w:lang w:val="es-ES"/>
        </w:rPr>
      </w:pPr>
    </w:p>
    <w:p w14:paraId="588ABAAE" w14:textId="24D0A40A" w:rsidR="00791F65" w:rsidRPr="005C4BE1" w:rsidRDefault="00093F4C" w:rsidP="00587E71">
      <w:pPr>
        <w:pStyle w:val="PargrafodaLista"/>
        <w:numPr>
          <w:ilvl w:val="0"/>
          <w:numId w:val="32"/>
        </w:numPr>
        <w:rPr>
          <w:noProof/>
          <w:lang w:val="es-ES"/>
        </w:rPr>
      </w:pPr>
      <w:r w:rsidRPr="008D6243">
        <w:rPr>
          <w:noProof/>
          <w:lang w:val="es-AR"/>
        </w:rPr>
        <w:t>Evonik producirá cantidades comerciales del activo vonopraz</w:t>
      </w:r>
      <w:r w:rsidR="004C0DF9">
        <w:rPr>
          <w:noProof/>
          <w:lang w:val="es-AR"/>
        </w:rPr>
        <w:t>án</w:t>
      </w:r>
      <w:r w:rsidRPr="008D6243">
        <w:rPr>
          <w:noProof/>
          <w:lang w:val="es-AR"/>
        </w:rPr>
        <w:t xml:space="preserve"> para su uso en VOQUEZNA™ TRIPLE PAK™ y DUAL PAK™ y también en otros productos que contengan </w:t>
      </w:r>
      <w:r w:rsidR="004C0DF9">
        <w:rPr>
          <w:noProof/>
          <w:lang w:val="es-AR"/>
        </w:rPr>
        <w:t>el activo.</w:t>
      </w:r>
    </w:p>
    <w:p w14:paraId="5D287DB3" w14:textId="77777777" w:rsidR="00791F65" w:rsidRPr="005C4BE1" w:rsidRDefault="00093F4C" w:rsidP="00587E71">
      <w:pPr>
        <w:pStyle w:val="PargrafodaLista"/>
        <w:numPr>
          <w:ilvl w:val="0"/>
          <w:numId w:val="32"/>
        </w:numPr>
        <w:rPr>
          <w:noProof/>
          <w:lang w:val="es-ES"/>
        </w:rPr>
      </w:pPr>
      <w:r w:rsidRPr="008D6243">
        <w:rPr>
          <w:noProof/>
          <w:lang w:val="es-AR"/>
        </w:rPr>
        <w:t xml:space="preserve">Seguridad de suministro mediante la producción en parques químicos de Europa y América del Norte  </w:t>
      </w:r>
    </w:p>
    <w:p w14:paraId="756B29B8" w14:textId="77777777" w:rsidR="00791F65" w:rsidRPr="005C4BE1" w:rsidRDefault="00093F4C" w:rsidP="00587E71">
      <w:pPr>
        <w:pStyle w:val="PargrafodaLista"/>
        <w:numPr>
          <w:ilvl w:val="0"/>
          <w:numId w:val="32"/>
        </w:numPr>
        <w:rPr>
          <w:noProof/>
          <w:lang w:val="es-ES"/>
        </w:rPr>
      </w:pPr>
      <w:r w:rsidRPr="008D6243">
        <w:rPr>
          <w:noProof/>
          <w:lang w:val="es-AR"/>
        </w:rPr>
        <w:t xml:space="preserve">El contrato refuerza el historial de Evonik como la principal empresa de desarrollo y fabricación por contrato (CDMO) </w:t>
      </w:r>
    </w:p>
    <w:p w14:paraId="2B2C750D" w14:textId="1C35FA50" w:rsidR="00791F65" w:rsidRDefault="00791F65" w:rsidP="00587E71">
      <w:pPr>
        <w:rPr>
          <w:noProof/>
          <w:lang w:val="es-ES"/>
        </w:rPr>
      </w:pPr>
    </w:p>
    <w:p w14:paraId="5DD094AB" w14:textId="77777777" w:rsidR="00587E71" w:rsidRPr="005C4BE1" w:rsidRDefault="00587E71" w:rsidP="00587E71">
      <w:pPr>
        <w:rPr>
          <w:noProof/>
          <w:lang w:val="es-ES"/>
        </w:rPr>
      </w:pPr>
    </w:p>
    <w:p w14:paraId="63933B47" w14:textId="315E88E9" w:rsidR="00791F65" w:rsidRPr="005C4BE1" w:rsidRDefault="00093F4C" w:rsidP="00587E71">
      <w:pPr>
        <w:rPr>
          <w:noProof/>
          <w:lang w:val="es-ES"/>
        </w:rPr>
      </w:pPr>
      <w:r w:rsidRPr="008D6243">
        <w:rPr>
          <w:noProof/>
          <w:lang w:val="es-AR"/>
        </w:rPr>
        <w:t>Evonik suscribió un acuerdo de suministro de largo plazo con Phathom Pharmaceuticals, empresa biofarmacéutica de los Estados Unidos centrada en el desarrollo y la comercialización de nuevos tratamientos para enfermedades vinculadas con el ácido gástrico. De acuerdo con el contrato, Evonik producirá grandes volúmenes de vonopraz</w:t>
      </w:r>
      <w:r w:rsidR="004C0DF9">
        <w:rPr>
          <w:noProof/>
          <w:lang w:val="es-AR"/>
        </w:rPr>
        <w:t>án</w:t>
      </w:r>
      <w:r w:rsidRPr="008D6243">
        <w:rPr>
          <w:noProof/>
          <w:lang w:val="es-AR"/>
        </w:rPr>
        <w:t xml:space="preserve"> en sus plantas inspeccionadas por la FDA en Tippecanoe e Indiana, Estados Unidos, y en Dossenheim, Alemania.  </w:t>
      </w:r>
    </w:p>
    <w:p w14:paraId="2255FE8B" w14:textId="77777777" w:rsidR="00791F65" w:rsidRPr="005C4BE1" w:rsidRDefault="00791F65" w:rsidP="00587E71">
      <w:pPr>
        <w:rPr>
          <w:noProof/>
          <w:lang w:val="es-ES"/>
        </w:rPr>
      </w:pPr>
    </w:p>
    <w:p w14:paraId="5812D59D" w14:textId="3E7AAC12" w:rsidR="00791F65" w:rsidRPr="005C4BE1" w:rsidRDefault="00093F4C" w:rsidP="00587E71">
      <w:pPr>
        <w:rPr>
          <w:noProof/>
          <w:lang w:val="es-ES"/>
        </w:rPr>
      </w:pPr>
      <w:r w:rsidRPr="008D6243">
        <w:rPr>
          <w:noProof/>
          <w:lang w:val="es-AR"/>
        </w:rPr>
        <w:t>"La fabricación de vonopraz</w:t>
      </w:r>
      <w:r w:rsidR="004C0DF9">
        <w:rPr>
          <w:noProof/>
          <w:lang w:val="es-AR"/>
        </w:rPr>
        <w:t>án</w:t>
      </w:r>
      <w:r w:rsidRPr="008D6243">
        <w:rPr>
          <w:noProof/>
          <w:lang w:val="es-AR"/>
        </w:rPr>
        <w:t xml:space="preserve"> requiere una síntesis de multietapas involucrando químicas complejas. Estamos muy contentos de poder contribuir con la combinación correcta de tecnologías y activos a esta asociación", dijo Thomas Riermeier, responsable de la línea de negocios Health Care de Evonik. "Brindamos servicios de CDMO centrados en el cliente en combinación con una excelente calidad, lo que permite a nuestro socio de confianza, Phathom, combatir las enfermedades gastrointestinales en todo el mundo"</w:t>
      </w:r>
      <w:r w:rsidR="00973718">
        <w:rPr>
          <w:noProof/>
          <w:lang w:val="es-AR"/>
        </w:rPr>
        <w:t>, concluyó el ejecutivo</w:t>
      </w:r>
      <w:r w:rsidRPr="008D6243">
        <w:rPr>
          <w:noProof/>
          <w:lang w:val="es-AR"/>
        </w:rPr>
        <w:t xml:space="preserve">.   </w:t>
      </w:r>
    </w:p>
    <w:p w14:paraId="6599CDF0" w14:textId="77777777" w:rsidR="00791F65" w:rsidRPr="005C4BE1" w:rsidRDefault="00791F65" w:rsidP="00587E71">
      <w:pPr>
        <w:rPr>
          <w:noProof/>
          <w:lang w:val="es-ES"/>
        </w:rPr>
      </w:pPr>
    </w:p>
    <w:p w14:paraId="587E4B39" w14:textId="11D0EE28" w:rsidR="00791F65" w:rsidRPr="005C4BE1" w:rsidRDefault="00093F4C" w:rsidP="00587E71">
      <w:pPr>
        <w:rPr>
          <w:noProof/>
          <w:lang w:val="es-ES"/>
        </w:rPr>
      </w:pPr>
      <w:r w:rsidRPr="00F33746">
        <w:rPr>
          <w:noProof/>
          <w:lang w:val="es-AR"/>
        </w:rPr>
        <w:t>Como una de las principales CMO de ingredientes farmacéuticos activos (IFA) e intermedios, la línea de negocios Health Care de Evonik integra la división de life science Nutrition &amp; Care y representa un importante área de crecimiento para Evonik. El contrato con Phantom se basa en el historial de la compañía de entregar</w:t>
      </w:r>
      <w:r w:rsidR="00973718">
        <w:rPr>
          <w:noProof/>
          <w:lang w:val="es-AR"/>
        </w:rPr>
        <w:t xml:space="preserve"> </w:t>
      </w:r>
      <w:r w:rsidRPr="00F33746">
        <w:rPr>
          <w:noProof/>
          <w:lang w:val="es-AR"/>
        </w:rPr>
        <w:t>IFA complejos para satisfacer las necesidades de suministro clínico y comercial de clientes de la industria biotecnológica</w:t>
      </w:r>
      <w:r w:rsidR="00973718">
        <w:rPr>
          <w:noProof/>
          <w:lang w:val="es-AR"/>
        </w:rPr>
        <w:t xml:space="preserve">, así como </w:t>
      </w:r>
      <w:r w:rsidRPr="00F33746">
        <w:rPr>
          <w:noProof/>
          <w:lang w:val="es-AR"/>
        </w:rPr>
        <w:t xml:space="preserve">grandes empresas farmacéuticas </w:t>
      </w:r>
      <w:r w:rsidR="00973718">
        <w:rPr>
          <w:noProof/>
          <w:lang w:val="es-AR"/>
        </w:rPr>
        <w:t xml:space="preserve">alrededor del </w:t>
      </w:r>
      <w:r w:rsidRPr="00F33746">
        <w:rPr>
          <w:noProof/>
          <w:lang w:val="es-AR"/>
        </w:rPr>
        <w:t xml:space="preserve">mundo. </w:t>
      </w:r>
      <w:r w:rsidR="00DD6785" w:rsidRPr="008D6243">
        <w:rPr>
          <w:rStyle w:val="tw4winMark"/>
          <w:lang w:val="es-AR"/>
          <w:specVanish w:val="0"/>
        </w:rPr>
        <w:t>&lt;0}</w:t>
      </w:r>
      <w:r w:rsidRPr="00F33746">
        <w:rPr>
          <w:noProof/>
          <w:lang w:val="es-AR"/>
        </w:rPr>
        <w:t xml:space="preserve">   </w:t>
      </w:r>
    </w:p>
    <w:p w14:paraId="0018BE26" w14:textId="4F3997F6" w:rsidR="00791F65" w:rsidRPr="005C4BE1" w:rsidRDefault="00093F4C" w:rsidP="00587E71">
      <w:pPr>
        <w:rPr>
          <w:noProof/>
          <w:szCs w:val="22"/>
          <w:lang w:val="es-ES"/>
        </w:rPr>
      </w:pPr>
      <w:r w:rsidRPr="008D6243">
        <w:rPr>
          <w:noProof/>
          <w:color w:val="000000" w:themeColor="text1"/>
          <w:szCs w:val="22"/>
          <w:lang w:val="es-AR"/>
        </w:rPr>
        <w:lastRenderedPageBreak/>
        <w:t xml:space="preserve">"Estamos entusiasmados con la asociación con Evonik, que nos ayudará a lanzar nuevas opciones de tratamiento de primera línea para pacientes que padecen enfermedades gastrointestinales", afirmó Jay Buchanan, </w:t>
      </w:r>
      <w:r w:rsidR="00973718">
        <w:rPr>
          <w:noProof/>
          <w:color w:val="000000" w:themeColor="text1"/>
          <w:szCs w:val="22"/>
          <w:lang w:val="es-AR"/>
        </w:rPr>
        <w:t>vicepresidente</w:t>
      </w:r>
      <w:r w:rsidRPr="008D6243">
        <w:rPr>
          <w:noProof/>
          <w:color w:val="000000" w:themeColor="text1"/>
          <w:szCs w:val="22"/>
          <w:lang w:val="es-AR"/>
        </w:rPr>
        <w:t xml:space="preserve"> </w:t>
      </w:r>
      <w:r w:rsidR="00973718">
        <w:rPr>
          <w:noProof/>
          <w:color w:val="000000" w:themeColor="text1"/>
          <w:szCs w:val="22"/>
          <w:lang w:val="es-AR"/>
        </w:rPr>
        <w:t xml:space="preserve">de </w:t>
      </w:r>
      <w:r w:rsidRPr="008D6243">
        <w:rPr>
          <w:noProof/>
          <w:color w:val="000000" w:themeColor="text1"/>
          <w:szCs w:val="22"/>
          <w:lang w:val="es-AR"/>
        </w:rPr>
        <w:t>Manufacturing and Supply Chain de Phathom Pharmaceuticals.</w:t>
      </w:r>
      <w:r w:rsidRPr="008D6243">
        <w:rPr>
          <w:noProof/>
          <w:szCs w:val="22"/>
          <w:lang w:val="es-AR"/>
        </w:rPr>
        <w:t xml:space="preserve"> </w:t>
      </w:r>
      <w:r w:rsidR="00973718">
        <w:rPr>
          <w:noProof/>
          <w:szCs w:val="22"/>
          <w:lang w:val="es-AR"/>
        </w:rPr>
        <w:t>“V</w:t>
      </w:r>
      <w:r w:rsidRPr="008D6243">
        <w:rPr>
          <w:noProof/>
          <w:szCs w:val="22"/>
          <w:lang w:val="es-AR"/>
        </w:rPr>
        <w:t>aloramos el compromiso de Evonik con la calidad y la experiencia en la producción de IFA, y creemos que nuestra asociación nos acerca más al cumplimiento de nuestra misión de mejorar la vida de los pacientes con enfermedades gastrointestinales</w:t>
      </w:r>
      <w:r w:rsidR="00973718">
        <w:rPr>
          <w:noProof/>
          <w:szCs w:val="22"/>
          <w:lang w:val="es-AR"/>
        </w:rPr>
        <w:t>”, agregó el ejecutivo</w:t>
      </w:r>
      <w:r w:rsidRPr="008D6243">
        <w:rPr>
          <w:noProof/>
          <w:szCs w:val="22"/>
          <w:lang w:val="es-AR"/>
        </w:rPr>
        <w:t xml:space="preserve">. </w:t>
      </w:r>
    </w:p>
    <w:p w14:paraId="5043759F" w14:textId="77777777" w:rsidR="00791F65" w:rsidRPr="005C4BE1" w:rsidRDefault="00791F65" w:rsidP="00587E71">
      <w:pPr>
        <w:rPr>
          <w:noProof/>
          <w:lang w:val="es-ES"/>
        </w:rPr>
      </w:pPr>
    </w:p>
    <w:p w14:paraId="470428FB" w14:textId="4DC32534" w:rsidR="00791F65" w:rsidRPr="005C4BE1" w:rsidRDefault="00973718" w:rsidP="00587E71">
      <w:pPr>
        <w:rPr>
          <w:noProof/>
          <w:lang w:val="es-ES"/>
        </w:rPr>
      </w:pPr>
      <w:r>
        <w:rPr>
          <w:noProof/>
          <w:lang w:val="es-AR"/>
        </w:rPr>
        <w:t xml:space="preserve">Por su parte, </w:t>
      </w:r>
      <w:r w:rsidRPr="008D6243">
        <w:rPr>
          <w:noProof/>
          <w:lang w:val="es-AR"/>
        </w:rPr>
        <w:t>Stefan Randl, responsable de la línea de productos Drug Substance en el área de Health Care de Evonik</w:t>
      </w:r>
      <w:r>
        <w:rPr>
          <w:noProof/>
          <w:lang w:val="es-AR"/>
        </w:rPr>
        <w:t xml:space="preserve">, expresó: </w:t>
      </w:r>
      <w:r w:rsidRPr="008D6243">
        <w:rPr>
          <w:noProof/>
          <w:lang w:val="es-AR"/>
        </w:rPr>
        <w:t>"Estamos orgullosos de trabajar con Phathom. Nuestra fructífera colaboración a través del desarrollo de procesos, la campaña piloto y las etapas de validación sentaron las bases de una asociación productiva para el suministro de cantidades comerciales</w:t>
      </w:r>
      <w:r>
        <w:rPr>
          <w:noProof/>
          <w:lang w:val="es-AR"/>
        </w:rPr>
        <w:t>”.</w:t>
      </w:r>
    </w:p>
    <w:p w14:paraId="05A512F5" w14:textId="77777777" w:rsidR="00791F65" w:rsidRPr="005C4BE1" w:rsidRDefault="00791F65" w:rsidP="00587E71">
      <w:pPr>
        <w:rPr>
          <w:noProof/>
          <w:lang w:val="es-ES"/>
        </w:rPr>
      </w:pPr>
    </w:p>
    <w:p w14:paraId="28D4F874" w14:textId="7F2D2C40" w:rsidR="00932516" w:rsidRPr="005C4BE1" w:rsidRDefault="00093F4C" w:rsidP="00587E71">
      <w:pPr>
        <w:rPr>
          <w:rStyle w:val="tw4winMark"/>
          <w:color w:val="auto"/>
          <w:lang w:val="es-ES"/>
        </w:rPr>
      </w:pPr>
      <w:r w:rsidRPr="009676B3">
        <w:rPr>
          <w:noProof/>
          <w:lang w:val="es-AR"/>
        </w:rPr>
        <w:t xml:space="preserve">Para suplir las necesidades específicas de proyectos grandes o complejos, Evonik estableció un amplio portfolio de tecnologías diferenciadas que se pueden combinar para apoyar la síntesis multietapas de IFA e IFA de alta potencia (HPAPI). </w:t>
      </w:r>
    </w:p>
    <w:p w14:paraId="0D4C3D81" w14:textId="77777777" w:rsidR="00932516" w:rsidRPr="005C4BE1" w:rsidRDefault="00093F4C" w:rsidP="00587E71">
      <w:pPr>
        <w:rPr>
          <w:rStyle w:val="tw4winMark"/>
          <w:lang w:val="es-ES"/>
        </w:rPr>
      </w:pPr>
      <w:r w:rsidRPr="009676B3">
        <w:rPr>
          <w:noProof/>
          <w:lang w:val="es-AR"/>
        </w:rPr>
        <w:t>Estas tecnologías incluyen reacciones catalíticas y biocatalíticas, química criogénica a gran escala, procesos continuos, fermentación, PEG y MPEG, catalizadores e IFA poliméricos.</w:t>
      </w:r>
      <w:r w:rsidRPr="008D6243">
        <w:rPr>
          <w:rStyle w:val="tw4winMark"/>
          <w:lang w:val="es-AR"/>
          <w:specVanish w:val="0"/>
        </w:rPr>
        <w:t>&lt;0}</w:t>
      </w:r>
    </w:p>
    <w:p w14:paraId="40E03CA7" w14:textId="77777777" w:rsidR="00932516" w:rsidRPr="005C4BE1" w:rsidRDefault="00932516" w:rsidP="00587E71">
      <w:pPr>
        <w:rPr>
          <w:rStyle w:val="tw4winMark"/>
          <w:lang w:val="es-ES"/>
        </w:rPr>
      </w:pPr>
    </w:p>
    <w:p w14:paraId="7583B4BF" w14:textId="6A625E8D" w:rsidR="00791F65" w:rsidRPr="005C4BE1" w:rsidRDefault="00093F4C" w:rsidP="00587E71">
      <w:pPr>
        <w:rPr>
          <w:noProof/>
          <w:lang w:val="es-ES"/>
        </w:rPr>
      </w:pPr>
      <w:r w:rsidRPr="008D6243">
        <w:rPr>
          <w:noProof/>
          <w:lang w:val="es-AR"/>
        </w:rPr>
        <w:t xml:space="preserve"> La experiencia de Evonik en catalizadores heterogéneos, en particular, fue fundamental para lograr la alta eficiencia y pureza del IFA utilizado en </w:t>
      </w:r>
      <w:r w:rsidR="004C0DF9">
        <w:rPr>
          <w:noProof/>
          <w:lang w:val="es-AR"/>
        </w:rPr>
        <w:t>e</w:t>
      </w:r>
      <w:r w:rsidRPr="008D6243">
        <w:rPr>
          <w:noProof/>
          <w:lang w:val="es-AR"/>
        </w:rPr>
        <w:t>l vonopraz</w:t>
      </w:r>
      <w:r w:rsidR="004C0DF9">
        <w:rPr>
          <w:noProof/>
          <w:lang w:val="es-AR"/>
        </w:rPr>
        <w:t>án</w:t>
      </w:r>
      <w:r w:rsidRPr="008D6243">
        <w:rPr>
          <w:noProof/>
          <w:lang w:val="es-AR"/>
        </w:rPr>
        <w:t xml:space="preserve">. Además de la experiencia tecnológica superior y un portafolio integrado de servicios, los clientes también se sienten atraídos por la confiabilidad y el compromiso de Evonik con la sostenibilidad. </w:t>
      </w:r>
    </w:p>
    <w:p w14:paraId="58B9FAAC" w14:textId="6AF37153" w:rsidR="00791F65" w:rsidRDefault="00791F65" w:rsidP="00587E71">
      <w:pPr>
        <w:rPr>
          <w:noProof/>
          <w:lang w:val="es-ES"/>
        </w:rPr>
      </w:pPr>
    </w:p>
    <w:p w14:paraId="184F7797" w14:textId="77777777" w:rsidR="00587E71" w:rsidRPr="005C4BE1" w:rsidRDefault="00587E71" w:rsidP="00587E71">
      <w:pPr>
        <w:rPr>
          <w:noProof/>
          <w:lang w:val="es-ES"/>
        </w:rPr>
      </w:pPr>
    </w:p>
    <w:p w14:paraId="71D278EA" w14:textId="77777777" w:rsidR="00791F65" w:rsidRPr="005C4BE1" w:rsidRDefault="00093F4C" w:rsidP="00587E71">
      <w:pPr>
        <w:spacing w:line="240" w:lineRule="auto"/>
        <w:rPr>
          <w:b/>
          <w:bCs/>
          <w:noProof/>
          <w:lang w:val="es-ES"/>
        </w:rPr>
      </w:pPr>
      <w:r w:rsidRPr="008D6243">
        <w:rPr>
          <w:b/>
          <w:bCs/>
          <w:noProof/>
          <w:lang w:val="es-AR"/>
        </w:rPr>
        <w:t>Visite el nuevo sitio web</w:t>
      </w:r>
    </w:p>
    <w:p w14:paraId="3275A072" w14:textId="77777777" w:rsidR="00791F65" w:rsidRPr="005C4BE1" w:rsidRDefault="00000000" w:rsidP="00587E71">
      <w:pPr>
        <w:rPr>
          <w:noProof/>
          <w:lang w:val="es-ES"/>
        </w:rPr>
      </w:pPr>
      <w:hyperlink r:id="rId12" w:history="1">
        <w:r w:rsidR="00093F4C" w:rsidRPr="008D6243">
          <w:rPr>
            <w:rStyle w:val="Hyperlink"/>
            <w:noProof/>
            <w:lang w:val="es-AR"/>
          </w:rPr>
          <w:t>https://healthcare.evonik.com/en/drugsubstance</w:t>
        </w:r>
      </w:hyperlink>
    </w:p>
    <w:p w14:paraId="6598FD91" w14:textId="7DFE22FB" w:rsidR="00791F65" w:rsidRDefault="00791F65" w:rsidP="00587E71">
      <w:pPr>
        <w:rPr>
          <w:b/>
          <w:bCs/>
          <w:noProof/>
          <w:lang w:val="es-ES"/>
        </w:rPr>
      </w:pPr>
    </w:p>
    <w:p w14:paraId="19910181" w14:textId="77777777" w:rsidR="00587E71" w:rsidRPr="005C4BE1" w:rsidRDefault="00587E71" w:rsidP="00587E71">
      <w:pPr>
        <w:rPr>
          <w:b/>
          <w:bCs/>
          <w:noProof/>
          <w:lang w:val="es-ES"/>
        </w:rPr>
      </w:pPr>
    </w:p>
    <w:p w14:paraId="3944A0CF" w14:textId="77777777" w:rsidR="00791F65" w:rsidRPr="005C4BE1" w:rsidRDefault="00093F4C" w:rsidP="00587E71">
      <w:pPr>
        <w:rPr>
          <w:b/>
          <w:bCs/>
          <w:noProof/>
          <w:lang w:val="es-ES"/>
        </w:rPr>
      </w:pPr>
      <w:r w:rsidRPr="008D6243">
        <w:rPr>
          <w:b/>
          <w:bCs/>
          <w:noProof/>
          <w:lang w:val="es-AR"/>
        </w:rPr>
        <w:t xml:space="preserve">Más información </w:t>
      </w:r>
    </w:p>
    <w:p w14:paraId="18D9E5B7" w14:textId="77777777" w:rsidR="00791F65" w:rsidRPr="005C4BE1" w:rsidRDefault="00791F65" w:rsidP="00587E71">
      <w:pPr>
        <w:rPr>
          <w:noProof/>
          <w:lang w:val="es-ES"/>
        </w:rPr>
      </w:pPr>
    </w:p>
    <w:p w14:paraId="7A4E6003" w14:textId="2FB4B525" w:rsidR="00791F65" w:rsidRPr="005C4BE1" w:rsidRDefault="00093F4C" w:rsidP="00587E71">
      <w:pPr>
        <w:rPr>
          <w:i/>
          <w:iCs/>
          <w:noProof/>
          <w:lang w:val="es-ES"/>
        </w:rPr>
      </w:pPr>
      <w:r w:rsidRPr="008D6243">
        <w:rPr>
          <w:i/>
          <w:iCs/>
          <w:noProof/>
          <w:lang w:val="es-AR"/>
        </w:rPr>
        <w:t>Vonopraz</w:t>
      </w:r>
      <w:r w:rsidR="004C0DF9">
        <w:rPr>
          <w:i/>
          <w:iCs/>
          <w:noProof/>
          <w:lang w:val="es-AR"/>
        </w:rPr>
        <w:t>án</w:t>
      </w:r>
    </w:p>
    <w:p w14:paraId="742B2255" w14:textId="545B6531" w:rsidR="00791F65" w:rsidRPr="005C4BE1" w:rsidRDefault="00093F4C" w:rsidP="00587E71">
      <w:pPr>
        <w:rPr>
          <w:noProof/>
          <w:lang w:val="es-ES"/>
        </w:rPr>
      </w:pPr>
      <w:r w:rsidRPr="008D6243">
        <w:rPr>
          <w:noProof/>
          <w:lang w:val="es-AR"/>
        </w:rPr>
        <w:lastRenderedPageBreak/>
        <w:t>Vonopraz</w:t>
      </w:r>
      <w:r w:rsidR="004C0DF9">
        <w:rPr>
          <w:noProof/>
          <w:lang w:val="es-AR"/>
        </w:rPr>
        <w:t>án</w:t>
      </w:r>
      <w:r w:rsidRPr="008D6243">
        <w:rPr>
          <w:noProof/>
          <w:lang w:val="es-AR"/>
        </w:rPr>
        <w:t xml:space="preserve"> es un nuevo bloqueador ácido competitivo de potasio (PCAB). Inhibe la secreción de ácido gástrico al actuar como un inhibidor competitivo reversible contra los iones de potasio. Su primera aprobación tuvo lugar en Japón en 2014, donde es comercializado por Takeda bajo el nombre Takecab®. </w:t>
      </w:r>
      <w:bookmarkStart w:id="0" w:name="WfTarget"/>
      <w:r w:rsidRPr="008D6243">
        <w:rPr>
          <w:noProof/>
          <w:lang w:val="es-AR"/>
        </w:rPr>
        <w:t>Phatom Pharmaceuticals posee una licencia exclusiva para desarrollar y comercializar vonopraz</w:t>
      </w:r>
      <w:r w:rsidR="004C0DF9">
        <w:rPr>
          <w:noProof/>
          <w:lang w:val="es-AR"/>
        </w:rPr>
        <w:t>án</w:t>
      </w:r>
      <w:r w:rsidRPr="008D6243">
        <w:rPr>
          <w:noProof/>
          <w:lang w:val="es-AR"/>
        </w:rPr>
        <w:t xml:space="preserve"> en los Estados Unidos, Canadá y Europa. </w:t>
      </w:r>
      <w:bookmarkEnd w:id="0"/>
    </w:p>
    <w:p w14:paraId="35D11103" w14:textId="77777777" w:rsidR="00791F65" w:rsidRPr="005C4BE1" w:rsidRDefault="00791F65" w:rsidP="00587E71">
      <w:pPr>
        <w:rPr>
          <w:noProof/>
          <w:lang w:val="es-ES"/>
        </w:rPr>
      </w:pPr>
    </w:p>
    <w:p w14:paraId="11018A5F" w14:textId="77777777" w:rsidR="00F5203F" w:rsidRPr="005C4BE1" w:rsidRDefault="00F5203F" w:rsidP="00587E71">
      <w:pPr>
        <w:rPr>
          <w:noProof/>
          <w:szCs w:val="22"/>
          <w:lang w:val="es-ES"/>
        </w:rPr>
      </w:pPr>
    </w:p>
    <w:p w14:paraId="19AC8221" w14:textId="0A08FD24" w:rsidR="00587E71" w:rsidRDefault="00587E71" w:rsidP="004269A4">
      <w:pPr>
        <w:spacing w:line="220" w:lineRule="exact"/>
        <w:rPr>
          <w:rFonts w:cs="Lucida Sans Unicode"/>
          <w:color w:val="000000"/>
          <w:sz w:val="18"/>
          <w:szCs w:val="20"/>
          <w:lang w:val="es-ES" w:eastAsia="pt-BR"/>
        </w:rPr>
      </w:pPr>
    </w:p>
    <w:p w14:paraId="76A8C5F8" w14:textId="77777777" w:rsidR="00587E71" w:rsidRPr="008A2A9D" w:rsidRDefault="00587E71" w:rsidP="00587E71">
      <w:pPr>
        <w:spacing w:line="220" w:lineRule="exact"/>
        <w:outlineLvl w:val="0"/>
        <w:rPr>
          <w:b/>
          <w:bCs/>
          <w:sz w:val="18"/>
          <w:szCs w:val="18"/>
          <w:lang w:val="es-ES"/>
        </w:rPr>
      </w:pPr>
      <w:r w:rsidRPr="008A2A9D">
        <w:rPr>
          <w:b/>
          <w:bCs/>
          <w:sz w:val="18"/>
          <w:szCs w:val="18"/>
          <w:lang w:val="es-ES"/>
        </w:rPr>
        <w:t xml:space="preserve">Información de la empresa  </w:t>
      </w:r>
    </w:p>
    <w:p w14:paraId="540FA138" w14:textId="16355633" w:rsidR="00587E71" w:rsidRPr="00011C04" w:rsidRDefault="00587E71" w:rsidP="00011C04">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7159B49" w14:textId="22F3134B" w:rsidR="004269A4" w:rsidRDefault="004269A4" w:rsidP="004269A4">
      <w:pPr>
        <w:spacing w:line="220" w:lineRule="exact"/>
        <w:rPr>
          <w:rFonts w:cs="Lucida Sans Unicode"/>
          <w:color w:val="000000"/>
          <w:sz w:val="18"/>
          <w:szCs w:val="20"/>
          <w:lang w:val="es-ES" w:eastAsia="pt-BR"/>
        </w:rPr>
      </w:pPr>
    </w:p>
    <w:p w14:paraId="1D50FC86" w14:textId="27AE7E9D" w:rsidR="004269A4" w:rsidRDefault="004269A4" w:rsidP="004269A4">
      <w:pPr>
        <w:spacing w:line="220" w:lineRule="exact"/>
        <w:rPr>
          <w:rFonts w:cs="Lucida Sans Unicode"/>
          <w:color w:val="000000"/>
          <w:sz w:val="18"/>
          <w:szCs w:val="20"/>
          <w:lang w:val="es-419" w:eastAsia="pt-BR"/>
        </w:rPr>
      </w:pPr>
      <w:r w:rsidRPr="004269A4">
        <w:rPr>
          <w:rFonts w:cs="Lucida Sans Unicode"/>
          <w:b/>
          <w:color w:val="000000"/>
          <w:sz w:val="18"/>
          <w:szCs w:val="20"/>
          <w:lang w:val="es-419" w:eastAsia="pt-BR"/>
        </w:rPr>
        <w:t>S</w:t>
      </w:r>
      <w:r>
        <w:rPr>
          <w:rFonts w:cs="Lucida Sans Unicode"/>
          <w:b/>
          <w:color w:val="000000"/>
          <w:sz w:val="18"/>
          <w:szCs w:val="20"/>
          <w:lang w:val="es-419" w:eastAsia="pt-BR"/>
        </w:rPr>
        <w:t xml:space="preserve">obre </w:t>
      </w:r>
      <w:proofErr w:type="spellStart"/>
      <w:r>
        <w:rPr>
          <w:rFonts w:cs="Lucida Sans Unicode"/>
          <w:b/>
          <w:color w:val="000000"/>
          <w:sz w:val="18"/>
          <w:szCs w:val="20"/>
          <w:lang w:val="es-419" w:eastAsia="pt-BR"/>
        </w:rPr>
        <w:t>Nutrition</w:t>
      </w:r>
      <w:proofErr w:type="spellEnd"/>
      <w:r>
        <w:rPr>
          <w:rFonts w:cs="Lucida Sans Unicode"/>
          <w:b/>
          <w:color w:val="000000"/>
          <w:sz w:val="18"/>
          <w:szCs w:val="20"/>
          <w:lang w:val="es-419" w:eastAsia="pt-BR"/>
        </w:rPr>
        <w:t xml:space="preserve"> &amp;</w:t>
      </w:r>
      <w:r w:rsidRPr="004269A4">
        <w:rPr>
          <w:rFonts w:cs="Lucida Sans Unicode"/>
          <w:b/>
          <w:color w:val="000000"/>
          <w:sz w:val="18"/>
          <w:szCs w:val="20"/>
          <w:lang w:val="es-419" w:eastAsia="pt-BR"/>
        </w:rPr>
        <w:t xml:space="preserve"> C</w:t>
      </w:r>
      <w:r>
        <w:rPr>
          <w:rFonts w:cs="Lucida Sans Unicode"/>
          <w:b/>
          <w:color w:val="000000"/>
          <w:sz w:val="18"/>
          <w:szCs w:val="20"/>
          <w:lang w:val="es-419" w:eastAsia="pt-BR"/>
        </w:rPr>
        <w:t>are</w:t>
      </w:r>
      <w:r w:rsidRPr="004269A4">
        <w:rPr>
          <w:rFonts w:cs="Lucida Sans Unicode"/>
          <w:b/>
          <w:color w:val="000000"/>
          <w:sz w:val="18"/>
          <w:szCs w:val="20"/>
          <w:lang w:val="es-419" w:eastAsia="pt-BR"/>
        </w:rPr>
        <w:br/>
      </w:r>
      <w:r w:rsidRPr="004269A4">
        <w:rPr>
          <w:rFonts w:cs="Lucida Sans Unicode"/>
          <w:color w:val="000000"/>
          <w:sz w:val="18"/>
          <w:szCs w:val="20"/>
          <w:lang w:val="es-419" w:eastAsia="pt-BR"/>
        </w:rPr>
        <w:t xml:space="preserve">Las actividades de la división </w:t>
      </w:r>
      <w:proofErr w:type="spellStart"/>
      <w:r w:rsidRPr="004269A4">
        <w:rPr>
          <w:rFonts w:cs="Lucida Sans Unicode"/>
          <w:color w:val="000000"/>
          <w:sz w:val="18"/>
          <w:szCs w:val="20"/>
          <w:lang w:val="es-419" w:eastAsia="pt-BR"/>
        </w:rPr>
        <w:t>Nutrition</w:t>
      </w:r>
      <w:proofErr w:type="spellEnd"/>
      <w:r w:rsidRPr="004269A4">
        <w:rPr>
          <w:rFonts w:cs="Lucida Sans Unicode"/>
          <w:color w:val="000000"/>
          <w:sz w:val="18"/>
          <w:szCs w:val="20"/>
          <w:lang w:val="es-419" w:eastAsia="pt-BR"/>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3560 millones de euros en 2021, con aproximadamente 5300 colaboradores.</w:t>
      </w:r>
    </w:p>
    <w:p w14:paraId="6C3C1A95" w14:textId="4A8B4A30" w:rsidR="004C0DF9" w:rsidRDefault="004C0DF9" w:rsidP="004269A4">
      <w:pPr>
        <w:spacing w:line="220" w:lineRule="exact"/>
        <w:rPr>
          <w:rFonts w:cs="Lucida Sans Unicode"/>
          <w:color w:val="000000"/>
          <w:sz w:val="18"/>
          <w:szCs w:val="20"/>
          <w:lang w:val="es-419" w:eastAsia="pt-BR"/>
        </w:rPr>
      </w:pPr>
    </w:p>
    <w:p w14:paraId="3D27536D" w14:textId="77777777" w:rsidR="00011C04" w:rsidRPr="00D16890" w:rsidRDefault="00011C04" w:rsidP="00011C04">
      <w:pPr>
        <w:spacing w:line="220" w:lineRule="exact"/>
        <w:rPr>
          <w:rFonts w:cs="Lucida Sans Unicode"/>
          <w:color w:val="000000"/>
          <w:sz w:val="18"/>
          <w:szCs w:val="20"/>
          <w:lang w:val="es-ES" w:eastAsia="pt-BR"/>
        </w:rPr>
      </w:pPr>
      <w:r w:rsidRPr="00D16890">
        <w:rPr>
          <w:rFonts w:cs="Lucida Sans Unicode"/>
          <w:b/>
          <w:color w:val="000000"/>
          <w:sz w:val="18"/>
          <w:szCs w:val="20"/>
          <w:lang w:val="es-ES" w:eastAsia="pt-BR"/>
        </w:rPr>
        <w:t>Nota legal</w:t>
      </w:r>
      <w:r w:rsidRPr="00D16890">
        <w:rPr>
          <w:rFonts w:cs="Lucida Sans Unicode"/>
          <w:b/>
          <w:color w:val="000000"/>
          <w:sz w:val="18"/>
          <w:szCs w:val="20"/>
          <w:lang w:val="es-ES" w:eastAsia="pt-BR"/>
        </w:rPr>
        <w:br/>
      </w:r>
      <w:r w:rsidRPr="00D16890">
        <w:rPr>
          <w:rFonts w:cs="Lucida Sans Unicode"/>
          <w:color w:val="000000"/>
          <w:sz w:val="18"/>
          <w:szCs w:val="20"/>
          <w:lang w:val="es-ES" w:eastAsia="pt-BR"/>
        </w:rPr>
        <w:t xml:space="preserve">Si bien las previsiones o estimaciones que aparecen en este comunicado de prensa o los informes sobre el futuro, todos estos documentos pueden incluir imprecisiones y riesgos conocidos o desconocidos. Los resultados o las consecuencias reales pueden variar, según los cambios en el entorno operativo. Ni Evonik Industries AG ni sus empresas del grupo tienen la obligación de actualizar las previsiones, estimaciones e informes que aparecen en este comunicado de prensa. </w:t>
      </w:r>
    </w:p>
    <w:p w14:paraId="5CAA004F" w14:textId="28B84A86" w:rsidR="00587E71" w:rsidRDefault="00587E71" w:rsidP="004269A4">
      <w:pPr>
        <w:spacing w:line="220" w:lineRule="exact"/>
        <w:rPr>
          <w:rFonts w:cs="Lucida Sans Unicode"/>
          <w:color w:val="000000"/>
          <w:sz w:val="18"/>
          <w:szCs w:val="20"/>
          <w:lang w:val="es-419" w:eastAsia="pt-BR"/>
        </w:rPr>
      </w:pPr>
    </w:p>
    <w:p w14:paraId="410FCCEC" w14:textId="77777777" w:rsidR="00011C04" w:rsidRPr="004269A4" w:rsidRDefault="00011C04" w:rsidP="004269A4">
      <w:pPr>
        <w:spacing w:line="220" w:lineRule="exact"/>
        <w:rPr>
          <w:rFonts w:cs="Lucida Sans Unicode"/>
          <w:color w:val="000000"/>
          <w:sz w:val="18"/>
          <w:szCs w:val="20"/>
          <w:lang w:val="es-419" w:eastAsia="pt-BR"/>
        </w:rPr>
      </w:pPr>
    </w:p>
    <w:p w14:paraId="1CC5171E" w14:textId="4C742F80" w:rsidR="004C0DF9" w:rsidRPr="002F318A" w:rsidRDefault="004C0DF9" w:rsidP="004C0DF9">
      <w:pPr>
        <w:spacing w:line="220" w:lineRule="exact"/>
        <w:rPr>
          <w:sz w:val="18"/>
          <w:szCs w:val="18"/>
          <w:lang w:val="es-ES"/>
        </w:rPr>
      </w:pPr>
      <w:r w:rsidRPr="002F318A">
        <w:rPr>
          <w:b/>
          <w:bCs/>
          <w:color w:val="000000"/>
          <w:sz w:val="18"/>
          <w:szCs w:val="18"/>
        </w:rPr>
        <w:t xml:space="preserve">Acerca de </w:t>
      </w:r>
      <w:proofErr w:type="spellStart"/>
      <w:r w:rsidRPr="002F318A">
        <w:rPr>
          <w:b/>
          <w:bCs/>
          <w:color w:val="000000"/>
          <w:sz w:val="18"/>
          <w:szCs w:val="18"/>
        </w:rPr>
        <w:t>Phathom</w:t>
      </w:r>
      <w:proofErr w:type="spellEnd"/>
      <w:r w:rsidRPr="002F318A">
        <w:rPr>
          <w:b/>
          <w:bCs/>
          <w:color w:val="000000"/>
          <w:sz w:val="18"/>
          <w:szCs w:val="18"/>
        </w:rPr>
        <w:t xml:space="preserve"> </w:t>
      </w:r>
      <w:proofErr w:type="spellStart"/>
      <w:r w:rsidRPr="002F318A">
        <w:rPr>
          <w:b/>
          <w:bCs/>
          <w:color w:val="000000"/>
          <w:sz w:val="18"/>
          <w:szCs w:val="18"/>
        </w:rPr>
        <w:t>Pharmaceuticals</w:t>
      </w:r>
      <w:proofErr w:type="spellEnd"/>
      <w:r w:rsidRPr="002F318A">
        <w:rPr>
          <w:b/>
          <w:bCs/>
          <w:color w:val="000000"/>
          <w:sz w:val="18"/>
          <w:szCs w:val="18"/>
        </w:rPr>
        <w:t>, Inc.</w:t>
      </w:r>
      <w:r w:rsidRPr="002F318A">
        <w:rPr>
          <w:sz w:val="18"/>
          <w:szCs w:val="18"/>
        </w:rPr>
        <w:br/>
      </w:r>
      <w:proofErr w:type="spellStart"/>
      <w:r w:rsidRPr="007A70F8">
        <w:rPr>
          <w:sz w:val="18"/>
          <w:szCs w:val="18"/>
          <w:lang w:val="es-AR"/>
        </w:rPr>
        <w:t>Phathom</w:t>
      </w:r>
      <w:proofErr w:type="spellEnd"/>
      <w:r w:rsidRPr="007A70F8">
        <w:rPr>
          <w:sz w:val="18"/>
          <w:szCs w:val="18"/>
          <w:lang w:val="es-AR"/>
        </w:rPr>
        <w:t xml:space="preserve"> </w:t>
      </w:r>
      <w:proofErr w:type="spellStart"/>
      <w:r w:rsidRPr="007A70F8">
        <w:rPr>
          <w:sz w:val="18"/>
          <w:szCs w:val="18"/>
          <w:lang w:val="es-AR"/>
        </w:rPr>
        <w:t>Pharmaceuticals</w:t>
      </w:r>
      <w:proofErr w:type="spellEnd"/>
      <w:r w:rsidRPr="007A70F8">
        <w:rPr>
          <w:sz w:val="18"/>
          <w:szCs w:val="18"/>
          <w:lang w:val="es-AR"/>
        </w:rPr>
        <w:t xml:space="preserve"> es una empresa biofarmacéutica centrada en el desarrollo y comercialización de nuevos tratamientos para enfermedades y trastornos gastrointestinales. </w:t>
      </w:r>
      <w:proofErr w:type="spellStart"/>
      <w:r w:rsidRPr="007A70F8">
        <w:rPr>
          <w:sz w:val="18"/>
          <w:szCs w:val="18"/>
          <w:lang w:val="es-AR"/>
        </w:rPr>
        <w:t>Phathom</w:t>
      </w:r>
      <w:proofErr w:type="spellEnd"/>
      <w:r w:rsidRPr="007A70F8">
        <w:rPr>
          <w:sz w:val="18"/>
          <w:szCs w:val="18"/>
          <w:lang w:val="es-AR"/>
        </w:rPr>
        <w:t xml:space="preserve"> los derechos exclusivos </w:t>
      </w:r>
      <w:r>
        <w:rPr>
          <w:sz w:val="18"/>
          <w:szCs w:val="18"/>
          <w:lang w:val="es-AR"/>
        </w:rPr>
        <w:t xml:space="preserve">licenciados </w:t>
      </w:r>
      <w:r w:rsidRPr="007A70F8">
        <w:rPr>
          <w:sz w:val="18"/>
          <w:szCs w:val="18"/>
          <w:lang w:val="es-AR"/>
        </w:rPr>
        <w:t xml:space="preserve">en los Estados Unidos, Europa y Canadá de </w:t>
      </w:r>
      <w:proofErr w:type="spellStart"/>
      <w:r w:rsidRPr="007A70F8">
        <w:rPr>
          <w:sz w:val="18"/>
          <w:szCs w:val="18"/>
          <w:lang w:val="es-AR"/>
        </w:rPr>
        <w:t>vonoprazán</w:t>
      </w:r>
      <w:proofErr w:type="spellEnd"/>
      <w:r w:rsidRPr="007A70F8">
        <w:rPr>
          <w:sz w:val="18"/>
          <w:szCs w:val="18"/>
          <w:lang w:val="es-AR"/>
        </w:rPr>
        <w:t xml:space="preserve">, un bloqueador de ácido competitivo con potasio (PCAB) de primera clase. Los regímenes basados en </w:t>
      </w:r>
      <w:proofErr w:type="spellStart"/>
      <w:r w:rsidRPr="007A70F8">
        <w:rPr>
          <w:sz w:val="18"/>
          <w:szCs w:val="18"/>
          <w:lang w:val="es-AR"/>
        </w:rPr>
        <w:t>vonoprazán</w:t>
      </w:r>
      <w:proofErr w:type="spellEnd"/>
      <w:r w:rsidRPr="007A70F8">
        <w:rPr>
          <w:sz w:val="18"/>
          <w:szCs w:val="18"/>
          <w:lang w:val="es-AR"/>
        </w:rPr>
        <w:t xml:space="preserve"> están aprobados en los Estados Unidos como parte de un producto </w:t>
      </w:r>
      <w:proofErr w:type="spellStart"/>
      <w:r w:rsidRPr="007A70F8">
        <w:rPr>
          <w:sz w:val="18"/>
          <w:szCs w:val="18"/>
          <w:lang w:val="es-AR"/>
        </w:rPr>
        <w:t>coenvasado</w:t>
      </w:r>
      <w:proofErr w:type="spellEnd"/>
      <w:r w:rsidRPr="007A70F8">
        <w:rPr>
          <w:sz w:val="18"/>
          <w:szCs w:val="18"/>
          <w:lang w:val="es-AR"/>
        </w:rPr>
        <w:t xml:space="preserve"> en combinación con antibióticos para el tratamiento de </w:t>
      </w:r>
      <w:r w:rsidRPr="007A70F8">
        <w:rPr>
          <w:i/>
          <w:iCs/>
          <w:sz w:val="18"/>
          <w:szCs w:val="18"/>
          <w:lang w:val="es-AR"/>
        </w:rPr>
        <w:t>H. pylori</w:t>
      </w:r>
      <w:r w:rsidRPr="007A70F8">
        <w:rPr>
          <w:sz w:val="18"/>
          <w:szCs w:val="18"/>
          <w:lang w:val="es-AR"/>
        </w:rPr>
        <w:t> infección en adultos, comercializada como VOQUEZNA™ TRIPLE PAK™ (</w:t>
      </w:r>
      <w:proofErr w:type="spellStart"/>
      <w:r w:rsidRPr="007A70F8">
        <w:rPr>
          <w:sz w:val="18"/>
          <w:szCs w:val="18"/>
          <w:lang w:val="es-AR"/>
        </w:rPr>
        <w:t>vonoprazán</w:t>
      </w:r>
      <w:proofErr w:type="spellEnd"/>
      <w:r w:rsidRPr="007A70F8">
        <w:rPr>
          <w:sz w:val="18"/>
          <w:szCs w:val="18"/>
          <w:lang w:val="es-AR"/>
        </w:rPr>
        <w:t>, amoxicilina, claritromicina) y VOQUEZNA™ DUAL PAK™ (</w:t>
      </w:r>
      <w:proofErr w:type="spellStart"/>
      <w:r w:rsidRPr="007A70F8">
        <w:rPr>
          <w:sz w:val="18"/>
          <w:szCs w:val="18"/>
          <w:lang w:val="es-AR"/>
        </w:rPr>
        <w:t>vonoprazán</w:t>
      </w:r>
      <w:proofErr w:type="spellEnd"/>
      <w:r w:rsidRPr="007A70F8">
        <w:rPr>
          <w:sz w:val="18"/>
          <w:szCs w:val="18"/>
          <w:lang w:val="es-AR"/>
        </w:rPr>
        <w:t xml:space="preserve">, amoxicilina). </w:t>
      </w:r>
      <w:proofErr w:type="spellStart"/>
      <w:r w:rsidRPr="007A70F8">
        <w:rPr>
          <w:sz w:val="18"/>
          <w:szCs w:val="18"/>
          <w:lang w:val="es-AR"/>
        </w:rPr>
        <w:t>Phathom</w:t>
      </w:r>
      <w:proofErr w:type="spellEnd"/>
      <w:r w:rsidRPr="007A70F8">
        <w:rPr>
          <w:sz w:val="18"/>
          <w:szCs w:val="18"/>
          <w:lang w:val="es-AR"/>
        </w:rPr>
        <w:t xml:space="preserve"> tiene una Nueva Solicitud de Medicamento bajo revisión por la FDA para </w:t>
      </w:r>
      <w:proofErr w:type="spellStart"/>
      <w:r w:rsidRPr="007A70F8">
        <w:rPr>
          <w:sz w:val="18"/>
          <w:szCs w:val="18"/>
          <w:lang w:val="es-AR"/>
        </w:rPr>
        <w:t>vonoprazán</w:t>
      </w:r>
      <w:proofErr w:type="spellEnd"/>
      <w:r w:rsidRPr="007A70F8">
        <w:rPr>
          <w:sz w:val="18"/>
          <w:szCs w:val="18"/>
          <w:lang w:val="es-AR"/>
        </w:rPr>
        <w:t xml:space="preserve"> en la esofagitis erosiva (EE) y está estudiando el uso de </w:t>
      </w:r>
      <w:proofErr w:type="spellStart"/>
      <w:r w:rsidRPr="007A70F8">
        <w:rPr>
          <w:sz w:val="18"/>
          <w:szCs w:val="18"/>
          <w:lang w:val="es-AR"/>
        </w:rPr>
        <w:t>vonopraz</w:t>
      </w:r>
      <w:r>
        <w:rPr>
          <w:sz w:val="18"/>
          <w:szCs w:val="18"/>
          <w:lang w:val="es-AR"/>
        </w:rPr>
        <w:t>án</w:t>
      </w:r>
      <w:proofErr w:type="spellEnd"/>
      <w:r w:rsidRPr="007A70F8">
        <w:rPr>
          <w:sz w:val="18"/>
          <w:szCs w:val="18"/>
          <w:lang w:val="es-AR"/>
        </w:rPr>
        <w:t xml:space="preserve"> para el tratamiento de la enfermedad por </w:t>
      </w:r>
      <w:r w:rsidRPr="007A70F8">
        <w:rPr>
          <w:sz w:val="18"/>
          <w:szCs w:val="18"/>
          <w:lang w:val="es-AR"/>
        </w:rPr>
        <w:lastRenderedPageBreak/>
        <w:t xml:space="preserve">reflujo no erosivo (NERD). Para obtener más información sobre </w:t>
      </w:r>
      <w:proofErr w:type="spellStart"/>
      <w:r w:rsidRPr="007A70F8">
        <w:rPr>
          <w:sz w:val="18"/>
          <w:szCs w:val="18"/>
          <w:lang w:val="es-AR"/>
        </w:rPr>
        <w:t>Phathom</w:t>
      </w:r>
      <w:proofErr w:type="spellEnd"/>
      <w:r w:rsidRPr="007A70F8">
        <w:rPr>
          <w:sz w:val="18"/>
          <w:szCs w:val="18"/>
          <w:lang w:val="es-AR"/>
        </w:rPr>
        <w:t xml:space="preserve">, visite el sitio web de la empresa en </w:t>
      </w:r>
      <w:hyperlink r:id="rId13" w:history="1">
        <w:r w:rsidRPr="007A70F8">
          <w:rPr>
            <w:sz w:val="18"/>
            <w:szCs w:val="18"/>
            <w:lang w:val="es-AR"/>
          </w:rPr>
          <w:t>www.phathompharma.com</w:t>
        </w:r>
      </w:hyperlink>
      <w:r w:rsidRPr="007A70F8">
        <w:rPr>
          <w:sz w:val="18"/>
          <w:szCs w:val="18"/>
          <w:lang w:val="es-AR"/>
        </w:rPr>
        <w:t xml:space="preserve"> y siga a la compañía en </w:t>
      </w:r>
      <w:hyperlink r:id="rId14" w:tgtFrame="_blank" w:history="1">
        <w:r w:rsidRPr="007A70F8">
          <w:rPr>
            <w:sz w:val="18"/>
            <w:szCs w:val="18"/>
            <w:lang w:val="es-AR"/>
          </w:rPr>
          <w:t>LinkedIn</w:t>
        </w:r>
      </w:hyperlink>
      <w:r w:rsidRPr="007A70F8">
        <w:rPr>
          <w:sz w:val="18"/>
          <w:szCs w:val="18"/>
          <w:lang w:val="es-AR"/>
        </w:rPr>
        <w:t xml:space="preserve"> y </w:t>
      </w:r>
      <w:hyperlink r:id="rId15" w:history="1">
        <w:r w:rsidRPr="007A70F8">
          <w:rPr>
            <w:sz w:val="18"/>
            <w:szCs w:val="18"/>
            <w:lang w:val="es-AR"/>
          </w:rPr>
          <w:t>Twitter.</w:t>
        </w:r>
      </w:hyperlink>
      <w:r w:rsidRPr="007A70F8">
        <w:rPr>
          <w:sz w:val="18"/>
          <w:szCs w:val="18"/>
          <w:lang w:val="es-AR"/>
        </w:rPr>
        <w:t> </w:t>
      </w:r>
    </w:p>
    <w:p w14:paraId="50148CD9" w14:textId="77777777" w:rsidR="004C0DF9" w:rsidRPr="002F318A" w:rsidRDefault="004C0DF9" w:rsidP="004C0DF9">
      <w:pPr>
        <w:rPr>
          <w:lang w:val="es-ES"/>
        </w:rPr>
      </w:pPr>
    </w:p>
    <w:p w14:paraId="6237DA91" w14:textId="13C8E0F8" w:rsidR="004269A4" w:rsidRDefault="004269A4" w:rsidP="004269A4">
      <w:pPr>
        <w:spacing w:line="220" w:lineRule="exact"/>
        <w:rPr>
          <w:rFonts w:cs="Lucida Sans Unicode"/>
          <w:color w:val="000000"/>
          <w:sz w:val="18"/>
          <w:szCs w:val="20"/>
          <w:lang w:val="es-ES" w:eastAsia="pt-BR"/>
        </w:rPr>
      </w:pPr>
    </w:p>
    <w:p w14:paraId="52D46CA7" w14:textId="77777777" w:rsidR="004269A4" w:rsidRPr="00D16890" w:rsidRDefault="004269A4" w:rsidP="004269A4">
      <w:pPr>
        <w:spacing w:line="220" w:lineRule="exact"/>
        <w:rPr>
          <w:rFonts w:cs="Lucida Sans Unicode"/>
          <w:b/>
          <w:color w:val="000000"/>
          <w:sz w:val="18"/>
          <w:szCs w:val="20"/>
          <w:lang w:val="es-ES" w:eastAsia="pt-BR"/>
        </w:rPr>
      </w:pPr>
    </w:p>
    <w:p w14:paraId="0759DC65" w14:textId="77777777" w:rsidR="004269A4" w:rsidRPr="00D16890" w:rsidRDefault="004269A4" w:rsidP="004269A4">
      <w:pPr>
        <w:spacing w:line="240" w:lineRule="auto"/>
        <w:rPr>
          <w:rFonts w:eastAsia="Lucida Sans Unicode" w:cs="Lucida Sans Unicode"/>
          <w:sz w:val="18"/>
          <w:szCs w:val="20"/>
          <w:bdr w:val="nil"/>
          <w:lang w:val="es-ES" w:eastAsia="pt-BR"/>
        </w:rPr>
      </w:pPr>
    </w:p>
    <w:p w14:paraId="1D68BDE6" w14:textId="77777777" w:rsidR="004269A4" w:rsidRPr="00D16890" w:rsidRDefault="004269A4" w:rsidP="004269A4">
      <w:pPr>
        <w:spacing w:line="240" w:lineRule="auto"/>
        <w:rPr>
          <w:rFonts w:eastAsia="Lucida Sans Unicode" w:cs="Lucida Sans Unicode"/>
          <w:sz w:val="18"/>
          <w:szCs w:val="20"/>
          <w:bdr w:val="nil"/>
          <w:lang w:val="es-ES" w:eastAsia="pt-BR"/>
        </w:rPr>
      </w:pPr>
    </w:p>
    <w:p w14:paraId="5649E4AA" w14:textId="77777777" w:rsidR="004269A4" w:rsidRPr="00D16890" w:rsidRDefault="004269A4" w:rsidP="004269A4">
      <w:pPr>
        <w:spacing w:line="240" w:lineRule="auto"/>
        <w:rPr>
          <w:rFonts w:cs="Lucida Sans Unicode"/>
          <w:b/>
          <w:sz w:val="18"/>
          <w:szCs w:val="20"/>
          <w:lang w:eastAsia="pt-BR"/>
        </w:rPr>
      </w:pPr>
      <w:r w:rsidRPr="00D16890">
        <w:rPr>
          <w:rFonts w:cs="Lucida Sans Unicode"/>
          <w:b/>
          <w:sz w:val="18"/>
          <w:szCs w:val="20"/>
          <w:lang w:eastAsia="pt-BR"/>
        </w:rPr>
        <w:t>Evonik Brasil Ltda.</w:t>
      </w:r>
    </w:p>
    <w:p w14:paraId="6BD62BDE" w14:textId="77777777" w:rsidR="004269A4" w:rsidRPr="00D16890" w:rsidRDefault="004269A4" w:rsidP="004269A4">
      <w:pPr>
        <w:spacing w:line="240" w:lineRule="auto"/>
        <w:rPr>
          <w:rFonts w:cs="Lucida Sans Unicode"/>
          <w:sz w:val="18"/>
          <w:szCs w:val="20"/>
          <w:lang w:eastAsia="pt-BR"/>
        </w:rPr>
      </w:pPr>
      <w:proofErr w:type="spellStart"/>
      <w:r w:rsidRPr="00D16890">
        <w:rPr>
          <w:rFonts w:cs="Lucida Sans Unicode"/>
          <w:sz w:val="18"/>
          <w:szCs w:val="20"/>
          <w:lang w:eastAsia="pt-BR"/>
        </w:rPr>
        <w:t>Teléfono</w:t>
      </w:r>
      <w:proofErr w:type="spellEnd"/>
      <w:r w:rsidRPr="00D16890">
        <w:rPr>
          <w:rFonts w:cs="Lucida Sans Unicode"/>
          <w:sz w:val="18"/>
          <w:szCs w:val="20"/>
          <w:lang w:eastAsia="pt-BR"/>
        </w:rPr>
        <w:t>: (11) 3146-4100</w:t>
      </w:r>
    </w:p>
    <w:p w14:paraId="125DC2E3"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www.evonik.com.br</w:t>
      </w:r>
    </w:p>
    <w:p w14:paraId="320A2CD9"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facebook.com/Evonik</w:t>
      </w:r>
    </w:p>
    <w:p w14:paraId="4B674504"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instagram.com/</w:t>
      </w:r>
      <w:proofErr w:type="spellStart"/>
      <w:r w:rsidRPr="00D16890">
        <w:rPr>
          <w:rFonts w:cs="Lucida Sans Unicode"/>
          <w:sz w:val="18"/>
          <w:szCs w:val="20"/>
          <w:lang w:eastAsia="pt-BR"/>
        </w:rPr>
        <w:t>Evonik.Brasil</w:t>
      </w:r>
      <w:proofErr w:type="spellEnd"/>
    </w:p>
    <w:p w14:paraId="53CF8F88"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youtube.com/</w:t>
      </w:r>
      <w:proofErr w:type="spellStart"/>
      <w:r w:rsidRPr="00D16890">
        <w:rPr>
          <w:rFonts w:cs="Lucida Sans Unicode"/>
          <w:sz w:val="18"/>
          <w:szCs w:val="20"/>
          <w:lang w:eastAsia="pt-BR"/>
        </w:rPr>
        <w:t>EvonikIndustries</w:t>
      </w:r>
      <w:proofErr w:type="spellEnd"/>
    </w:p>
    <w:p w14:paraId="5CC22F85"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linkedin.com/</w:t>
      </w:r>
      <w:proofErr w:type="spellStart"/>
      <w:r w:rsidRPr="00D16890">
        <w:rPr>
          <w:rFonts w:cs="Lucida Sans Unicode"/>
          <w:sz w:val="18"/>
          <w:szCs w:val="20"/>
          <w:lang w:eastAsia="pt-BR"/>
        </w:rPr>
        <w:t>company</w:t>
      </w:r>
      <w:proofErr w:type="spellEnd"/>
      <w:r w:rsidRPr="00D16890">
        <w:rPr>
          <w:rFonts w:cs="Lucida Sans Unicode"/>
          <w:sz w:val="18"/>
          <w:szCs w:val="20"/>
          <w:lang w:eastAsia="pt-BR"/>
        </w:rPr>
        <w:t>/Evonik</w:t>
      </w:r>
    </w:p>
    <w:p w14:paraId="20A5D65D"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twitter.com/</w:t>
      </w:r>
      <w:proofErr w:type="spellStart"/>
      <w:r w:rsidRPr="00D16890">
        <w:rPr>
          <w:rFonts w:cs="Lucida Sans Unicode"/>
          <w:sz w:val="18"/>
          <w:szCs w:val="20"/>
          <w:lang w:eastAsia="pt-BR"/>
        </w:rPr>
        <w:t>Evonik_BR</w:t>
      </w:r>
      <w:proofErr w:type="spellEnd"/>
    </w:p>
    <w:p w14:paraId="151D677C" w14:textId="77777777" w:rsidR="004269A4" w:rsidRPr="00D16890" w:rsidRDefault="004269A4" w:rsidP="004269A4">
      <w:pPr>
        <w:spacing w:line="220" w:lineRule="exact"/>
        <w:outlineLvl w:val="0"/>
        <w:rPr>
          <w:b/>
          <w:sz w:val="18"/>
          <w:szCs w:val="20"/>
          <w:lang w:eastAsia="pt-BR"/>
        </w:rPr>
      </w:pPr>
    </w:p>
    <w:p w14:paraId="2417AE48" w14:textId="77777777" w:rsidR="004269A4" w:rsidRPr="00D16890" w:rsidRDefault="004269A4" w:rsidP="004269A4">
      <w:pPr>
        <w:spacing w:line="220" w:lineRule="exact"/>
        <w:rPr>
          <w:rFonts w:eastAsia="Lucida Sans Unicode" w:cs="Lucida Sans Unicode"/>
          <w:sz w:val="18"/>
          <w:szCs w:val="20"/>
          <w:bdr w:val="nil"/>
          <w:lang w:eastAsia="pt-BR"/>
        </w:rPr>
      </w:pPr>
    </w:p>
    <w:p w14:paraId="3B85B668" w14:textId="77777777" w:rsidR="004269A4" w:rsidRPr="00D16890" w:rsidRDefault="004269A4" w:rsidP="004269A4">
      <w:pPr>
        <w:spacing w:line="240" w:lineRule="auto"/>
        <w:rPr>
          <w:rFonts w:cs="Lucida Sans Unicode"/>
          <w:b/>
          <w:sz w:val="18"/>
          <w:szCs w:val="20"/>
          <w:lang w:eastAsia="pt-BR"/>
        </w:rPr>
      </w:pPr>
      <w:proofErr w:type="spellStart"/>
      <w:r w:rsidRPr="00D16890">
        <w:rPr>
          <w:rFonts w:cs="Lucida Sans Unicode"/>
          <w:b/>
          <w:sz w:val="18"/>
          <w:szCs w:val="20"/>
          <w:lang w:eastAsia="pt-BR"/>
        </w:rPr>
        <w:t>Información</w:t>
      </w:r>
      <w:proofErr w:type="spellEnd"/>
      <w:r w:rsidRPr="00D16890">
        <w:rPr>
          <w:rFonts w:cs="Lucida Sans Unicode"/>
          <w:b/>
          <w:sz w:val="18"/>
          <w:szCs w:val="20"/>
          <w:lang w:eastAsia="pt-BR"/>
        </w:rPr>
        <w:t xml:space="preserve"> para </w:t>
      </w:r>
      <w:proofErr w:type="spellStart"/>
      <w:r w:rsidRPr="00D16890">
        <w:rPr>
          <w:rFonts w:cs="Lucida Sans Unicode"/>
          <w:b/>
          <w:sz w:val="18"/>
          <w:szCs w:val="20"/>
          <w:lang w:eastAsia="pt-BR"/>
        </w:rPr>
        <w:t>la</w:t>
      </w:r>
      <w:proofErr w:type="spellEnd"/>
      <w:r w:rsidRPr="00D16890">
        <w:rPr>
          <w:rFonts w:cs="Lucida Sans Unicode"/>
          <w:b/>
          <w:sz w:val="18"/>
          <w:szCs w:val="20"/>
          <w:lang w:eastAsia="pt-BR"/>
        </w:rPr>
        <w:t xml:space="preserve"> prensa</w:t>
      </w:r>
    </w:p>
    <w:p w14:paraId="13B37ABE"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Via Pública Comunicação - www.viapublicacomunicacao.com.br</w:t>
      </w:r>
    </w:p>
    <w:p w14:paraId="67787F06"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 xml:space="preserve">Sheila </w:t>
      </w:r>
      <w:proofErr w:type="spellStart"/>
      <w:r w:rsidRPr="00D16890">
        <w:rPr>
          <w:rFonts w:cs="Lucida Sans Unicode"/>
          <w:sz w:val="18"/>
          <w:szCs w:val="20"/>
          <w:lang w:eastAsia="pt-BR"/>
        </w:rPr>
        <w:t>Diez</w:t>
      </w:r>
      <w:proofErr w:type="spellEnd"/>
      <w:r w:rsidRPr="00D16890">
        <w:rPr>
          <w:rFonts w:cs="Lucida Sans Unicode"/>
          <w:sz w:val="18"/>
          <w:szCs w:val="20"/>
          <w:lang w:eastAsia="pt-BR"/>
        </w:rPr>
        <w:t>: (11) 3473.0255 - sheila@viapublicacomunicacao.com.br</w:t>
      </w:r>
    </w:p>
    <w:p w14:paraId="14ADE545" w14:textId="77777777" w:rsidR="004269A4" w:rsidRPr="00D16890" w:rsidRDefault="004269A4" w:rsidP="004269A4">
      <w:pPr>
        <w:spacing w:line="240" w:lineRule="auto"/>
        <w:rPr>
          <w:rFonts w:cs="Lucida Sans Unicode"/>
          <w:sz w:val="18"/>
          <w:szCs w:val="20"/>
          <w:lang w:eastAsia="pt-BR"/>
        </w:rPr>
      </w:pPr>
      <w:r w:rsidRPr="00D16890">
        <w:rPr>
          <w:rFonts w:cs="Lucida Sans Unicode"/>
          <w:sz w:val="18"/>
          <w:szCs w:val="20"/>
          <w:lang w:eastAsia="pt-BR"/>
        </w:rPr>
        <w:t>Taís Augusto: (11) 3562.5555 - tais@viapublicacomunicacao.com.br</w:t>
      </w:r>
    </w:p>
    <w:p w14:paraId="6E41449B" w14:textId="77777777" w:rsidR="004269A4" w:rsidRPr="00D16890" w:rsidRDefault="004269A4" w:rsidP="004269A4">
      <w:pPr>
        <w:spacing w:line="220" w:lineRule="exact"/>
        <w:rPr>
          <w:rFonts w:eastAsia="Lucida Sans Unicode" w:cs="Lucida Sans Unicode"/>
          <w:sz w:val="18"/>
          <w:szCs w:val="20"/>
          <w:bdr w:val="nil"/>
          <w:lang w:eastAsia="pt-BR"/>
        </w:rPr>
      </w:pPr>
    </w:p>
    <w:p w14:paraId="58F1E585" w14:textId="77777777" w:rsidR="004269A4" w:rsidRPr="00D16890" w:rsidRDefault="004269A4" w:rsidP="004269A4"/>
    <w:p w14:paraId="52FEF8DB" w14:textId="77777777" w:rsidR="004269A4" w:rsidRPr="008E2735" w:rsidRDefault="004269A4" w:rsidP="004269A4"/>
    <w:p w14:paraId="1A9DC5B9" w14:textId="77777777" w:rsidR="004269A4" w:rsidRPr="008E2735" w:rsidRDefault="004269A4" w:rsidP="004269A4"/>
    <w:p w14:paraId="0326155D" w14:textId="77777777" w:rsidR="00F5203F" w:rsidRPr="004269A4" w:rsidRDefault="00F5203F" w:rsidP="001B2244">
      <w:pPr>
        <w:rPr>
          <w:noProof/>
          <w:szCs w:val="22"/>
        </w:rPr>
      </w:pPr>
    </w:p>
    <w:p w14:paraId="670E42C3" w14:textId="77777777" w:rsidR="00F5203F" w:rsidRPr="004269A4" w:rsidRDefault="00F5203F" w:rsidP="001B2244">
      <w:pPr>
        <w:rPr>
          <w:noProof/>
          <w:szCs w:val="22"/>
        </w:rPr>
      </w:pPr>
    </w:p>
    <w:p w14:paraId="2924129A" w14:textId="77777777" w:rsidR="00F5203F" w:rsidRPr="004269A4" w:rsidRDefault="00F5203F" w:rsidP="001B2244">
      <w:pPr>
        <w:rPr>
          <w:noProof/>
          <w:szCs w:val="22"/>
        </w:rPr>
      </w:pPr>
    </w:p>
    <w:p w14:paraId="67EA6DAB" w14:textId="77777777" w:rsidR="00F5203F" w:rsidRPr="004269A4" w:rsidRDefault="00F5203F" w:rsidP="001B2244">
      <w:pPr>
        <w:rPr>
          <w:noProof/>
          <w:szCs w:val="22"/>
        </w:rPr>
      </w:pPr>
    </w:p>
    <w:p w14:paraId="277E1D27" w14:textId="77777777" w:rsidR="00F5203F" w:rsidRPr="004269A4" w:rsidRDefault="00F5203F" w:rsidP="001B2244">
      <w:pPr>
        <w:rPr>
          <w:noProof/>
          <w:szCs w:val="22"/>
        </w:rPr>
      </w:pPr>
    </w:p>
    <w:p w14:paraId="2C312774" w14:textId="77777777" w:rsidR="00F5203F" w:rsidRPr="004269A4" w:rsidRDefault="00F5203F" w:rsidP="001B2244">
      <w:pPr>
        <w:jc w:val="both"/>
        <w:rPr>
          <w:noProof/>
          <w:szCs w:val="22"/>
        </w:rPr>
      </w:pPr>
    </w:p>
    <w:p w14:paraId="74C34F26" w14:textId="77777777" w:rsidR="00F5203F" w:rsidRPr="004269A4" w:rsidRDefault="00F5203F" w:rsidP="0032793B">
      <w:pPr>
        <w:rPr>
          <w:noProof/>
        </w:rPr>
      </w:pPr>
    </w:p>
    <w:sectPr w:rsidR="00F5203F" w:rsidRPr="004269A4" w:rsidSect="005C5615">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AECF" w14:textId="77777777" w:rsidR="00600049" w:rsidRDefault="00600049">
      <w:pPr>
        <w:spacing w:line="240" w:lineRule="auto"/>
      </w:pPr>
      <w:r>
        <w:separator/>
      </w:r>
    </w:p>
  </w:endnote>
  <w:endnote w:type="continuationSeparator" w:id="0">
    <w:p w14:paraId="5A239522" w14:textId="77777777" w:rsidR="00600049" w:rsidRDefault="00600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5838" w14:textId="77777777" w:rsidR="00776104" w:rsidRDefault="0077610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A641" w14:textId="77777777" w:rsidR="00BC1B97" w:rsidRDefault="00BC1B97">
    <w:pPr>
      <w:pStyle w:val="Rodap"/>
    </w:pPr>
  </w:p>
  <w:p w14:paraId="7587FA81" w14:textId="77777777" w:rsidR="00BC1B97" w:rsidRDefault="00093F4C">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FEED" w14:textId="77777777" w:rsidR="00BC1B97" w:rsidRDefault="00BC1B97" w:rsidP="00316EC0">
    <w:pPr>
      <w:pStyle w:val="Rodap"/>
    </w:pPr>
  </w:p>
  <w:p w14:paraId="4B599C25" w14:textId="77777777" w:rsidR="00BC1B97" w:rsidRPr="005225EC" w:rsidRDefault="00093F4C"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6A57" w14:textId="77777777" w:rsidR="00600049" w:rsidRDefault="00600049">
      <w:pPr>
        <w:spacing w:line="240" w:lineRule="auto"/>
      </w:pPr>
      <w:r>
        <w:separator/>
      </w:r>
    </w:p>
  </w:footnote>
  <w:footnote w:type="continuationSeparator" w:id="0">
    <w:p w14:paraId="62CE6403" w14:textId="77777777" w:rsidR="00600049" w:rsidRDefault="00600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65CC" w14:textId="77777777" w:rsidR="00776104" w:rsidRDefault="007761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C424" w14:textId="77777777" w:rsidR="00BC1B97" w:rsidRPr="003F4CD0" w:rsidRDefault="00093F4C"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ED05A33" wp14:editId="7A213742">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6751CBEC" wp14:editId="4808FAC5">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944D" w14:textId="77777777" w:rsidR="00BC1B97" w:rsidRPr="003F4CD0" w:rsidRDefault="00093F4C">
    <w:pPr>
      <w:pStyle w:val="Cabealho"/>
      <w:rPr>
        <w:sz w:val="2"/>
        <w:szCs w:val="2"/>
      </w:rPr>
    </w:pPr>
    <w:r>
      <w:rPr>
        <w:noProof/>
        <w:sz w:val="2"/>
        <w:szCs w:val="2"/>
      </w:rPr>
      <w:drawing>
        <wp:anchor distT="0" distB="0" distL="114300" distR="114300" simplePos="0" relativeHeight="251659264" behindDoc="0" locked="0" layoutInCell="1" allowOverlap="1" wp14:anchorId="1B892FD6" wp14:editId="78FCD72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9640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6D76FD4" wp14:editId="61E9DE5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79703"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A58058C">
      <w:start w:val="1"/>
      <w:numFmt w:val="bullet"/>
      <w:pStyle w:val="Ttulo1"/>
      <w:lvlText w:val=""/>
      <w:lvlJc w:val="left"/>
      <w:pPr>
        <w:tabs>
          <w:tab w:val="num" w:pos="227"/>
        </w:tabs>
        <w:ind w:left="227" w:hanging="227"/>
      </w:pPr>
      <w:rPr>
        <w:rFonts w:ascii="Symbol" w:hAnsi="Symbol" w:hint="default"/>
        <w:color w:val="auto"/>
        <w:sz w:val="20"/>
        <w:szCs w:val="20"/>
      </w:rPr>
    </w:lvl>
    <w:lvl w:ilvl="1" w:tplc="2EDE7BF8" w:tentative="1">
      <w:start w:val="1"/>
      <w:numFmt w:val="bullet"/>
      <w:lvlText w:val="o"/>
      <w:lvlJc w:val="left"/>
      <w:pPr>
        <w:tabs>
          <w:tab w:val="num" w:pos="1440"/>
        </w:tabs>
        <w:ind w:left="1440" w:hanging="360"/>
      </w:pPr>
      <w:rPr>
        <w:rFonts w:ascii="Courier New" w:hAnsi="Courier New" w:cs="Courier New" w:hint="default"/>
      </w:rPr>
    </w:lvl>
    <w:lvl w:ilvl="2" w:tplc="6764D3F4" w:tentative="1">
      <w:start w:val="1"/>
      <w:numFmt w:val="bullet"/>
      <w:lvlText w:val=""/>
      <w:lvlJc w:val="left"/>
      <w:pPr>
        <w:tabs>
          <w:tab w:val="num" w:pos="2160"/>
        </w:tabs>
        <w:ind w:left="2160" w:hanging="360"/>
      </w:pPr>
      <w:rPr>
        <w:rFonts w:ascii="Wingdings" w:hAnsi="Wingdings" w:hint="default"/>
      </w:rPr>
    </w:lvl>
    <w:lvl w:ilvl="3" w:tplc="CDA4B48A" w:tentative="1">
      <w:start w:val="1"/>
      <w:numFmt w:val="bullet"/>
      <w:lvlText w:val=""/>
      <w:lvlJc w:val="left"/>
      <w:pPr>
        <w:tabs>
          <w:tab w:val="num" w:pos="2880"/>
        </w:tabs>
        <w:ind w:left="2880" w:hanging="360"/>
      </w:pPr>
      <w:rPr>
        <w:rFonts w:ascii="Symbol" w:hAnsi="Symbol" w:hint="default"/>
      </w:rPr>
    </w:lvl>
    <w:lvl w:ilvl="4" w:tplc="883603CE" w:tentative="1">
      <w:start w:val="1"/>
      <w:numFmt w:val="bullet"/>
      <w:lvlText w:val="o"/>
      <w:lvlJc w:val="left"/>
      <w:pPr>
        <w:tabs>
          <w:tab w:val="num" w:pos="3600"/>
        </w:tabs>
        <w:ind w:left="3600" w:hanging="360"/>
      </w:pPr>
      <w:rPr>
        <w:rFonts w:ascii="Courier New" w:hAnsi="Courier New" w:cs="Courier New" w:hint="default"/>
      </w:rPr>
    </w:lvl>
    <w:lvl w:ilvl="5" w:tplc="69BCDF94" w:tentative="1">
      <w:start w:val="1"/>
      <w:numFmt w:val="bullet"/>
      <w:lvlText w:val=""/>
      <w:lvlJc w:val="left"/>
      <w:pPr>
        <w:tabs>
          <w:tab w:val="num" w:pos="4320"/>
        </w:tabs>
        <w:ind w:left="4320" w:hanging="360"/>
      </w:pPr>
      <w:rPr>
        <w:rFonts w:ascii="Wingdings" w:hAnsi="Wingdings" w:hint="default"/>
      </w:rPr>
    </w:lvl>
    <w:lvl w:ilvl="6" w:tplc="AA7836A8" w:tentative="1">
      <w:start w:val="1"/>
      <w:numFmt w:val="bullet"/>
      <w:lvlText w:val=""/>
      <w:lvlJc w:val="left"/>
      <w:pPr>
        <w:tabs>
          <w:tab w:val="num" w:pos="5040"/>
        </w:tabs>
        <w:ind w:left="5040" w:hanging="360"/>
      </w:pPr>
      <w:rPr>
        <w:rFonts w:ascii="Symbol" w:hAnsi="Symbol" w:hint="default"/>
      </w:rPr>
    </w:lvl>
    <w:lvl w:ilvl="7" w:tplc="19A2A96A" w:tentative="1">
      <w:start w:val="1"/>
      <w:numFmt w:val="bullet"/>
      <w:lvlText w:val="o"/>
      <w:lvlJc w:val="left"/>
      <w:pPr>
        <w:tabs>
          <w:tab w:val="num" w:pos="5760"/>
        </w:tabs>
        <w:ind w:left="5760" w:hanging="360"/>
      </w:pPr>
      <w:rPr>
        <w:rFonts w:ascii="Courier New" w:hAnsi="Courier New" w:cs="Courier New" w:hint="default"/>
      </w:rPr>
    </w:lvl>
    <w:lvl w:ilvl="8" w:tplc="B64651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C4C0B5E">
      <w:start w:val="1"/>
      <w:numFmt w:val="bullet"/>
      <w:lvlText w:val=""/>
      <w:lvlJc w:val="left"/>
      <w:pPr>
        <w:ind w:left="720" w:hanging="360"/>
      </w:pPr>
      <w:rPr>
        <w:rFonts w:ascii="Symbol" w:hAnsi="Symbol" w:hint="default"/>
      </w:rPr>
    </w:lvl>
    <w:lvl w:ilvl="1" w:tplc="9308468C">
      <w:start w:val="1"/>
      <w:numFmt w:val="bullet"/>
      <w:lvlText w:val="o"/>
      <w:lvlJc w:val="left"/>
      <w:pPr>
        <w:ind w:left="1440" w:hanging="360"/>
      </w:pPr>
      <w:rPr>
        <w:rFonts w:ascii="Courier New" w:hAnsi="Courier New" w:cs="Courier New" w:hint="default"/>
      </w:rPr>
    </w:lvl>
    <w:lvl w:ilvl="2" w:tplc="C56AEA7E">
      <w:start w:val="1"/>
      <w:numFmt w:val="bullet"/>
      <w:lvlText w:val=""/>
      <w:lvlJc w:val="left"/>
      <w:pPr>
        <w:ind w:left="2160" w:hanging="360"/>
      </w:pPr>
      <w:rPr>
        <w:rFonts w:ascii="Wingdings" w:hAnsi="Wingdings" w:hint="default"/>
      </w:rPr>
    </w:lvl>
    <w:lvl w:ilvl="3" w:tplc="911C5B6E">
      <w:start w:val="1"/>
      <w:numFmt w:val="bullet"/>
      <w:lvlText w:val=""/>
      <w:lvlJc w:val="left"/>
      <w:pPr>
        <w:ind w:left="2880" w:hanging="360"/>
      </w:pPr>
      <w:rPr>
        <w:rFonts w:ascii="Symbol" w:hAnsi="Symbol" w:hint="default"/>
      </w:rPr>
    </w:lvl>
    <w:lvl w:ilvl="4" w:tplc="DF50A8CC">
      <w:start w:val="1"/>
      <w:numFmt w:val="bullet"/>
      <w:lvlText w:val="o"/>
      <w:lvlJc w:val="left"/>
      <w:pPr>
        <w:ind w:left="3600" w:hanging="360"/>
      </w:pPr>
      <w:rPr>
        <w:rFonts w:ascii="Courier New" w:hAnsi="Courier New" w:cs="Courier New" w:hint="default"/>
      </w:rPr>
    </w:lvl>
    <w:lvl w:ilvl="5" w:tplc="4B5A4366">
      <w:start w:val="1"/>
      <w:numFmt w:val="bullet"/>
      <w:lvlText w:val=""/>
      <w:lvlJc w:val="left"/>
      <w:pPr>
        <w:ind w:left="4320" w:hanging="360"/>
      </w:pPr>
      <w:rPr>
        <w:rFonts w:ascii="Wingdings" w:hAnsi="Wingdings" w:hint="default"/>
      </w:rPr>
    </w:lvl>
    <w:lvl w:ilvl="6" w:tplc="1A5A6C58">
      <w:start w:val="1"/>
      <w:numFmt w:val="bullet"/>
      <w:lvlText w:val=""/>
      <w:lvlJc w:val="left"/>
      <w:pPr>
        <w:ind w:left="5040" w:hanging="360"/>
      </w:pPr>
      <w:rPr>
        <w:rFonts w:ascii="Symbol" w:hAnsi="Symbol" w:hint="default"/>
      </w:rPr>
    </w:lvl>
    <w:lvl w:ilvl="7" w:tplc="DEB098CA">
      <w:start w:val="1"/>
      <w:numFmt w:val="bullet"/>
      <w:lvlText w:val="o"/>
      <w:lvlJc w:val="left"/>
      <w:pPr>
        <w:ind w:left="5760" w:hanging="360"/>
      </w:pPr>
      <w:rPr>
        <w:rFonts w:ascii="Courier New" w:hAnsi="Courier New" w:cs="Courier New" w:hint="default"/>
      </w:rPr>
    </w:lvl>
    <w:lvl w:ilvl="8" w:tplc="15943F8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AE50E0F0">
      <w:start w:val="1"/>
      <w:numFmt w:val="bullet"/>
      <w:lvlText w:val=""/>
      <w:lvlJc w:val="left"/>
      <w:pPr>
        <w:ind w:left="360" w:hanging="360"/>
      </w:pPr>
      <w:rPr>
        <w:rFonts w:ascii="Symbol" w:hAnsi="Symbol" w:hint="default"/>
      </w:rPr>
    </w:lvl>
    <w:lvl w:ilvl="1" w:tplc="EFAE7F4A">
      <w:start w:val="1"/>
      <w:numFmt w:val="bullet"/>
      <w:lvlText w:val="o"/>
      <w:lvlJc w:val="left"/>
      <w:pPr>
        <w:ind w:left="1080" w:hanging="360"/>
      </w:pPr>
      <w:rPr>
        <w:rFonts w:ascii="Courier New" w:hAnsi="Courier New" w:cs="Courier New" w:hint="default"/>
      </w:rPr>
    </w:lvl>
    <w:lvl w:ilvl="2" w:tplc="DF567A34">
      <w:start w:val="1"/>
      <w:numFmt w:val="bullet"/>
      <w:lvlText w:val=""/>
      <w:lvlJc w:val="left"/>
      <w:pPr>
        <w:ind w:left="1800" w:hanging="360"/>
      </w:pPr>
      <w:rPr>
        <w:rFonts w:ascii="Wingdings" w:hAnsi="Wingdings" w:hint="default"/>
      </w:rPr>
    </w:lvl>
    <w:lvl w:ilvl="3" w:tplc="AA74C69A">
      <w:start w:val="1"/>
      <w:numFmt w:val="bullet"/>
      <w:lvlText w:val=""/>
      <w:lvlJc w:val="left"/>
      <w:pPr>
        <w:ind w:left="2520" w:hanging="360"/>
      </w:pPr>
      <w:rPr>
        <w:rFonts w:ascii="Symbol" w:hAnsi="Symbol" w:hint="default"/>
      </w:rPr>
    </w:lvl>
    <w:lvl w:ilvl="4" w:tplc="B73607CA">
      <w:start w:val="1"/>
      <w:numFmt w:val="bullet"/>
      <w:lvlText w:val="o"/>
      <w:lvlJc w:val="left"/>
      <w:pPr>
        <w:ind w:left="3240" w:hanging="360"/>
      </w:pPr>
      <w:rPr>
        <w:rFonts w:ascii="Courier New" w:hAnsi="Courier New" w:cs="Courier New" w:hint="default"/>
      </w:rPr>
    </w:lvl>
    <w:lvl w:ilvl="5" w:tplc="4CEE9E8A">
      <w:start w:val="1"/>
      <w:numFmt w:val="bullet"/>
      <w:lvlText w:val=""/>
      <w:lvlJc w:val="left"/>
      <w:pPr>
        <w:ind w:left="3960" w:hanging="360"/>
      </w:pPr>
      <w:rPr>
        <w:rFonts w:ascii="Wingdings" w:hAnsi="Wingdings" w:hint="default"/>
      </w:rPr>
    </w:lvl>
    <w:lvl w:ilvl="6" w:tplc="9AAEB418">
      <w:start w:val="1"/>
      <w:numFmt w:val="bullet"/>
      <w:lvlText w:val=""/>
      <w:lvlJc w:val="left"/>
      <w:pPr>
        <w:ind w:left="4680" w:hanging="360"/>
      </w:pPr>
      <w:rPr>
        <w:rFonts w:ascii="Symbol" w:hAnsi="Symbol" w:hint="default"/>
      </w:rPr>
    </w:lvl>
    <w:lvl w:ilvl="7" w:tplc="AB6A7BB0">
      <w:start w:val="1"/>
      <w:numFmt w:val="bullet"/>
      <w:lvlText w:val="o"/>
      <w:lvlJc w:val="left"/>
      <w:pPr>
        <w:ind w:left="5400" w:hanging="360"/>
      </w:pPr>
      <w:rPr>
        <w:rFonts w:ascii="Courier New" w:hAnsi="Courier New" w:cs="Courier New" w:hint="default"/>
      </w:rPr>
    </w:lvl>
    <w:lvl w:ilvl="8" w:tplc="746CCA70">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D5E2FDE2">
      <w:numFmt w:val="bullet"/>
      <w:lvlText w:val=""/>
      <w:lvlJc w:val="left"/>
      <w:pPr>
        <w:ind w:left="821" w:hanging="360"/>
      </w:pPr>
      <w:rPr>
        <w:rFonts w:ascii="Wingdings" w:eastAsia="Wingdings" w:hAnsi="Wingdings" w:cs="Wingdings" w:hint="default"/>
        <w:w w:val="99"/>
        <w:sz w:val="22"/>
        <w:szCs w:val="22"/>
        <w:lang w:val="en-US" w:eastAsia="en-US" w:bidi="en-US"/>
      </w:rPr>
    </w:lvl>
    <w:lvl w:ilvl="1" w:tplc="664A7E5A">
      <w:numFmt w:val="bullet"/>
      <w:lvlText w:val="•"/>
      <w:lvlJc w:val="left"/>
      <w:pPr>
        <w:ind w:left="1464" w:hanging="360"/>
      </w:pPr>
      <w:rPr>
        <w:lang w:val="en-US" w:eastAsia="en-US" w:bidi="en-US"/>
      </w:rPr>
    </w:lvl>
    <w:lvl w:ilvl="2" w:tplc="E8602F62">
      <w:numFmt w:val="bullet"/>
      <w:lvlText w:val="•"/>
      <w:lvlJc w:val="left"/>
      <w:pPr>
        <w:ind w:left="2108" w:hanging="360"/>
      </w:pPr>
      <w:rPr>
        <w:lang w:val="en-US" w:eastAsia="en-US" w:bidi="en-US"/>
      </w:rPr>
    </w:lvl>
    <w:lvl w:ilvl="3" w:tplc="1068AE5C">
      <w:numFmt w:val="bullet"/>
      <w:lvlText w:val="•"/>
      <w:lvlJc w:val="left"/>
      <w:pPr>
        <w:ind w:left="2753" w:hanging="360"/>
      </w:pPr>
      <w:rPr>
        <w:lang w:val="en-US" w:eastAsia="en-US" w:bidi="en-US"/>
      </w:rPr>
    </w:lvl>
    <w:lvl w:ilvl="4" w:tplc="978416C6">
      <w:numFmt w:val="bullet"/>
      <w:lvlText w:val="•"/>
      <w:lvlJc w:val="left"/>
      <w:pPr>
        <w:ind w:left="3397" w:hanging="360"/>
      </w:pPr>
      <w:rPr>
        <w:lang w:val="en-US" w:eastAsia="en-US" w:bidi="en-US"/>
      </w:rPr>
    </w:lvl>
    <w:lvl w:ilvl="5" w:tplc="0B645012">
      <w:numFmt w:val="bullet"/>
      <w:lvlText w:val="•"/>
      <w:lvlJc w:val="left"/>
      <w:pPr>
        <w:ind w:left="4042" w:hanging="360"/>
      </w:pPr>
      <w:rPr>
        <w:lang w:val="en-US" w:eastAsia="en-US" w:bidi="en-US"/>
      </w:rPr>
    </w:lvl>
    <w:lvl w:ilvl="6" w:tplc="3DA66C0A">
      <w:numFmt w:val="bullet"/>
      <w:lvlText w:val="•"/>
      <w:lvlJc w:val="left"/>
      <w:pPr>
        <w:ind w:left="4686" w:hanging="360"/>
      </w:pPr>
      <w:rPr>
        <w:lang w:val="en-US" w:eastAsia="en-US" w:bidi="en-US"/>
      </w:rPr>
    </w:lvl>
    <w:lvl w:ilvl="7" w:tplc="362CBF7A">
      <w:numFmt w:val="bullet"/>
      <w:lvlText w:val="•"/>
      <w:lvlJc w:val="left"/>
      <w:pPr>
        <w:ind w:left="5331" w:hanging="360"/>
      </w:pPr>
      <w:rPr>
        <w:lang w:val="en-US" w:eastAsia="en-US" w:bidi="en-US"/>
      </w:rPr>
    </w:lvl>
    <w:lvl w:ilvl="8" w:tplc="1C566326">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E0EA2098">
      <w:start w:val="1"/>
      <w:numFmt w:val="bullet"/>
      <w:lvlText w:val="•"/>
      <w:lvlJc w:val="left"/>
      <w:pPr>
        <w:tabs>
          <w:tab w:val="num" w:pos="360"/>
        </w:tabs>
        <w:ind w:left="360" w:hanging="360"/>
      </w:pPr>
      <w:rPr>
        <w:rFonts w:ascii="Lucida Sans Unicode" w:hAnsi="Lucida Sans Unicode" w:hint="default"/>
        <w:sz w:val="24"/>
      </w:rPr>
    </w:lvl>
    <w:lvl w:ilvl="1" w:tplc="BB6257DC" w:tentative="1">
      <w:start w:val="1"/>
      <w:numFmt w:val="bullet"/>
      <w:lvlText w:val="o"/>
      <w:lvlJc w:val="left"/>
      <w:pPr>
        <w:tabs>
          <w:tab w:val="num" w:pos="375"/>
        </w:tabs>
        <w:ind w:left="375" w:hanging="360"/>
      </w:pPr>
      <w:rPr>
        <w:rFonts w:ascii="Courier New" w:hAnsi="Courier New" w:cs="Courier New" w:hint="default"/>
      </w:rPr>
    </w:lvl>
    <w:lvl w:ilvl="2" w:tplc="F1DC45DC" w:tentative="1">
      <w:start w:val="1"/>
      <w:numFmt w:val="bullet"/>
      <w:lvlText w:val=""/>
      <w:lvlJc w:val="left"/>
      <w:pPr>
        <w:tabs>
          <w:tab w:val="num" w:pos="1095"/>
        </w:tabs>
        <w:ind w:left="1095" w:hanging="360"/>
      </w:pPr>
      <w:rPr>
        <w:rFonts w:ascii="Wingdings" w:hAnsi="Wingdings" w:hint="default"/>
      </w:rPr>
    </w:lvl>
    <w:lvl w:ilvl="3" w:tplc="88D4BC78" w:tentative="1">
      <w:start w:val="1"/>
      <w:numFmt w:val="bullet"/>
      <w:lvlText w:val=""/>
      <w:lvlJc w:val="left"/>
      <w:pPr>
        <w:tabs>
          <w:tab w:val="num" w:pos="1815"/>
        </w:tabs>
        <w:ind w:left="1815" w:hanging="360"/>
      </w:pPr>
      <w:rPr>
        <w:rFonts w:ascii="Symbol" w:hAnsi="Symbol" w:hint="default"/>
      </w:rPr>
    </w:lvl>
    <w:lvl w:ilvl="4" w:tplc="D4008D8E" w:tentative="1">
      <w:start w:val="1"/>
      <w:numFmt w:val="bullet"/>
      <w:lvlText w:val="o"/>
      <w:lvlJc w:val="left"/>
      <w:pPr>
        <w:tabs>
          <w:tab w:val="num" w:pos="2535"/>
        </w:tabs>
        <w:ind w:left="2535" w:hanging="360"/>
      </w:pPr>
      <w:rPr>
        <w:rFonts w:ascii="Courier New" w:hAnsi="Courier New" w:cs="Courier New" w:hint="default"/>
      </w:rPr>
    </w:lvl>
    <w:lvl w:ilvl="5" w:tplc="2342F4A2" w:tentative="1">
      <w:start w:val="1"/>
      <w:numFmt w:val="bullet"/>
      <w:lvlText w:val=""/>
      <w:lvlJc w:val="left"/>
      <w:pPr>
        <w:tabs>
          <w:tab w:val="num" w:pos="3255"/>
        </w:tabs>
        <w:ind w:left="3255" w:hanging="360"/>
      </w:pPr>
      <w:rPr>
        <w:rFonts w:ascii="Wingdings" w:hAnsi="Wingdings" w:hint="default"/>
      </w:rPr>
    </w:lvl>
    <w:lvl w:ilvl="6" w:tplc="79A4F74C" w:tentative="1">
      <w:start w:val="1"/>
      <w:numFmt w:val="bullet"/>
      <w:lvlText w:val=""/>
      <w:lvlJc w:val="left"/>
      <w:pPr>
        <w:tabs>
          <w:tab w:val="num" w:pos="3975"/>
        </w:tabs>
        <w:ind w:left="3975" w:hanging="360"/>
      </w:pPr>
      <w:rPr>
        <w:rFonts w:ascii="Symbol" w:hAnsi="Symbol" w:hint="default"/>
      </w:rPr>
    </w:lvl>
    <w:lvl w:ilvl="7" w:tplc="A860FC78" w:tentative="1">
      <w:start w:val="1"/>
      <w:numFmt w:val="bullet"/>
      <w:lvlText w:val="o"/>
      <w:lvlJc w:val="left"/>
      <w:pPr>
        <w:tabs>
          <w:tab w:val="num" w:pos="4695"/>
        </w:tabs>
        <w:ind w:left="4695" w:hanging="360"/>
      </w:pPr>
      <w:rPr>
        <w:rFonts w:ascii="Courier New" w:hAnsi="Courier New" w:cs="Courier New" w:hint="default"/>
      </w:rPr>
    </w:lvl>
    <w:lvl w:ilvl="8" w:tplc="1D442F9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58C4E1E">
      <w:start w:val="1"/>
      <w:numFmt w:val="bullet"/>
      <w:lvlText w:val=""/>
      <w:lvlJc w:val="left"/>
      <w:pPr>
        <w:ind w:left="720" w:hanging="360"/>
      </w:pPr>
      <w:rPr>
        <w:rFonts w:ascii="Symbol" w:hAnsi="Symbol" w:hint="default"/>
      </w:rPr>
    </w:lvl>
    <w:lvl w:ilvl="1" w:tplc="2468FFA2" w:tentative="1">
      <w:start w:val="1"/>
      <w:numFmt w:val="bullet"/>
      <w:lvlText w:val="o"/>
      <w:lvlJc w:val="left"/>
      <w:pPr>
        <w:ind w:left="1440" w:hanging="360"/>
      </w:pPr>
      <w:rPr>
        <w:rFonts w:ascii="Courier New" w:hAnsi="Courier New" w:cs="Courier New" w:hint="default"/>
      </w:rPr>
    </w:lvl>
    <w:lvl w:ilvl="2" w:tplc="96FCD6C8" w:tentative="1">
      <w:start w:val="1"/>
      <w:numFmt w:val="bullet"/>
      <w:lvlText w:val=""/>
      <w:lvlJc w:val="left"/>
      <w:pPr>
        <w:ind w:left="2160" w:hanging="360"/>
      </w:pPr>
      <w:rPr>
        <w:rFonts w:ascii="Wingdings" w:hAnsi="Wingdings" w:hint="default"/>
      </w:rPr>
    </w:lvl>
    <w:lvl w:ilvl="3" w:tplc="663456CA" w:tentative="1">
      <w:start w:val="1"/>
      <w:numFmt w:val="bullet"/>
      <w:lvlText w:val=""/>
      <w:lvlJc w:val="left"/>
      <w:pPr>
        <w:ind w:left="2880" w:hanging="360"/>
      </w:pPr>
      <w:rPr>
        <w:rFonts w:ascii="Symbol" w:hAnsi="Symbol" w:hint="default"/>
      </w:rPr>
    </w:lvl>
    <w:lvl w:ilvl="4" w:tplc="E1D68F8C" w:tentative="1">
      <w:start w:val="1"/>
      <w:numFmt w:val="bullet"/>
      <w:lvlText w:val="o"/>
      <w:lvlJc w:val="left"/>
      <w:pPr>
        <w:ind w:left="3600" w:hanging="360"/>
      </w:pPr>
      <w:rPr>
        <w:rFonts w:ascii="Courier New" w:hAnsi="Courier New" w:cs="Courier New" w:hint="default"/>
      </w:rPr>
    </w:lvl>
    <w:lvl w:ilvl="5" w:tplc="8BAA6548" w:tentative="1">
      <w:start w:val="1"/>
      <w:numFmt w:val="bullet"/>
      <w:lvlText w:val=""/>
      <w:lvlJc w:val="left"/>
      <w:pPr>
        <w:ind w:left="4320" w:hanging="360"/>
      </w:pPr>
      <w:rPr>
        <w:rFonts w:ascii="Wingdings" w:hAnsi="Wingdings" w:hint="default"/>
      </w:rPr>
    </w:lvl>
    <w:lvl w:ilvl="6" w:tplc="ECD692DA" w:tentative="1">
      <w:start w:val="1"/>
      <w:numFmt w:val="bullet"/>
      <w:lvlText w:val=""/>
      <w:lvlJc w:val="left"/>
      <w:pPr>
        <w:ind w:left="5040" w:hanging="360"/>
      </w:pPr>
      <w:rPr>
        <w:rFonts w:ascii="Symbol" w:hAnsi="Symbol" w:hint="default"/>
      </w:rPr>
    </w:lvl>
    <w:lvl w:ilvl="7" w:tplc="349A40DA" w:tentative="1">
      <w:start w:val="1"/>
      <w:numFmt w:val="bullet"/>
      <w:lvlText w:val="o"/>
      <w:lvlJc w:val="left"/>
      <w:pPr>
        <w:ind w:left="5760" w:hanging="360"/>
      </w:pPr>
      <w:rPr>
        <w:rFonts w:ascii="Courier New" w:hAnsi="Courier New" w:cs="Courier New" w:hint="default"/>
      </w:rPr>
    </w:lvl>
    <w:lvl w:ilvl="8" w:tplc="552283EA"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2556CCCC">
      <w:start w:val="1"/>
      <w:numFmt w:val="bullet"/>
      <w:lvlText w:val=""/>
      <w:lvlJc w:val="left"/>
      <w:pPr>
        <w:ind w:left="720" w:hanging="360"/>
      </w:pPr>
      <w:rPr>
        <w:rFonts w:ascii="Symbol" w:hAnsi="Symbol" w:hint="default"/>
      </w:rPr>
    </w:lvl>
    <w:lvl w:ilvl="1" w:tplc="3684B49C" w:tentative="1">
      <w:start w:val="1"/>
      <w:numFmt w:val="bullet"/>
      <w:lvlText w:val="o"/>
      <w:lvlJc w:val="left"/>
      <w:pPr>
        <w:ind w:left="1440" w:hanging="360"/>
      </w:pPr>
      <w:rPr>
        <w:rFonts w:ascii="Courier New" w:hAnsi="Courier New" w:cs="Courier New" w:hint="default"/>
      </w:rPr>
    </w:lvl>
    <w:lvl w:ilvl="2" w:tplc="7D2C5D88" w:tentative="1">
      <w:start w:val="1"/>
      <w:numFmt w:val="bullet"/>
      <w:lvlText w:val=""/>
      <w:lvlJc w:val="left"/>
      <w:pPr>
        <w:ind w:left="2160" w:hanging="360"/>
      </w:pPr>
      <w:rPr>
        <w:rFonts w:ascii="Wingdings" w:hAnsi="Wingdings" w:hint="default"/>
      </w:rPr>
    </w:lvl>
    <w:lvl w:ilvl="3" w:tplc="A654578C" w:tentative="1">
      <w:start w:val="1"/>
      <w:numFmt w:val="bullet"/>
      <w:lvlText w:val=""/>
      <w:lvlJc w:val="left"/>
      <w:pPr>
        <w:ind w:left="2880" w:hanging="360"/>
      </w:pPr>
      <w:rPr>
        <w:rFonts w:ascii="Symbol" w:hAnsi="Symbol" w:hint="default"/>
      </w:rPr>
    </w:lvl>
    <w:lvl w:ilvl="4" w:tplc="F4006428" w:tentative="1">
      <w:start w:val="1"/>
      <w:numFmt w:val="bullet"/>
      <w:lvlText w:val="o"/>
      <w:lvlJc w:val="left"/>
      <w:pPr>
        <w:ind w:left="3600" w:hanging="360"/>
      </w:pPr>
      <w:rPr>
        <w:rFonts w:ascii="Courier New" w:hAnsi="Courier New" w:cs="Courier New" w:hint="default"/>
      </w:rPr>
    </w:lvl>
    <w:lvl w:ilvl="5" w:tplc="D7BCFB9A" w:tentative="1">
      <w:start w:val="1"/>
      <w:numFmt w:val="bullet"/>
      <w:lvlText w:val=""/>
      <w:lvlJc w:val="left"/>
      <w:pPr>
        <w:ind w:left="4320" w:hanging="360"/>
      </w:pPr>
      <w:rPr>
        <w:rFonts w:ascii="Wingdings" w:hAnsi="Wingdings" w:hint="default"/>
      </w:rPr>
    </w:lvl>
    <w:lvl w:ilvl="6" w:tplc="CB38D8E8" w:tentative="1">
      <w:start w:val="1"/>
      <w:numFmt w:val="bullet"/>
      <w:lvlText w:val=""/>
      <w:lvlJc w:val="left"/>
      <w:pPr>
        <w:ind w:left="5040" w:hanging="360"/>
      </w:pPr>
      <w:rPr>
        <w:rFonts w:ascii="Symbol" w:hAnsi="Symbol" w:hint="default"/>
      </w:rPr>
    </w:lvl>
    <w:lvl w:ilvl="7" w:tplc="D084D1B0" w:tentative="1">
      <w:start w:val="1"/>
      <w:numFmt w:val="bullet"/>
      <w:lvlText w:val="o"/>
      <w:lvlJc w:val="left"/>
      <w:pPr>
        <w:ind w:left="5760" w:hanging="360"/>
      </w:pPr>
      <w:rPr>
        <w:rFonts w:ascii="Courier New" w:hAnsi="Courier New" w:cs="Courier New" w:hint="default"/>
      </w:rPr>
    </w:lvl>
    <w:lvl w:ilvl="8" w:tplc="DF0C59F8"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1960052">
    <w:abstractNumId w:val="9"/>
  </w:num>
  <w:num w:numId="2" w16cid:durableId="290941791">
    <w:abstractNumId w:val="7"/>
  </w:num>
  <w:num w:numId="3" w16cid:durableId="633758924">
    <w:abstractNumId w:val="6"/>
  </w:num>
  <w:num w:numId="4" w16cid:durableId="1010719821">
    <w:abstractNumId w:val="5"/>
  </w:num>
  <w:num w:numId="5" w16cid:durableId="299961890">
    <w:abstractNumId w:val="4"/>
  </w:num>
  <w:num w:numId="6" w16cid:durableId="1242251438">
    <w:abstractNumId w:val="8"/>
  </w:num>
  <w:num w:numId="7" w16cid:durableId="955065430">
    <w:abstractNumId w:val="3"/>
  </w:num>
  <w:num w:numId="8" w16cid:durableId="1495224419">
    <w:abstractNumId w:val="2"/>
  </w:num>
  <w:num w:numId="9" w16cid:durableId="1550072228">
    <w:abstractNumId w:val="1"/>
  </w:num>
  <w:num w:numId="10" w16cid:durableId="1293246327">
    <w:abstractNumId w:val="0"/>
  </w:num>
  <w:num w:numId="11" w16cid:durableId="119811937">
    <w:abstractNumId w:val="14"/>
  </w:num>
  <w:num w:numId="12" w16cid:durableId="487553181">
    <w:abstractNumId w:val="17"/>
  </w:num>
  <w:num w:numId="13" w16cid:durableId="2106730965">
    <w:abstractNumId w:val="15"/>
  </w:num>
  <w:num w:numId="14" w16cid:durableId="1433092757">
    <w:abstractNumId w:val="10"/>
  </w:num>
  <w:num w:numId="15" w16cid:durableId="1066608409">
    <w:abstractNumId w:val="23"/>
  </w:num>
  <w:num w:numId="16" w16cid:durableId="731196614">
    <w:abstractNumId w:val="22"/>
  </w:num>
  <w:num w:numId="17" w16cid:durableId="1177843644">
    <w:abstractNumId w:val="12"/>
  </w:num>
  <w:num w:numId="18" w16cid:durableId="569773508">
    <w:abstractNumId w:val="14"/>
  </w:num>
  <w:num w:numId="19" w16cid:durableId="1353846492">
    <w:abstractNumId w:val="17"/>
  </w:num>
  <w:num w:numId="20" w16cid:durableId="125901196">
    <w:abstractNumId w:val="15"/>
  </w:num>
  <w:num w:numId="21" w16cid:durableId="2013944551">
    <w:abstractNumId w:val="9"/>
  </w:num>
  <w:num w:numId="22" w16cid:durableId="1377849921">
    <w:abstractNumId w:val="7"/>
  </w:num>
  <w:num w:numId="23" w16cid:durableId="1799108906">
    <w:abstractNumId w:val="6"/>
  </w:num>
  <w:num w:numId="24" w16cid:durableId="1552693807">
    <w:abstractNumId w:val="5"/>
  </w:num>
  <w:num w:numId="25" w16cid:durableId="1765832648">
    <w:abstractNumId w:val="4"/>
  </w:num>
  <w:num w:numId="26" w16cid:durableId="603197960">
    <w:abstractNumId w:val="8"/>
  </w:num>
  <w:num w:numId="27" w16cid:durableId="1042175201">
    <w:abstractNumId w:val="3"/>
  </w:num>
  <w:num w:numId="28" w16cid:durableId="577447771">
    <w:abstractNumId w:val="2"/>
  </w:num>
  <w:num w:numId="29" w16cid:durableId="1919559544">
    <w:abstractNumId w:val="1"/>
  </w:num>
  <w:num w:numId="30" w16cid:durableId="920869651">
    <w:abstractNumId w:val="0"/>
  </w:num>
  <w:num w:numId="31" w16cid:durableId="855776772">
    <w:abstractNumId w:val="10"/>
  </w:num>
  <w:num w:numId="32" w16cid:durableId="8721210">
    <w:abstractNumId w:val="18"/>
  </w:num>
  <w:num w:numId="33" w16cid:durableId="1371372144">
    <w:abstractNumId w:val="16"/>
  </w:num>
  <w:num w:numId="34" w16cid:durableId="147670323">
    <w:abstractNumId w:val="11"/>
  </w:num>
  <w:num w:numId="35" w16cid:durableId="1885827361">
    <w:abstractNumId w:val="11"/>
  </w:num>
  <w:num w:numId="36" w16cid:durableId="1023819015">
    <w:abstractNumId w:val="18"/>
  </w:num>
  <w:num w:numId="37" w16cid:durableId="1810511802">
    <w:abstractNumId w:val="13"/>
  </w:num>
  <w:num w:numId="38" w16cid:durableId="168910312">
    <w:abstractNumId w:val="21"/>
  </w:num>
  <w:num w:numId="39" w16cid:durableId="372727296">
    <w:abstractNumId w:val="20"/>
  </w:num>
  <w:num w:numId="40" w16cid:durableId="1031883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8556 n"/>
    <w:docVar w:name="WfMT" w:val="0"/>
    <w:docVar w:name="WfProtection" w:val="1"/>
    <w:docVar w:name="WfStyles" w:val=" 385   no"/>
  </w:docVars>
  <w:rsids>
    <w:rsidRoot w:val="005C5615"/>
    <w:rsid w:val="00005215"/>
    <w:rsid w:val="00007459"/>
    <w:rsid w:val="00011C04"/>
    <w:rsid w:val="00013722"/>
    <w:rsid w:val="0001740D"/>
    <w:rsid w:val="00020EC3"/>
    <w:rsid w:val="000268F6"/>
    <w:rsid w:val="00035360"/>
    <w:rsid w:val="00037F3D"/>
    <w:rsid w:val="000400C5"/>
    <w:rsid w:val="00046C72"/>
    <w:rsid w:val="00047E57"/>
    <w:rsid w:val="00055E2C"/>
    <w:rsid w:val="00055F26"/>
    <w:rsid w:val="00084555"/>
    <w:rsid w:val="00086556"/>
    <w:rsid w:val="00092F83"/>
    <w:rsid w:val="00093F4C"/>
    <w:rsid w:val="000A0DDB"/>
    <w:rsid w:val="000A4EB6"/>
    <w:rsid w:val="000B4D73"/>
    <w:rsid w:val="000C6701"/>
    <w:rsid w:val="000C7CBD"/>
    <w:rsid w:val="000D02A9"/>
    <w:rsid w:val="000D081A"/>
    <w:rsid w:val="000D1DD8"/>
    <w:rsid w:val="000D7DF9"/>
    <w:rsid w:val="000E06AB"/>
    <w:rsid w:val="000E2184"/>
    <w:rsid w:val="000F70A3"/>
    <w:rsid w:val="000F7816"/>
    <w:rsid w:val="00103837"/>
    <w:rsid w:val="00124443"/>
    <w:rsid w:val="00134A10"/>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A2F38"/>
    <w:rsid w:val="001B2244"/>
    <w:rsid w:val="001C0FF2"/>
    <w:rsid w:val="001D0F3F"/>
    <w:rsid w:val="001F2372"/>
    <w:rsid w:val="001F7C26"/>
    <w:rsid w:val="00201D12"/>
    <w:rsid w:val="00221C32"/>
    <w:rsid w:val="002376F7"/>
    <w:rsid w:val="00241B78"/>
    <w:rsid w:val="002427AA"/>
    <w:rsid w:val="0024351A"/>
    <w:rsid w:val="0024351E"/>
    <w:rsid w:val="00243912"/>
    <w:rsid w:val="00251113"/>
    <w:rsid w:val="002527E3"/>
    <w:rsid w:val="0027659F"/>
    <w:rsid w:val="00287090"/>
    <w:rsid w:val="00290F07"/>
    <w:rsid w:val="002A0595"/>
    <w:rsid w:val="002A3233"/>
    <w:rsid w:val="002B1589"/>
    <w:rsid w:val="002B491E"/>
    <w:rsid w:val="002B49D6"/>
    <w:rsid w:val="002B6293"/>
    <w:rsid w:val="002B645E"/>
    <w:rsid w:val="002B6D40"/>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5E4"/>
    <w:rsid w:val="0032793B"/>
    <w:rsid w:val="00327FAD"/>
    <w:rsid w:val="00332610"/>
    <w:rsid w:val="0034508D"/>
    <w:rsid w:val="00345B60"/>
    <w:rsid w:val="003508E4"/>
    <w:rsid w:val="00356519"/>
    <w:rsid w:val="00360DD4"/>
    <w:rsid w:val="00362743"/>
    <w:rsid w:val="00363270"/>
    <w:rsid w:val="00364D2E"/>
    <w:rsid w:val="00367974"/>
    <w:rsid w:val="0037634F"/>
    <w:rsid w:val="00380845"/>
    <w:rsid w:val="00384C52"/>
    <w:rsid w:val="00391FCB"/>
    <w:rsid w:val="00393CAC"/>
    <w:rsid w:val="003A023D"/>
    <w:rsid w:val="003A6DAB"/>
    <w:rsid w:val="003A711C"/>
    <w:rsid w:val="003C0198"/>
    <w:rsid w:val="003C7BD6"/>
    <w:rsid w:val="003D50B7"/>
    <w:rsid w:val="003D6E84"/>
    <w:rsid w:val="003E4D56"/>
    <w:rsid w:val="003F1B7A"/>
    <w:rsid w:val="003F49E4"/>
    <w:rsid w:val="003F4CD0"/>
    <w:rsid w:val="003F72E3"/>
    <w:rsid w:val="004016F5"/>
    <w:rsid w:val="00403CD6"/>
    <w:rsid w:val="004146D3"/>
    <w:rsid w:val="00420303"/>
    <w:rsid w:val="00422338"/>
    <w:rsid w:val="00424F52"/>
    <w:rsid w:val="004269A4"/>
    <w:rsid w:val="00440DCA"/>
    <w:rsid w:val="0045479D"/>
    <w:rsid w:val="00464856"/>
    <w:rsid w:val="00476F6F"/>
    <w:rsid w:val="00477C4E"/>
    <w:rsid w:val="0048125C"/>
    <w:rsid w:val="004820F9"/>
    <w:rsid w:val="00486462"/>
    <w:rsid w:val="0049367A"/>
    <w:rsid w:val="004A0839"/>
    <w:rsid w:val="004A17C4"/>
    <w:rsid w:val="004A5E45"/>
    <w:rsid w:val="004B7C16"/>
    <w:rsid w:val="004C04DB"/>
    <w:rsid w:val="004C0DF9"/>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02823"/>
    <w:rsid w:val="00516C49"/>
    <w:rsid w:val="005225EC"/>
    <w:rsid w:val="00536E02"/>
    <w:rsid w:val="00537A93"/>
    <w:rsid w:val="005510B0"/>
    <w:rsid w:val="00552ADA"/>
    <w:rsid w:val="005658A5"/>
    <w:rsid w:val="0057548A"/>
    <w:rsid w:val="00582643"/>
    <w:rsid w:val="00582C0E"/>
    <w:rsid w:val="00583E3E"/>
    <w:rsid w:val="00587C52"/>
    <w:rsid w:val="00587E71"/>
    <w:rsid w:val="00592B8D"/>
    <w:rsid w:val="005A119C"/>
    <w:rsid w:val="005A20AE"/>
    <w:rsid w:val="005A73EC"/>
    <w:rsid w:val="005A7D03"/>
    <w:rsid w:val="005B479E"/>
    <w:rsid w:val="005C4BE1"/>
    <w:rsid w:val="005C5615"/>
    <w:rsid w:val="005D10C3"/>
    <w:rsid w:val="005D44CA"/>
    <w:rsid w:val="005E3211"/>
    <w:rsid w:val="005E6AE3"/>
    <w:rsid w:val="005E799F"/>
    <w:rsid w:val="005F234C"/>
    <w:rsid w:val="005F50D9"/>
    <w:rsid w:val="00600049"/>
    <w:rsid w:val="0060031A"/>
    <w:rsid w:val="00600E86"/>
    <w:rsid w:val="00605C02"/>
    <w:rsid w:val="00606A38"/>
    <w:rsid w:val="00635F70"/>
    <w:rsid w:val="00637DF8"/>
    <w:rsid w:val="00645F2F"/>
    <w:rsid w:val="00650E27"/>
    <w:rsid w:val="00652A75"/>
    <w:rsid w:val="006608B6"/>
    <w:rsid w:val="006651E2"/>
    <w:rsid w:val="00665EC9"/>
    <w:rsid w:val="00672AFA"/>
    <w:rsid w:val="00681A62"/>
    <w:rsid w:val="00684541"/>
    <w:rsid w:val="00686BC7"/>
    <w:rsid w:val="006A581A"/>
    <w:rsid w:val="006A5A6B"/>
    <w:rsid w:val="006B505B"/>
    <w:rsid w:val="006C6EA8"/>
    <w:rsid w:val="006D3293"/>
    <w:rsid w:val="006D601A"/>
    <w:rsid w:val="006E2F15"/>
    <w:rsid w:val="006E434B"/>
    <w:rsid w:val="006F28FD"/>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104"/>
    <w:rsid w:val="007767AB"/>
    <w:rsid w:val="00784360"/>
    <w:rsid w:val="00791F65"/>
    <w:rsid w:val="007A2C47"/>
    <w:rsid w:val="007B7F3A"/>
    <w:rsid w:val="007C1E2C"/>
    <w:rsid w:val="007C4857"/>
    <w:rsid w:val="007D02AA"/>
    <w:rsid w:val="007E025C"/>
    <w:rsid w:val="007E49FE"/>
    <w:rsid w:val="007E7C76"/>
    <w:rsid w:val="007F1506"/>
    <w:rsid w:val="007F200A"/>
    <w:rsid w:val="007F3646"/>
    <w:rsid w:val="007F59C2"/>
    <w:rsid w:val="007F7820"/>
    <w:rsid w:val="00800AA9"/>
    <w:rsid w:val="0081408E"/>
    <w:rsid w:val="008140AC"/>
    <w:rsid w:val="0081515B"/>
    <w:rsid w:val="00816960"/>
    <w:rsid w:val="00816BD2"/>
    <w:rsid w:val="00821AC1"/>
    <w:rsid w:val="00825D88"/>
    <w:rsid w:val="008352AA"/>
    <w:rsid w:val="00836B9A"/>
    <w:rsid w:val="00840CD4"/>
    <w:rsid w:val="0084389E"/>
    <w:rsid w:val="008462C3"/>
    <w:rsid w:val="00850B77"/>
    <w:rsid w:val="00860A6B"/>
    <w:rsid w:val="0088508F"/>
    <w:rsid w:val="00885442"/>
    <w:rsid w:val="00897078"/>
    <w:rsid w:val="008A0D35"/>
    <w:rsid w:val="008A2AE8"/>
    <w:rsid w:val="008A4D66"/>
    <w:rsid w:val="008B03E0"/>
    <w:rsid w:val="008B1084"/>
    <w:rsid w:val="008B5397"/>
    <w:rsid w:val="008B7AFE"/>
    <w:rsid w:val="008C00D3"/>
    <w:rsid w:val="008C14EC"/>
    <w:rsid w:val="008C30D8"/>
    <w:rsid w:val="008C52EF"/>
    <w:rsid w:val="008C6671"/>
    <w:rsid w:val="008D59A8"/>
    <w:rsid w:val="008D6243"/>
    <w:rsid w:val="008D6C5B"/>
    <w:rsid w:val="008E7921"/>
    <w:rsid w:val="008F1CB7"/>
    <w:rsid w:val="008F49C5"/>
    <w:rsid w:val="008F5C45"/>
    <w:rsid w:val="008F5C81"/>
    <w:rsid w:val="0090621C"/>
    <w:rsid w:val="0091122A"/>
    <w:rsid w:val="00932516"/>
    <w:rsid w:val="009339D6"/>
    <w:rsid w:val="00935881"/>
    <w:rsid w:val="0094191C"/>
    <w:rsid w:val="009454A0"/>
    <w:rsid w:val="00954060"/>
    <w:rsid w:val="009560C1"/>
    <w:rsid w:val="00966112"/>
    <w:rsid w:val="009676B3"/>
    <w:rsid w:val="00971345"/>
    <w:rsid w:val="00972915"/>
    <w:rsid w:val="00973718"/>
    <w:rsid w:val="009752DC"/>
    <w:rsid w:val="0097547F"/>
    <w:rsid w:val="00977987"/>
    <w:rsid w:val="009814C9"/>
    <w:rsid w:val="0098727A"/>
    <w:rsid w:val="009A16A5"/>
    <w:rsid w:val="009A6E87"/>
    <w:rsid w:val="009A7CDC"/>
    <w:rsid w:val="009B437E"/>
    <w:rsid w:val="009B710C"/>
    <w:rsid w:val="009C0B75"/>
    <w:rsid w:val="009C0CD3"/>
    <w:rsid w:val="009C2B65"/>
    <w:rsid w:val="009C40DA"/>
    <w:rsid w:val="009C5A4A"/>
    <w:rsid w:val="009C5F4B"/>
    <w:rsid w:val="009D2BB4"/>
    <w:rsid w:val="009D4276"/>
    <w:rsid w:val="009E4892"/>
    <w:rsid w:val="009E709B"/>
    <w:rsid w:val="009E73C7"/>
    <w:rsid w:val="009F29FD"/>
    <w:rsid w:val="009F6AA2"/>
    <w:rsid w:val="00A0272B"/>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5449"/>
    <w:rsid w:val="00A97CD7"/>
    <w:rsid w:val="00A97EAD"/>
    <w:rsid w:val="00AA15C6"/>
    <w:rsid w:val="00AB1DDE"/>
    <w:rsid w:val="00AB26DD"/>
    <w:rsid w:val="00AC052D"/>
    <w:rsid w:val="00AE3848"/>
    <w:rsid w:val="00AE601F"/>
    <w:rsid w:val="00AF0606"/>
    <w:rsid w:val="00AF6529"/>
    <w:rsid w:val="00AF7D27"/>
    <w:rsid w:val="00B02A71"/>
    <w:rsid w:val="00B03693"/>
    <w:rsid w:val="00B04E34"/>
    <w:rsid w:val="00B06301"/>
    <w:rsid w:val="00B175C1"/>
    <w:rsid w:val="00B2025B"/>
    <w:rsid w:val="00B31D5A"/>
    <w:rsid w:val="00B35789"/>
    <w:rsid w:val="00B435FA"/>
    <w:rsid w:val="00B5137F"/>
    <w:rsid w:val="00B513BC"/>
    <w:rsid w:val="00B557E3"/>
    <w:rsid w:val="00B56705"/>
    <w:rsid w:val="00B60308"/>
    <w:rsid w:val="00B64EAD"/>
    <w:rsid w:val="00B656C6"/>
    <w:rsid w:val="00B73500"/>
    <w:rsid w:val="00B75CA9"/>
    <w:rsid w:val="00B811DE"/>
    <w:rsid w:val="00B8368E"/>
    <w:rsid w:val="00B9317E"/>
    <w:rsid w:val="00B931DD"/>
    <w:rsid w:val="00BA41A7"/>
    <w:rsid w:val="00BA4C6A"/>
    <w:rsid w:val="00BA584D"/>
    <w:rsid w:val="00BB7C81"/>
    <w:rsid w:val="00BC1B97"/>
    <w:rsid w:val="00BC1D7E"/>
    <w:rsid w:val="00BC40B6"/>
    <w:rsid w:val="00BC4141"/>
    <w:rsid w:val="00BD07B0"/>
    <w:rsid w:val="00BE1628"/>
    <w:rsid w:val="00BE30E7"/>
    <w:rsid w:val="00BF2CEC"/>
    <w:rsid w:val="00BF30BC"/>
    <w:rsid w:val="00BF70B0"/>
    <w:rsid w:val="00BF7733"/>
    <w:rsid w:val="00BF7C77"/>
    <w:rsid w:val="00C100C6"/>
    <w:rsid w:val="00C21FFE"/>
    <w:rsid w:val="00C2259A"/>
    <w:rsid w:val="00C22B21"/>
    <w:rsid w:val="00C242F2"/>
    <w:rsid w:val="00C251AD"/>
    <w:rsid w:val="00C310A2"/>
    <w:rsid w:val="00C31302"/>
    <w:rsid w:val="00C33407"/>
    <w:rsid w:val="00C35687"/>
    <w:rsid w:val="00C4228E"/>
    <w:rsid w:val="00C4300F"/>
    <w:rsid w:val="00C44564"/>
    <w:rsid w:val="00C47C25"/>
    <w:rsid w:val="00C519DA"/>
    <w:rsid w:val="00C60F15"/>
    <w:rsid w:val="00C7114A"/>
    <w:rsid w:val="00C84EF0"/>
    <w:rsid w:val="00C930F0"/>
    <w:rsid w:val="00C94042"/>
    <w:rsid w:val="00C94C0D"/>
    <w:rsid w:val="00CA6F45"/>
    <w:rsid w:val="00CB06E0"/>
    <w:rsid w:val="00CB3A53"/>
    <w:rsid w:val="00CB7A42"/>
    <w:rsid w:val="00CD0722"/>
    <w:rsid w:val="00CD1EE7"/>
    <w:rsid w:val="00CD72B4"/>
    <w:rsid w:val="00CE2E92"/>
    <w:rsid w:val="00CF2E07"/>
    <w:rsid w:val="00CF3942"/>
    <w:rsid w:val="00D04B00"/>
    <w:rsid w:val="00D101C2"/>
    <w:rsid w:val="00D12103"/>
    <w:rsid w:val="00D17A9A"/>
    <w:rsid w:val="00D37B88"/>
    <w:rsid w:val="00D37F3A"/>
    <w:rsid w:val="00D40798"/>
    <w:rsid w:val="00D46695"/>
    <w:rsid w:val="00D46B4F"/>
    <w:rsid w:val="00D46DAB"/>
    <w:rsid w:val="00D50B3E"/>
    <w:rsid w:val="00D5275A"/>
    <w:rsid w:val="00D53015"/>
    <w:rsid w:val="00D571CA"/>
    <w:rsid w:val="00D60C11"/>
    <w:rsid w:val="00D62D13"/>
    <w:rsid w:val="00D630D8"/>
    <w:rsid w:val="00D70539"/>
    <w:rsid w:val="00D7139B"/>
    <w:rsid w:val="00D72A07"/>
    <w:rsid w:val="00D81410"/>
    <w:rsid w:val="00D83F4F"/>
    <w:rsid w:val="00D84239"/>
    <w:rsid w:val="00D90774"/>
    <w:rsid w:val="00D95388"/>
    <w:rsid w:val="00D96E04"/>
    <w:rsid w:val="00DB3E3C"/>
    <w:rsid w:val="00DB532D"/>
    <w:rsid w:val="00DB7E17"/>
    <w:rsid w:val="00DC1267"/>
    <w:rsid w:val="00DC1494"/>
    <w:rsid w:val="00DD4537"/>
    <w:rsid w:val="00DD6785"/>
    <w:rsid w:val="00DD77CD"/>
    <w:rsid w:val="00DE534A"/>
    <w:rsid w:val="00DF6503"/>
    <w:rsid w:val="00E012F7"/>
    <w:rsid w:val="00E05BB2"/>
    <w:rsid w:val="00E120CF"/>
    <w:rsid w:val="00E122B8"/>
    <w:rsid w:val="00E141E6"/>
    <w:rsid w:val="00E172A1"/>
    <w:rsid w:val="00E17C9E"/>
    <w:rsid w:val="00E17FDD"/>
    <w:rsid w:val="00E2307F"/>
    <w:rsid w:val="00E27FDF"/>
    <w:rsid w:val="00E363F0"/>
    <w:rsid w:val="00E430EA"/>
    <w:rsid w:val="00E44B62"/>
    <w:rsid w:val="00E46D1E"/>
    <w:rsid w:val="00E52EFF"/>
    <w:rsid w:val="00E55A79"/>
    <w:rsid w:val="00E5685D"/>
    <w:rsid w:val="00E6418A"/>
    <w:rsid w:val="00E67EA2"/>
    <w:rsid w:val="00E83FF0"/>
    <w:rsid w:val="00E86454"/>
    <w:rsid w:val="00E8737C"/>
    <w:rsid w:val="00E97290"/>
    <w:rsid w:val="00EA0D8F"/>
    <w:rsid w:val="00EA2B42"/>
    <w:rsid w:val="00EA7E4E"/>
    <w:rsid w:val="00EB0C3E"/>
    <w:rsid w:val="00EC012C"/>
    <w:rsid w:val="00EC2C4D"/>
    <w:rsid w:val="00ED1D9C"/>
    <w:rsid w:val="00ED1DEA"/>
    <w:rsid w:val="00ED3808"/>
    <w:rsid w:val="00EE4A72"/>
    <w:rsid w:val="00EF7EB3"/>
    <w:rsid w:val="00F018DC"/>
    <w:rsid w:val="00F16B56"/>
    <w:rsid w:val="00F31F7C"/>
    <w:rsid w:val="00F32489"/>
    <w:rsid w:val="00F33746"/>
    <w:rsid w:val="00F40271"/>
    <w:rsid w:val="00F44323"/>
    <w:rsid w:val="00F5203F"/>
    <w:rsid w:val="00F5602B"/>
    <w:rsid w:val="00F57C72"/>
    <w:rsid w:val="00F6598A"/>
    <w:rsid w:val="00F65A70"/>
    <w:rsid w:val="00F66309"/>
    <w:rsid w:val="00F66FEE"/>
    <w:rsid w:val="00F70209"/>
    <w:rsid w:val="00F76460"/>
    <w:rsid w:val="00F94E80"/>
    <w:rsid w:val="00F96B9B"/>
    <w:rsid w:val="00FA151A"/>
    <w:rsid w:val="00FA5F5C"/>
    <w:rsid w:val="00FB316C"/>
    <w:rsid w:val="00FC641F"/>
    <w:rsid w:val="00FC7A2A"/>
    <w:rsid w:val="00FD0461"/>
    <w:rsid w:val="00FD1184"/>
    <w:rsid w:val="00FD5DEA"/>
    <w:rsid w:val="00FD72B1"/>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39541"/>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athompharm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healthcare.evonik.com/en/drugsubstan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yperlink" Target="https://twitter.com/phathompharm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phathompharm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6696</Characters>
  <Application>Microsoft Office Word</Application>
  <DocSecurity>0</DocSecurity>
  <Lines>55</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Rerlease Internacional Phatom Pharmaceuticals - Espanhol</dc:subject>
  <dc:creator>Taís Augusto</dc:creator>
  <dc:description>Outubro 2022</dc:description>
  <cp:lastModifiedBy>Taís Augusto</cp:lastModifiedBy>
  <cp:revision>2</cp:revision>
  <cp:lastPrinted>2017-06-09T09:57:00Z</cp:lastPrinted>
  <dcterms:created xsi:type="dcterms:W3CDTF">2022-10-21T13:51:00Z</dcterms:created>
  <dcterms:modified xsi:type="dcterms:W3CDTF">2022-10-21T13:51:00Z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2022-10-21T13:49:19Z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73ef24c2-9052-4d5c-a4e2-88a77ed07f60</vt:lpwstr>
  </property>
  <property fmtid="{D5CDD505-2E9C-101B-9397-08002B2CF9AE}" pid="9" name="MSIP_Label_29871acb-3e8e-4cf1-928b-53cb657a6025_ContentBits">
    <vt:lpwstr>0</vt:lpwstr>
  </property>
</Properties>
</file>