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C2A2" w14:textId="77777777" w:rsidR="004A3E11" w:rsidRPr="008D6C5B" w:rsidRDefault="00000000" w:rsidP="004A3E11">
      <w:pPr>
        <w:framePr w:w="2821" w:wrap="around" w:vAnchor="page" w:hAnchor="page" w:x="8791" w:y="12361" w:anchorLock="1"/>
        <w:tabs>
          <w:tab w:val="left" w:pos="518"/>
        </w:tabs>
        <w:spacing w:line="180" w:lineRule="exact"/>
        <w:rPr>
          <w:sz w:val="13"/>
        </w:rPr>
      </w:pPr>
      <w:r w:rsidRPr="004A3E11">
        <w:rPr>
          <w:rFonts w:eastAsia="Lucida Sans Unicode" w:cs="Lucida Sans Unicode"/>
          <w:b/>
          <w:bCs/>
          <w:sz w:val="13"/>
          <w:szCs w:val="13"/>
          <w:bdr w:val="nil"/>
          <w:lang w:val="es-AR"/>
        </w:rPr>
        <w:t xml:space="preserve"> Evonik Brasil Ltda.</w:t>
      </w:r>
    </w:p>
    <w:p w14:paraId="4B04C134" w14:textId="77777777" w:rsidR="004A3E11" w:rsidRPr="008D6C5B"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r w:rsidRPr="00C654FA">
        <w:rPr>
          <w:rFonts w:eastAsia="Lucida Sans Unicode" w:cs="Lucida Sans Unicode"/>
          <w:sz w:val="13"/>
          <w:szCs w:val="13"/>
          <w:bdr w:val="nil"/>
          <w:lang w:val="pt-BR"/>
        </w:rPr>
        <w:t>Rua Arq. Olavo Redig de Campos, 105</w:t>
      </w:r>
    </w:p>
    <w:p w14:paraId="1074C794" w14:textId="77777777" w:rsidR="004A3E11" w:rsidRPr="008D6C5B"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r w:rsidRPr="00C654FA">
        <w:rPr>
          <w:rFonts w:eastAsia="Lucida Sans Unicode" w:cs="Lucida Sans Unicode"/>
          <w:sz w:val="13"/>
          <w:szCs w:val="13"/>
          <w:bdr w:val="nil"/>
          <w:lang w:val="pt-BR"/>
        </w:rPr>
        <w:t>Torre A – 04711-904 - São Paulo – SP Brasil</w:t>
      </w:r>
    </w:p>
    <w:p w14:paraId="6B192A84" w14:textId="77777777" w:rsidR="004A3E11" w:rsidRPr="008D6C5B" w:rsidRDefault="004A3E11"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p>
    <w:p w14:paraId="3F80FB2C" w14:textId="77777777" w:rsidR="004A3E11" w:rsidRPr="008D6C5B"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hyperlink r:id="rId11" w:history="1">
        <w:r w:rsidRPr="00C654FA">
          <w:rPr>
            <w:rFonts w:eastAsia="Lucida Sans Unicode" w:cs="Lucida Sans Unicode"/>
            <w:sz w:val="13"/>
            <w:szCs w:val="13"/>
            <w:bdr w:val="nil"/>
          </w:rPr>
          <w:t>www.evonik.com.br</w:t>
        </w:r>
      </w:hyperlink>
    </w:p>
    <w:p w14:paraId="52308C24" w14:textId="77777777" w:rsidR="004A3E11" w:rsidRPr="008D6C5B" w:rsidRDefault="004A3E11"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p>
    <w:p w14:paraId="2B7D3405" w14:textId="77777777" w:rsidR="004A3E11" w:rsidRPr="008D6C5B" w:rsidRDefault="004A3E11"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p>
    <w:p w14:paraId="7D416FB7" w14:textId="77777777" w:rsidR="004A3E11" w:rsidRPr="008D6C5B"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r w:rsidRPr="00C654FA">
        <w:rPr>
          <w:rFonts w:eastAsia="Lucida Sans Unicode" w:cs="Lucida Sans Unicode"/>
          <w:sz w:val="13"/>
          <w:szCs w:val="13"/>
          <w:bdr w:val="nil"/>
        </w:rPr>
        <w:t>facebook.com/Evonik</w:t>
      </w:r>
    </w:p>
    <w:p w14:paraId="5267BFC2" w14:textId="77777777" w:rsidR="004A3E11" w:rsidRPr="008D6C5B"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r w:rsidRPr="00C654FA">
        <w:rPr>
          <w:rFonts w:eastAsia="Lucida Sans Unicode" w:cs="Lucida Sans Unicode"/>
          <w:sz w:val="13"/>
          <w:szCs w:val="13"/>
          <w:bdr w:val="nil"/>
          <w:lang w:val="pt-BR"/>
        </w:rPr>
        <w:t>instagram.com/</w:t>
      </w:r>
      <w:proofErr w:type="spellStart"/>
      <w:r w:rsidRPr="00C654FA">
        <w:rPr>
          <w:rFonts w:eastAsia="Lucida Sans Unicode" w:cs="Lucida Sans Unicode"/>
          <w:sz w:val="13"/>
          <w:szCs w:val="13"/>
          <w:bdr w:val="nil"/>
          <w:lang w:val="pt-BR"/>
        </w:rPr>
        <w:t>Evonik.Brasil</w:t>
      </w:r>
      <w:proofErr w:type="spellEnd"/>
    </w:p>
    <w:p w14:paraId="71344E1D" w14:textId="77777777" w:rsidR="004A3E11" w:rsidRPr="008D6C5B"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rPr>
      </w:pPr>
      <w:r w:rsidRPr="00C654FA">
        <w:rPr>
          <w:rFonts w:eastAsia="Lucida Sans Unicode" w:cs="Lucida Sans Unicode"/>
          <w:sz w:val="13"/>
          <w:szCs w:val="13"/>
          <w:bdr w:val="nil"/>
          <w:lang w:val="pt-BR"/>
        </w:rPr>
        <w:t>youtube.com/</w:t>
      </w:r>
      <w:proofErr w:type="spellStart"/>
      <w:r w:rsidRPr="00C654FA">
        <w:rPr>
          <w:rFonts w:eastAsia="Lucida Sans Unicode" w:cs="Lucida Sans Unicode"/>
          <w:sz w:val="13"/>
          <w:szCs w:val="13"/>
          <w:bdr w:val="nil"/>
          <w:lang w:val="pt-BR"/>
        </w:rPr>
        <w:t>EvonikIndustries</w:t>
      </w:r>
      <w:proofErr w:type="spellEnd"/>
    </w:p>
    <w:p w14:paraId="7EA5AA2A" w14:textId="77777777" w:rsidR="004A3E11" w:rsidRPr="00B52510"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lang w:val="en-US"/>
        </w:rPr>
      </w:pPr>
      <w:r w:rsidRPr="00C654FA">
        <w:rPr>
          <w:rFonts w:eastAsia="Lucida Sans Unicode" w:cs="Lucida Sans Unicode"/>
          <w:sz w:val="13"/>
          <w:szCs w:val="13"/>
          <w:bdr w:val="nil"/>
          <w:lang w:val="en-US"/>
        </w:rPr>
        <w:t>linkedin.com/company/Evonik</w:t>
      </w:r>
    </w:p>
    <w:p w14:paraId="347E025F" w14:textId="77777777" w:rsidR="004A3E11" w:rsidRPr="00B52510" w:rsidRDefault="00000000" w:rsidP="004A3E11">
      <w:pPr>
        <w:framePr w:w="2821" w:wrap="around" w:vAnchor="page" w:hAnchor="page" w:x="8791" w:y="12361" w:anchorLock="1"/>
        <w:tabs>
          <w:tab w:val="left" w:pos="518"/>
        </w:tabs>
        <w:spacing w:line="180" w:lineRule="exact"/>
        <w:rPr>
          <w:rFonts w:eastAsia="Lucida Sans Unicode" w:cs="Lucida Sans Unicode"/>
          <w:sz w:val="13"/>
          <w:szCs w:val="13"/>
          <w:bdr w:val="nil"/>
          <w:lang w:val="en-US"/>
        </w:rPr>
      </w:pPr>
      <w:r w:rsidRPr="00C654FA">
        <w:rPr>
          <w:rFonts w:eastAsia="Lucida Sans Unicode" w:cs="Lucida Sans Unicode"/>
          <w:sz w:val="13"/>
          <w:szCs w:val="13"/>
          <w:bdr w:val="nil"/>
          <w:lang w:val="en-US"/>
        </w:rPr>
        <w:t>twitter.com/</w:t>
      </w:r>
      <w:proofErr w:type="spellStart"/>
      <w:r w:rsidRPr="00C654FA">
        <w:rPr>
          <w:rFonts w:eastAsia="Lucida Sans Unicode" w:cs="Lucida Sans Unicode"/>
          <w:sz w:val="13"/>
          <w:szCs w:val="13"/>
          <w:bdr w:val="nil"/>
          <w:lang w:val="en-US"/>
        </w:rPr>
        <w:t>Evonik_BR</w:t>
      </w:r>
      <w:proofErr w:type="spellEnd"/>
    </w:p>
    <w:p w14:paraId="612DCCC1" w14:textId="77777777" w:rsidR="003F5509" w:rsidRPr="004A3E11" w:rsidRDefault="00000000" w:rsidP="004A3E11">
      <w:pPr>
        <w:framePr w:w="2821" w:wrap="around" w:vAnchor="page" w:hAnchor="page" w:x="8791" w:y="12361" w:anchorLock="1"/>
        <w:spacing w:line="180" w:lineRule="exact"/>
        <w:rPr>
          <w:sz w:val="13"/>
          <w:szCs w:val="13"/>
          <w:lang w:val="en-US"/>
        </w:rPr>
      </w:pPr>
      <w:r w:rsidRPr="004A3E11">
        <w:rPr>
          <w:sz w:val="13"/>
          <w:szCs w:val="13"/>
          <w:lang w:val="en-US"/>
        </w:rPr>
        <w:t xml:space="preserve"> </w:t>
      </w:r>
    </w:p>
    <w:p w14:paraId="13326FF6" w14:textId="77777777" w:rsidR="003E2241" w:rsidRPr="00C654FA" w:rsidRDefault="00C654FA" w:rsidP="00FA5671">
      <w:pPr>
        <w:pStyle w:val="Ttulo"/>
        <w:rPr>
          <w:lang w:val="es-ES"/>
        </w:rPr>
      </w:pPr>
      <w:r>
        <w:rPr>
          <w:lang w:val="es-AR"/>
        </w:rPr>
        <w:t>Economía débil caracteriza un primer trimestre difícil</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E2241" w14:paraId="340A9BF1" w14:textId="77777777" w:rsidTr="008F08EB">
        <w:trPr>
          <w:trHeight w:val="851"/>
        </w:trPr>
        <w:tc>
          <w:tcPr>
            <w:tcW w:w="2552" w:type="dxa"/>
            <w:shd w:val="clear" w:color="auto" w:fill="auto"/>
          </w:tcPr>
          <w:p w14:paraId="10FDE57F" w14:textId="694D8793" w:rsidR="003E2241" w:rsidRPr="007217AA" w:rsidRDefault="003E2241" w:rsidP="008F08EB">
            <w:pPr>
              <w:pStyle w:val="M7"/>
              <w:framePr w:wrap="auto" w:vAnchor="margin" w:hAnchor="text" w:xAlign="left" w:yAlign="inline"/>
              <w:suppressOverlap w:val="0"/>
              <w:rPr>
                <w:b w:val="0"/>
                <w:sz w:val="18"/>
                <w:szCs w:val="18"/>
                <w:lang w:val="es-ES"/>
              </w:rPr>
            </w:pPr>
            <w:r>
              <w:rPr>
                <w:b w:val="0"/>
                <w:sz w:val="18"/>
                <w:szCs w:val="18"/>
                <w:lang w:val="es-ES"/>
              </w:rPr>
              <w:t xml:space="preserve">11 </w:t>
            </w:r>
            <w:r w:rsidRPr="007217AA">
              <w:rPr>
                <w:b w:val="0"/>
                <w:sz w:val="18"/>
                <w:szCs w:val="18"/>
                <w:lang w:val="es-ES"/>
              </w:rPr>
              <w:t>de ma</w:t>
            </w:r>
            <w:r>
              <w:rPr>
                <w:b w:val="0"/>
                <w:sz w:val="18"/>
                <w:szCs w:val="18"/>
                <w:lang w:val="es-ES"/>
              </w:rPr>
              <w:t>yo</w:t>
            </w:r>
            <w:r w:rsidRPr="007217AA">
              <w:rPr>
                <w:b w:val="0"/>
                <w:sz w:val="18"/>
                <w:szCs w:val="18"/>
                <w:lang w:val="es-ES"/>
              </w:rPr>
              <w:t xml:space="preserve"> de 2023</w:t>
            </w:r>
          </w:p>
          <w:p w14:paraId="7759E44B" w14:textId="77777777" w:rsidR="003E2241" w:rsidRPr="007217AA" w:rsidRDefault="003E2241" w:rsidP="008F08EB">
            <w:pPr>
              <w:pStyle w:val="M7"/>
              <w:framePr w:wrap="auto" w:vAnchor="margin" w:hAnchor="text" w:xAlign="left" w:yAlign="inline"/>
              <w:suppressOverlap w:val="0"/>
              <w:rPr>
                <w:lang w:val="es-ES"/>
              </w:rPr>
            </w:pPr>
          </w:p>
          <w:p w14:paraId="4E980310" w14:textId="77777777" w:rsidR="003E2241" w:rsidRPr="007217AA" w:rsidRDefault="003E2241" w:rsidP="008F08EB">
            <w:pPr>
              <w:pStyle w:val="M7"/>
              <w:framePr w:wrap="auto" w:vAnchor="margin" w:hAnchor="text" w:xAlign="left" w:yAlign="inline"/>
              <w:suppressOverlap w:val="0"/>
              <w:rPr>
                <w:lang w:val="es-ES"/>
              </w:rPr>
            </w:pPr>
          </w:p>
          <w:p w14:paraId="38BA535B" w14:textId="77777777" w:rsidR="003E2241" w:rsidRPr="007217AA" w:rsidRDefault="003E2241" w:rsidP="008F08EB">
            <w:pPr>
              <w:pStyle w:val="M7"/>
              <w:framePr w:wrap="auto" w:vAnchor="margin" w:hAnchor="text" w:xAlign="left" w:yAlign="inline"/>
              <w:suppressOverlap w:val="0"/>
              <w:rPr>
                <w:lang w:val="es-ES"/>
              </w:rPr>
            </w:pPr>
            <w:r w:rsidRPr="007217AA">
              <w:rPr>
                <w:rFonts w:eastAsia="Lucida Sans Unicode" w:cs="Lucida Sans Unicode"/>
                <w:szCs w:val="13"/>
                <w:bdr w:val="nil"/>
                <w:lang w:val="es-ES"/>
              </w:rPr>
              <w:t>Regina Bárbara</w:t>
            </w:r>
          </w:p>
          <w:p w14:paraId="5F1C9C07" w14:textId="77777777" w:rsidR="003E2241" w:rsidRPr="005A1FDF" w:rsidRDefault="003E2241" w:rsidP="008F08EB">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679AADCE" w14:textId="77777777" w:rsidR="003E2241" w:rsidRPr="008D6C5B" w:rsidRDefault="003E2241" w:rsidP="008F08EB">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3E2241" w14:paraId="146F51BB" w14:textId="77777777" w:rsidTr="008F08EB">
        <w:trPr>
          <w:trHeight w:val="851"/>
        </w:trPr>
        <w:tc>
          <w:tcPr>
            <w:tcW w:w="2552" w:type="dxa"/>
            <w:shd w:val="clear" w:color="auto" w:fill="auto"/>
          </w:tcPr>
          <w:p w14:paraId="160D39CE" w14:textId="77777777" w:rsidR="003E2241" w:rsidRPr="008D6C5B" w:rsidRDefault="003E2241" w:rsidP="008F08EB">
            <w:pPr>
              <w:pStyle w:val="M10"/>
              <w:framePr w:wrap="auto" w:vAnchor="margin" w:hAnchor="text" w:xAlign="left" w:yAlign="inline"/>
              <w:suppressOverlap w:val="0"/>
              <w:rPr>
                <w:lang w:val="pt-BR"/>
              </w:rPr>
            </w:pPr>
          </w:p>
        </w:tc>
      </w:tr>
    </w:tbl>
    <w:p w14:paraId="5DC764D0" w14:textId="77777777" w:rsidR="00C3056B" w:rsidRPr="00C654FA" w:rsidRDefault="00C3056B" w:rsidP="0006177F">
      <w:pPr>
        <w:pStyle w:val="Ttulo"/>
        <w:rPr>
          <w:lang w:val="es-ES"/>
        </w:rPr>
      </w:pPr>
    </w:p>
    <w:p w14:paraId="4573799F" w14:textId="7333E25D" w:rsidR="006E383C" w:rsidRPr="00C654FA" w:rsidRDefault="00000000" w:rsidP="00FA5671">
      <w:pPr>
        <w:numPr>
          <w:ilvl w:val="0"/>
          <w:numId w:val="32"/>
        </w:numPr>
        <w:tabs>
          <w:tab w:val="clear" w:pos="1425"/>
          <w:tab w:val="num" w:pos="340"/>
        </w:tabs>
        <w:ind w:left="340" w:right="85" w:hanging="340"/>
        <w:rPr>
          <w:rFonts w:cs="Lucida Sans Unicode"/>
          <w:szCs w:val="22"/>
          <w:lang w:val="es-ES"/>
        </w:rPr>
      </w:pPr>
      <w:r w:rsidRPr="00B11EE0">
        <w:rPr>
          <w:rFonts w:cs="Lucida Sans Unicode"/>
          <w:szCs w:val="22"/>
          <w:lang w:val="es-AR"/>
        </w:rPr>
        <w:t xml:space="preserve">EBITDA ajustado se redujo un 44 % a 409 millones de euros </w:t>
      </w:r>
    </w:p>
    <w:p w14:paraId="7A0D9E7A" w14:textId="77777777" w:rsidR="006E383C" w:rsidRPr="00C654FA" w:rsidRDefault="00000000" w:rsidP="00625ABA">
      <w:pPr>
        <w:numPr>
          <w:ilvl w:val="0"/>
          <w:numId w:val="32"/>
        </w:numPr>
        <w:tabs>
          <w:tab w:val="clear" w:pos="1425"/>
          <w:tab w:val="num" w:pos="340"/>
        </w:tabs>
        <w:ind w:left="340" w:right="85" w:hanging="340"/>
        <w:rPr>
          <w:rFonts w:cs="Lucida Sans Unicode"/>
          <w:szCs w:val="22"/>
          <w:lang w:val="es-ES"/>
        </w:rPr>
      </w:pPr>
      <w:r w:rsidRPr="00B11EE0">
        <w:rPr>
          <w:rFonts w:cs="Lucida Sans Unicode"/>
          <w:szCs w:val="22"/>
          <w:lang w:val="es-AR"/>
        </w:rPr>
        <w:t>Previsión de ingresos confirmada en el extremo inferior del rango</w:t>
      </w:r>
    </w:p>
    <w:p w14:paraId="7785A6BA" w14:textId="77777777" w:rsidR="006E383C" w:rsidRPr="00C654FA" w:rsidRDefault="00000000" w:rsidP="00625ABA">
      <w:pPr>
        <w:numPr>
          <w:ilvl w:val="0"/>
          <w:numId w:val="32"/>
        </w:numPr>
        <w:tabs>
          <w:tab w:val="clear" w:pos="1425"/>
          <w:tab w:val="num" w:pos="340"/>
        </w:tabs>
        <w:ind w:left="340" w:right="85" w:hanging="340"/>
        <w:rPr>
          <w:rFonts w:cs="Lucida Sans Unicode"/>
          <w:szCs w:val="22"/>
          <w:lang w:val="es-ES"/>
        </w:rPr>
      </w:pPr>
      <w:r w:rsidRPr="00B11EE0">
        <w:rPr>
          <w:rFonts w:cs="Lucida Sans Unicode"/>
          <w:szCs w:val="22"/>
          <w:lang w:val="es-AR"/>
        </w:rPr>
        <w:t xml:space="preserve">Venta del site de </w:t>
      </w:r>
      <w:proofErr w:type="spellStart"/>
      <w:r w:rsidRPr="00B11EE0">
        <w:rPr>
          <w:rFonts w:cs="Lucida Sans Unicode"/>
          <w:szCs w:val="22"/>
          <w:lang w:val="es-AR"/>
        </w:rPr>
        <w:t>Lülsdorf</w:t>
      </w:r>
      <w:proofErr w:type="spellEnd"/>
      <w:r w:rsidRPr="00B11EE0">
        <w:rPr>
          <w:rFonts w:cs="Lucida Sans Unicode"/>
          <w:szCs w:val="22"/>
          <w:lang w:val="es-AR"/>
        </w:rPr>
        <w:t xml:space="preserve"> concluida con éxito</w:t>
      </w:r>
    </w:p>
    <w:p w14:paraId="5D5A29E0" w14:textId="77777777" w:rsidR="00C421AD" w:rsidRPr="00C654FA" w:rsidRDefault="00C421AD" w:rsidP="0006177F">
      <w:pPr>
        <w:rPr>
          <w:szCs w:val="22"/>
          <w:lang w:val="es-ES"/>
        </w:rPr>
      </w:pPr>
    </w:p>
    <w:p w14:paraId="67055D66" w14:textId="2105A41A" w:rsidR="00E506FB" w:rsidRPr="00C654FA" w:rsidRDefault="00000000" w:rsidP="00154D38">
      <w:pPr>
        <w:rPr>
          <w:lang w:val="es-ES"/>
        </w:rPr>
      </w:pPr>
      <w:r w:rsidRPr="006048CC">
        <w:rPr>
          <w:lang w:val="es-AR"/>
        </w:rPr>
        <w:t xml:space="preserve">A pesar de las dificultades enfrentadas el primer trimestre, Evonik confirma su previsión de ingresos para 2023. "El comienzo del año fue todavía más desafiante de lo esperado", dijo Christian </w:t>
      </w:r>
      <w:proofErr w:type="spellStart"/>
      <w:r w:rsidRPr="006048CC">
        <w:rPr>
          <w:lang w:val="es-AR"/>
        </w:rPr>
        <w:t>Kullmann</w:t>
      </w:r>
      <w:proofErr w:type="spellEnd"/>
      <w:r w:rsidRPr="006048CC">
        <w:rPr>
          <w:lang w:val="es-AR"/>
        </w:rPr>
        <w:t xml:space="preserve">, </w:t>
      </w:r>
      <w:r w:rsidR="00C654FA">
        <w:rPr>
          <w:lang w:val="es-AR"/>
        </w:rPr>
        <w:t>p</w:t>
      </w:r>
      <w:r w:rsidRPr="006048CC">
        <w:rPr>
          <w:lang w:val="es-AR"/>
        </w:rPr>
        <w:t>residente del Directorio. "Sin embargo, a lo largo del trimestre, pudimos ver señales de un repunte de los negocios. Tanto febrero como marzo fueron mejores que el mes anterior desde el punto de vista del resultado operativo</w:t>
      </w:r>
      <w:r w:rsidR="00C654FA">
        <w:rPr>
          <w:lang w:val="es-AR"/>
        </w:rPr>
        <w:t>”, sostuvo del ejecutivo</w:t>
      </w:r>
      <w:r w:rsidRPr="006048CC">
        <w:rPr>
          <w:lang w:val="es-AR"/>
        </w:rPr>
        <w:t xml:space="preserve">. </w:t>
      </w:r>
    </w:p>
    <w:p w14:paraId="53DD08E4" w14:textId="77777777" w:rsidR="00F2697E" w:rsidRPr="00C654FA" w:rsidRDefault="00F2697E" w:rsidP="00F2697E">
      <w:pPr>
        <w:rPr>
          <w:lang w:val="es-ES"/>
        </w:rPr>
      </w:pPr>
    </w:p>
    <w:p w14:paraId="61AAEFD0" w14:textId="77777777" w:rsidR="00F03DA3" w:rsidRPr="00C654FA" w:rsidRDefault="00000000" w:rsidP="007024C3">
      <w:pPr>
        <w:rPr>
          <w:szCs w:val="22"/>
          <w:lang w:val="es-ES"/>
        </w:rPr>
      </w:pPr>
      <w:r w:rsidRPr="00942A92">
        <w:rPr>
          <w:lang w:val="es-AR"/>
        </w:rPr>
        <w:t xml:space="preserve">El primer trimestre se caracterizó por una actividad económica débil y una demanda baja, y los clientes aún trataban de reducir sus inventarios, especialmente en las primeras semanas del nuevo año. En general, las ventas cayeron un 11 % a 4000 millones de euros y los volúmenes bajaron un 14 %. Los precios más altos compensaron algunas de las pérdidas en volumen y contrarrestaron los efectos de la inflación. El EBITDA ajustado se redujo un 44 % a 409 millones de euros. </w:t>
      </w:r>
    </w:p>
    <w:p w14:paraId="75BEE85C" w14:textId="77777777" w:rsidR="00F03DA3" w:rsidRPr="00C654FA" w:rsidRDefault="00F03DA3" w:rsidP="007024C3">
      <w:pPr>
        <w:rPr>
          <w:szCs w:val="22"/>
          <w:lang w:val="es-ES"/>
        </w:rPr>
      </w:pPr>
    </w:p>
    <w:p w14:paraId="37E4FD8B" w14:textId="5A462454" w:rsidR="0023190B" w:rsidRPr="00C654FA" w:rsidRDefault="00000000" w:rsidP="007024C3">
      <w:pPr>
        <w:rPr>
          <w:lang w:val="es-ES"/>
        </w:rPr>
      </w:pPr>
      <w:r w:rsidRPr="009751DC">
        <w:rPr>
          <w:szCs w:val="22"/>
          <w:lang w:val="es-AR"/>
        </w:rPr>
        <w:t xml:space="preserve">A pesar de los frágiles resultados operativos, el flujo de caja libre alcanzó los 21 millones de euros. "Para cumplir con nuestro objetivo de flujo de caja libre este año, debemos intensificar nuestros esfuerzos", dijo </w:t>
      </w:r>
      <w:proofErr w:type="spellStart"/>
      <w:r w:rsidRPr="009751DC">
        <w:rPr>
          <w:szCs w:val="22"/>
          <w:lang w:val="es-AR"/>
        </w:rPr>
        <w:t>Maike</w:t>
      </w:r>
      <w:proofErr w:type="spellEnd"/>
      <w:r w:rsidRPr="009751DC">
        <w:rPr>
          <w:szCs w:val="22"/>
          <w:lang w:val="es-AR"/>
        </w:rPr>
        <w:t xml:space="preserve"> </w:t>
      </w:r>
      <w:proofErr w:type="spellStart"/>
      <w:r w:rsidRPr="009751DC">
        <w:rPr>
          <w:szCs w:val="22"/>
          <w:lang w:val="es-AR"/>
        </w:rPr>
        <w:t>Schuh</w:t>
      </w:r>
      <w:proofErr w:type="spellEnd"/>
      <w:r w:rsidRPr="009751DC">
        <w:rPr>
          <w:szCs w:val="22"/>
          <w:lang w:val="es-AR"/>
        </w:rPr>
        <w:t>, CFO de la empresa desde el 1° de abril. "Necesitamos mucha disciplina en la administración de nuestro capital circulante y de las inversiones. Vamos a tener que unirnos y demostrar que podemos superar esta coyuntura difícil". Para todo el año, Evonik proyecta un EBITDA ajustado en el extremo inferior del rango de previsión, de 2100 a 2</w:t>
      </w:r>
      <w:r w:rsidR="00662D30">
        <w:rPr>
          <w:szCs w:val="22"/>
          <w:lang w:val="es-AR"/>
        </w:rPr>
        <w:t>4</w:t>
      </w:r>
      <w:r w:rsidRPr="009751DC">
        <w:rPr>
          <w:szCs w:val="22"/>
          <w:lang w:val="es-AR"/>
        </w:rPr>
        <w:t>00 millones de euros. Las principales razones: la caída de los precios en el sector de la metionina (aditivo para la alimentación animal) y la de los productos de la cadena del C</w:t>
      </w:r>
      <w:r w:rsidR="005F0535" w:rsidRPr="009751DC">
        <w:rPr>
          <w:szCs w:val="22"/>
          <w:vertAlign w:val="subscript"/>
          <w:lang w:val="es-AR"/>
        </w:rPr>
        <w:t>4</w:t>
      </w:r>
      <w:r w:rsidRPr="009751DC">
        <w:rPr>
          <w:szCs w:val="22"/>
          <w:lang w:val="es-AR"/>
        </w:rPr>
        <w:t xml:space="preserve">. Sin dejarse desanimar por los desafíos actuales, Evonik avanza con sus ajustes de portafolio anunciados. La primera etapa de desinversión de la división Performance </w:t>
      </w:r>
      <w:proofErr w:type="spellStart"/>
      <w:r w:rsidRPr="009751DC">
        <w:rPr>
          <w:szCs w:val="22"/>
          <w:lang w:val="es-AR"/>
        </w:rPr>
        <w:t>Materials</w:t>
      </w:r>
      <w:proofErr w:type="spellEnd"/>
      <w:r w:rsidRPr="009751DC">
        <w:rPr>
          <w:szCs w:val="22"/>
          <w:lang w:val="es-AR"/>
        </w:rPr>
        <w:t xml:space="preserve"> fue la venta del site de </w:t>
      </w:r>
      <w:proofErr w:type="spellStart"/>
      <w:r w:rsidRPr="009751DC">
        <w:rPr>
          <w:szCs w:val="22"/>
          <w:lang w:val="es-AR"/>
        </w:rPr>
        <w:t>Lülsdorf</w:t>
      </w:r>
      <w:proofErr w:type="spellEnd"/>
      <w:r w:rsidRPr="009751DC">
        <w:rPr>
          <w:szCs w:val="22"/>
          <w:lang w:val="es-AR"/>
        </w:rPr>
        <w:t xml:space="preserve">, en </w:t>
      </w:r>
      <w:r w:rsidRPr="009751DC">
        <w:rPr>
          <w:szCs w:val="22"/>
          <w:lang w:val="es-AR"/>
        </w:rPr>
        <w:lastRenderedPageBreak/>
        <w:t xml:space="preserve">Alemania. La venta del negocio de </w:t>
      </w:r>
      <w:proofErr w:type="spellStart"/>
      <w:r w:rsidRPr="009751DC">
        <w:rPr>
          <w:szCs w:val="22"/>
          <w:lang w:val="es-AR"/>
        </w:rPr>
        <w:t>Superabsorbents</w:t>
      </w:r>
      <w:proofErr w:type="spellEnd"/>
      <w:r w:rsidRPr="009751DC">
        <w:rPr>
          <w:szCs w:val="22"/>
          <w:lang w:val="es-AR"/>
        </w:rPr>
        <w:t xml:space="preserve"> está en curso. </w:t>
      </w:r>
      <w:proofErr w:type="spellStart"/>
      <w:r w:rsidRPr="009751DC">
        <w:rPr>
          <w:szCs w:val="22"/>
          <w:lang w:val="es-AR"/>
        </w:rPr>
        <w:t>Teasers</w:t>
      </w:r>
      <w:proofErr w:type="spellEnd"/>
      <w:r w:rsidRPr="009751DC">
        <w:rPr>
          <w:szCs w:val="22"/>
          <w:lang w:val="es-AR"/>
        </w:rPr>
        <w:t xml:space="preserve"> de inversión se presentaron en marzo y el proceso está progresando de acuerdo con los planes. </w:t>
      </w:r>
    </w:p>
    <w:p w14:paraId="66DF9B87" w14:textId="77777777" w:rsidR="0023190B" w:rsidRPr="00C654FA" w:rsidRDefault="0023190B" w:rsidP="0023190B">
      <w:pPr>
        <w:rPr>
          <w:lang w:val="es-ES"/>
        </w:rPr>
      </w:pPr>
    </w:p>
    <w:p w14:paraId="2B5E88AC" w14:textId="77777777" w:rsidR="0023190B" w:rsidRPr="00C654FA" w:rsidRDefault="00000000" w:rsidP="00924C4F">
      <w:pPr>
        <w:rPr>
          <w:lang w:val="es-ES"/>
        </w:rPr>
      </w:pPr>
      <w:r w:rsidRPr="006048CC">
        <w:rPr>
          <w:lang w:val="es-AR"/>
        </w:rPr>
        <w:t xml:space="preserve">Las medidas adoptadas para ajustar los costos, incluidos los recortes en el número de consultores externos, la reducción de los viajes de negocios y la contratación disciplinada, también están teniendo efecto. Sin embargo, la mayor parte de nuestro objetivo de ahorrar 250 millones de euros no se cumplirá hasta más adelante este año. </w:t>
      </w:r>
    </w:p>
    <w:p w14:paraId="64AE0746" w14:textId="77777777" w:rsidR="0023190B" w:rsidRPr="00C654FA" w:rsidRDefault="0023190B" w:rsidP="0023190B">
      <w:pPr>
        <w:rPr>
          <w:lang w:val="es-ES"/>
        </w:rPr>
      </w:pPr>
    </w:p>
    <w:p w14:paraId="0359EBA4" w14:textId="77777777" w:rsidR="003603CB" w:rsidRPr="00C654FA" w:rsidRDefault="00000000" w:rsidP="009B56BC">
      <w:pPr>
        <w:rPr>
          <w:lang w:val="es-ES"/>
        </w:rPr>
      </w:pPr>
      <w:r w:rsidRPr="006048CC">
        <w:rPr>
          <w:lang w:val="es-AR"/>
        </w:rPr>
        <w:t>Mientras tanto, la implementación de la estrategia de sostenibilidad está ganando impulso. En marzo, Evonik comenzó la construcción de una nueva planta de producción de escala mundial para lípidos farmacéuticos en los Estados Unidos. La empresa también inauguró una planta productiva correspondiente, para cantidades clínicas en Hanau, Alemania. En febrero, empezó la producción en una nueva planta de membranas para la separación de gas en Austria.</w:t>
      </w:r>
    </w:p>
    <w:p w14:paraId="2BB19293" w14:textId="77777777" w:rsidR="0023190B" w:rsidRPr="00C654FA" w:rsidRDefault="0023190B" w:rsidP="0043547E">
      <w:pPr>
        <w:rPr>
          <w:b/>
          <w:bCs/>
          <w:lang w:val="es-ES"/>
        </w:rPr>
      </w:pPr>
    </w:p>
    <w:p w14:paraId="5650DA62" w14:textId="77777777" w:rsidR="0063241D" w:rsidRPr="00C654FA" w:rsidRDefault="0063241D" w:rsidP="0043547E">
      <w:pPr>
        <w:rPr>
          <w:b/>
          <w:bCs/>
          <w:lang w:val="es-ES"/>
        </w:rPr>
      </w:pPr>
    </w:p>
    <w:p w14:paraId="76D6B84A" w14:textId="77777777" w:rsidR="0043547E" w:rsidRPr="00C654FA" w:rsidRDefault="00000000" w:rsidP="009B56BC">
      <w:pPr>
        <w:rPr>
          <w:b/>
          <w:bCs/>
          <w:lang w:val="es-ES"/>
        </w:rPr>
      </w:pPr>
      <w:r w:rsidRPr="009751DC">
        <w:rPr>
          <w:b/>
          <w:bCs/>
          <w:lang w:val="es-AR"/>
        </w:rPr>
        <w:t xml:space="preserve">Desarrollo en las divisiones químicas </w:t>
      </w:r>
    </w:p>
    <w:p w14:paraId="2668F528" w14:textId="77777777" w:rsidR="0043547E" w:rsidRPr="00C654FA" w:rsidRDefault="0043547E" w:rsidP="0043547E">
      <w:pPr>
        <w:rPr>
          <w:lang w:val="es-ES"/>
        </w:rPr>
      </w:pPr>
    </w:p>
    <w:p w14:paraId="2391C631" w14:textId="77777777" w:rsidR="0043547E" w:rsidRPr="00C654FA" w:rsidRDefault="00000000" w:rsidP="005D285D">
      <w:pPr>
        <w:rPr>
          <w:lang w:val="es-ES"/>
        </w:rPr>
      </w:pPr>
      <w:r w:rsidRPr="009751DC">
        <w:rPr>
          <w:b/>
          <w:bCs/>
          <w:lang w:val="es-AR"/>
        </w:rPr>
        <w:t xml:space="preserve">Specialty </w:t>
      </w:r>
      <w:proofErr w:type="spellStart"/>
      <w:r w:rsidRPr="009751DC">
        <w:rPr>
          <w:b/>
          <w:bCs/>
          <w:lang w:val="es-AR"/>
        </w:rPr>
        <w:t>Additives</w:t>
      </w:r>
      <w:proofErr w:type="spellEnd"/>
      <w:r w:rsidRPr="009751DC">
        <w:rPr>
          <w:b/>
          <w:bCs/>
          <w:lang w:val="es-AR"/>
        </w:rPr>
        <w:t>:</w:t>
      </w:r>
      <w:r w:rsidRPr="009751DC">
        <w:rPr>
          <w:lang w:val="es-AR"/>
        </w:rPr>
        <w:t xml:space="preserve"> En la división Specialty </w:t>
      </w:r>
      <w:proofErr w:type="spellStart"/>
      <w:r w:rsidRPr="009751DC">
        <w:rPr>
          <w:lang w:val="es-AR"/>
        </w:rPr>
        <w:t>Additives</w:t>
      </w:r>
      <w:proofErr w:type="spellEnd"/>
      <w:r w:rsidRPr="009751DC">
        <w:rPr>
          <w:lang w:val="es-AR"/>
        </w:rPr>
        <w:t xml:space="preserve">, los ingresos disminuyeron un 12 % a 921 millones de euros debido a la caída de los volúmenes. Los precios de venta se incrementaron para transmitir los aumentos en la materia prima y los costos de energía. Los productos para las industrias de la construcción y de recubrimientos generaron ingresos notablemente reducidos. Por su parte, las ventas de aditivos para espumas de poliuretano y bienes de consumo durables también fueron más bajas. Esto se debió, principalmente, a la reducción de los volúmenes. En el sector de aditivos para la industria automotriz, la caída de los volúmenes se vio compensada por el aumento de los precios de venta, lo que resultó en ventas prácticamente estables. El EBITDA ajustado de 168 millones de euros fue un 33 % inferior al resultado del mismo período del año pasado. El margen EBITDA ajustado en el primer trimestre se redujo al 18,2 % en comparación con el 24 % interanual. </w:t>
      </w:r>
    </w:p>
    <w:p w14:paraId="2A6D044B" w14:textId="77777777" w:rsidR="008936C2" w:rsidRPr="00C654FA" w:rsidRDefault="008936C2" w:rsidP="008936C2">
      <w:pPr>
        <w:rPr>
          <w:lang w:val="es-ES"/>
        </w:rPr>
      </w:pPr>
    </w:p>
    <w:p w14:paraId="334A7774" w14:textId="77777777" w:rsidR="0043547E" w:rsidRPr="00C654FA" w:rsidRDefault="00000000" w:rsidP="00C96323">
      <w:pPr>
        <w:rPr>
          <w:lang w:val="es-ES"/>
        </w:rPr>
      </w:pPr>
      <w:proofErr w:type="spellStart"/>
      <w:r w:rsidRPr="009751DC">
        <w:rPr>
          <w:b/>
          <w:bCs/>
          <w:lang w:val="es-AR"/>
        </w:rPr>
        <w:lastRenderedPageBreak/>
        <w:t>Nutrition</w:t>
      </w:r>
      <w:proofErr w:type="spellEnd"/>
      <w:r w:rsidRPr="009751DC">
        <w:rPr>
          <w:b/>
          <w:bCs/>
          <w:lang w:val="es-AR"/>
        </w:rPr>
        <w:t xml:space="preserve"> &amp; Care:</w:t>
      </w:r>
      <w:r w:rsidRPr="009751DC">
        <w:rPr>
          <w:lang w:val="es-AR"/>
        </w:rPr>
        <w:t xml:space="preserve"> En la división de </w:t>
      </w:r>
      <w:proofErr w:type="spellStart"/>
      <w:r w:rsidRPr="009751DC">
        <w:rPr>
          <w:lang w:val="es-AR"/>
        </w:rPr>
        <w:t>Nutrition</w:t>
      </w:r>
      <w:proofErr w:type="spellEnd"/>
      <w:r w:rsidRPr="009751DC">
        <w:rPr>
          <w:lang w:val="es-AR"/>
        </w:rPr>
        <w:t xml:space="preserve"> &amp; Care, los ingresos retrocedieron un 15 % a 886 millones de euros debido a volúmenes significativamente más bajos. El modelo operativo de la línea de negocios Animal </w:t>
      </w:r>
      <w:proofErr w:type="spellStart"/>
      <w:r w:rsidRPr="009751DC">
        <w:rPr>
          <w:lang w:val="es-AR"/>
        </w:rPr>
        <w:t>Nutrition</w:t>
      </w:r>
      <w:proofErr w:type="spellEnd"/>
      <w:r w:rsidRPr="009751DC">
        <w:rPr>
          <w:lang w:val="es-AR"/>
        </w:rPr>
        <w:t xml:space="preserve"> está en proceso de ajuste, para hacer con que el negocio de aminoácidos sea más competitivo y más rentable. La continua caída de los precios de la metionina ilustra la urgencia de esta medida. Las ventas de este negocio tuvieron una caída significativa. Sin embargo, los productos para el sector de la salud y cuidados registraron precios de venta superiores con volúmenes más bajos. Ello resultó en ingresos solo ligeramente menores en comparación con los del mismo período del año anterior.  El EBITDA ajustado disminuyó un 66 % a 76 millones de euros. El margen EBITDA ajustado retrocedió al 8,6 % en comparación con el 21,4 % en el primer trimestre de 2022. </w:t>
      </w:r>
    </w:p>
    <w:p w14:paraId="4AD57E8C" w14:textId="77777777" w:rsidR="00F10108" w:rsidRPr="00C654FA" w:rsidRDefault="00F10108" w:rsidP="0043547E">
      <w:pPr>
        <w:rPr>
          <w:lang w:val="es-ES"/>
        </w:rPr>
      </w:pPr>
    </w:p>
    <w:p w14:paraId="7B649FCA" w14:textId="77777777" w:rsidR="0043547E" w:rsidRPr="00C654FA" w:rsidRDefault="00000000" w:rsidP="002952E2">
      <w:pPr>
        <w:rPr>
          <w:lang w:val="es-ES"/>
        </w:rPr>
      </w:pPr>
      <w:r w:rsidRPr="009751DC">
        <w:rPr>
          <w:b/>
          <w:bCs/>
          <w:lang w:val="es-AR"/>
        </w:rPr>
        <w:t xml:space="preserve">Smart </w:t>
      </w:r>
      <w:proofErr w:type="spellStart"/>
      <w:r w:rsidRPr="009751DC">
        <w:rPr>
          <w:b/>
          <w:bCs/>
          <w:lang w:val="es-AR"/>
        </w:rPr>
        <w:t>Materials</w:t>
      </w:r>
      <w:proofErr w:type="spellEnd"/>
      <w:r w:rsidRPr="009751DC">
        <w:rPr>
          <w:b/>
          <w:bCs/>
          <w:lang w:val="es-AR"/>
        </w:rPr>
        <w:t>:</w:t>
      </w:r>
      <w:r w:rsidRPr="009751DC">
        <w:rPr>
          <w:lang w:val="es-AR"/>
        </w:rPr>
        <w:t xml:space="preserve"> Los ingresos en la división Smart </w:t>
      </w:r>
      <w:proofErr w:type="spellStart"/>
      <w:r w:rsidRPr="009751DC">
        <w:rPr>
          <w:lang w:val="es-AR"/>
        </w:rPr>
        <w:t>Materials</w:t>
      </w:r>
      <w:proofErr w:type="spellEnd"/>
      <w:r w:rsidRPr="009751DC">
        <w:rPr>
          <w:lang w:val="es-AR"/>
        </w:rPr>
        <w:t xml:space="preserve"> se redujeron un 7 % a 1188 millones de euros debido a la caída de los volúmenes de ventas. Los precios de venta fueron más altos en razón de la transferencia del aumento en los costos de las materias primas. Los productos inorgánicos registraron ingresos significativamente menores como resultado de la baja de la demanda. Los precios de venta más altos reflejan el aumento de los costos variables. Las nuevas capacidades para los polímeros de alto rendimiento PA12 creadas en </w:t>
      </w:r>
      <w:proofErr w:type="spellStart"/>
      <w:r w:rsidRPr="009751DC">
        <w:rPr>
          <w:lang w:val="es-AR"/>
        </w:rPr>
        <w:t>Marl</w:t>
      </w:r>
      <w:proofErr w:type="spellEnd"/>
      <w:r w:rsidRPr="009751DC">
        <w:rPr>
          <w:lang w:val="es-AR"/>
        </w:rPr>
        <w:t>, Alemania, fueron absorbidas por la fuerte demanda del mercado. El EBITDA ajustado disminuyó un 23 % a 164 millones de euros, principalmente como resultado de la caída de los volúmenes y el aumento de los costos de las materias primas. El margen EBITDA ajustado se redujo del 16,5 % al 13,8 %.</w:t>
      </w:r>
    </w:p>
    <w:p w14:paraId="5E530DE7" w14:textId="77777777" w:rsidR="00F10108" w:rsidRPr="00C654FA" w:rsidRDefault="00F10108" w:rsidP="00F10108">
      <w:pPr>
        <w:rPr>
          <w:lang w:val="es-ES"/>
        </w:rPr>
      </w:pPr>
    </w:p>
    <w:p w14:paraId="33494B22" w14:textId="77777777" w:rsidR="007F50F8" w:rsidRDefault="00000000" w:rsidP="006048CC">
      <w:pPr>
        <w:rPr>
          <w:lang w:val="es-AR"/>
        </w:rPr>
      </w:pPr>
      <w:r w:rsidRPr="009751DC">
        <w:rPr>
          <w:b/>
          <w:bCs/>
          <w:lang w:val="es-AR"/>
        </w:rPr>
        <w:t xml:space="preserve">Performance </w:t>
      </w:r>
      <w:proofErr w:type="spellStart"/>
      <w:r w:rsidRPr="009751DC">
        <w:rPr>
          <w:b/>
          <w:bCs/>
          <w:lang w:val="es-AR"/>
        </w:rPr>
        <w:t>Materials</w:t>
      </w:r>
      <w:proofErr w:type="spellEnd"/>
      <w:r w:rsidRPr="009751DC">
        <w:rPr>
          <w:b/>
          <w:bCs/>
          <w:lang w:val="es-AR"/>
        </w:rPr>
        <w:t>:</w:t>
      </w:r>
      <w:r w:rsidR="0043547E" w:rsidRPr="009751DC">
        <w:rPr>
          <w:lang w:val="es-AR"/>
        </w:rPr>
        <w:t xml:space="preserve"> Los ingresos de la división cayeron un 16 % a 707 millones de euros por causa de la caída de los volúmenes y los precios. Los productos de la cadena del C4 vieron una disminución en la demanda y los precios, lo que resultó en una reducción significativa en las ventas. Por su parte, las ventas de superabsorbentes aumentaron con mejores precios de venta. El EBITDA ajustado cayó un 55 % a 37 millones de euros, principalmente debido a la reducción de los volúmenes. El margen EBITDA ajustado cayó de 9,7 % a 5,2 %.</w:t>
      </w:r>
    </w:p>
    <w:p w14:paraId="33FAA94E" w14:textId="77777777" w:rsidR="00111CE9" w:rsidRPr="009751DC" w:rsidRDefault="00111CE9" w:rsidP="006048CC">
      <w:pPr>
        <w:rPr>
          <w:lang w:val="pt-BR"/>
        </w:rPr>
      </w:pPr>
    </w:p>
    <w:p w14:paraId="1DD426A1" w14:textId="77777777" w:rsidR="002530DF" w:rsidRPr="009751DC" w:rsidRDefault="002530DF" w:rsidP="0043547E">
      <w:pPr>
        <w:rPr>
          <w:lang w:val="pt-BR"/>
        </w:rPr>
      </w:pPr>
    </w:p>
    <w:tbl>
      <w:tblPr>
        <w:tblW w:w="0" w:type="dxa"/>
        <w:tblLayout w:type="fixed"/>
        <w:tblCellMar>
          <w:left w:w="0" w:type="dxa"/>
          <w:right w:w="0" w:type="dxa"/>
        </w:tblCellMar>
        <w:tblLook w:val="0000" w:firstRow="0" w:lastRow="0" w:firstColumn="0" w:lastColumn="0" w:noHBand="0" w:noVBand="0"/>
        <w:tblDescription w:val="SNEID_d01d09a79bef44ffa2bd198055d4873f"/>
      </w:tblPr>
      <w:tblGrid>
        <w:gridCol w:w="6333"/>
        <w:gridCol w:w="119"/>
        <w:gridCol w:w="1021"/>
        <w:gridCol w:w="119"/>
        <w:gridCol w:w="1021"/>
        <w:gridCol w:w="119"/>
        <w:gridCol w:w="1021"/>
      </w:tblGrid>
      <w:tr w:rsidR="005B3B09" w14:paraId="558706C3" w14:textId="77777777" w:rsidTr="00286A1E">
        <w:tc>
          <w:tcPr>
            <w:tcW w:w="9753" w:type="dxa"/>
            <w:gridSpan w:val="7"/>
            <w:vAlign w:val="bottom"/>
          </w:tcPr>
          <w:p w14:paraId="6EDAA8B4" w14:textId="77777777" w:rsidR="00CE654B" w:rsidRPr="00C654FA" w:rsidRDefault="00000000" w:rsidP="00286A1E">
            <w:pPr>
              <w:pStyle w:val="TTitleText"/>
              <w:rPr>
                <w:lang w:val="es-ES"/>
              </w:rPr>
            </w:pPr>
            <w:bookmarkStart w:id="0" w:name="WfTarget"/>
            <w:bookmarkStart w:id="1" w:name="SNEID_d01d09a79bef44ffa2bd198055d4873f"/>
            <w:bookmarkEnd w:id="0"/>
            <w:r>
              <w:rPr>
                <w:lang w:val="es-AR"/>
              </w:rPr>
              <w:t>Resumen del Estado de resultados</w:t>
            </w:r>
          </w:p>
        </w:tc>
      </w:tr>
      <w:tr w:rsidR="005B3B09" w14:paraId="282CF512" w14:textId="77777777" w:rsidTr="00286A1E">
        <w:tc>
          <w:tcPr>
            <w:tcW w:w="6333" w:type="dxa"/>
            <w:tcBorders>
              <w:top w:val="single" w:sz="8" w:space="0" w:color="000000"/>
            </w:tcBorders>
            <w:vAlign w:val="bottom"/>
          </w:tcPr>
          <w:p w14:paraId="381B4CF8" w14:textId="77777777" w:rsidR="00CE654B" w:rsidRPr="00C654FA" w:rsidRDefault="00CE654B" w:rsidP="00286A1E">
            <w:pPr>
              <w:pStyle w:val="TDummy"/>
              <w:keepNext/>
              <w:rPr>
                <w:lang w:val="es-ES"/>
              </w:rPr>
            </w:pPr>
          </w:p>
        </w:tc>
        <w:tc>
          <w:tcPr>
            <w:tcW w:w="119" w:type="dxa"/>
            <w:tcBorders>
              <w:top w:val="single" w:sz="8" w:space="0" w:color="000000"/>
            </w:tcBorders>
            <w:vAlign w:val="bottom"/>
          </w:tcPr>
          <w:p w14:paraId="0A648FAD" w14:textId="77777777" w:rsidR="00CE654B" w:rsidRPr="00C654FA" w:rsidRDefault="00CE654B" w:rsidP="00286A1E">
            <w:pPr>
              <w:pStyle w:val="TDummy"/>
              <w:keepNext/>
              <w:rPr>
                <w:lang w:val="es-ES"/>
              </w:rPr>
            </w:pPr>
          </w:p>
        </w:tc>
        <w:tc>
          <w:tcPr>
            <w:tcW w:w="1021" w:type="dxa"/>
            <w:tcBorders>
              <w:top w:val="single" w:sz="8" w:space="0" w:color="000000"/>
            </w:tcBorders>
            <w:vAlign w:val="bottom"/>
          </w:tcPr>
          <w:p w14:paraId="4EE8A18F" w14:textId="77777777" w:rsidR="00CE654B" w:rsidRPr="00C654FA" w:rsidRDefault="00CE654B" w:rsidP="00286A1E">
            <w:pPr>
              <w:pStyle w:val="TDummy"/>
              <w:keepNext/>
              <w:rPr>
                <w:lang w:val="es-ES"/>
              </w:rPr>
            </w:pPr>
          </w:p>
        </w:tc>
        <w:tc>
          <w:tcPr>
            <w:tcW w:w="119" w:type="dxa"/>
            <w:tcBorders>
              <w:top w:val="single" w:sz="8" w:space="0" w:color="000000"/>
            </w:tcBorders>
            <w:vAlign w:val="bottom"/>
          </w:tcPr>
          <w:p w14:paraId="4D8AD040" w14:textId="77777777" w:rsidR="00CE654B" w:rsidRPr="00C654FA" w:rsidRDefault="00CE654B" w:rsidP="00286A1E">
            <w:pPr>
              <w:pStyle w:val="TDummy"/>
              <w:keepNext/>
              <w:rPr>
                <w:lang w:val="es-ES"/>
              </w:rPr>
            </w:pPr>
          </w:p>
        </w:tc>
        <w:tc>
          <w:tcPr>
            <w:tcW w:w="1021" w:type="dxa"/>
            <w:tcBorders>
              <w:top w:val="single" w:sz="8" w:space="0" w:color="000000"/>
            </w:tcBorders>
            <w:vAlign w:val="bottom"/>
          </w:tcPr>
          <w:p w14:paraId="61641744" w14:textId="77777777" w:rsidR="00CE654B" w:rsidRPr="00C654FA" w:rsidRDefault="00CE654B" w:rsidP="00286A1E">
            <w:pPr>
              <w:pStyle w:val="TDummy"/>
              <w:keepNext/>
              <w:rPr>
                <w:lang w:val="es-ES"/>
              </w:rPr>
            </w:pPr>
          </w:p>
        </w:tc>
        <w:tc>
          <w:tcPr>
            <w:tcW w:w="119" w:type="dxa"/>
            <w:tcBorders>
              <w:top w:val="single" w:sz="8" w:space="0" w:color="000000"/>
            </w:tcBorders>
            <w:vAlign w:val="bottom"/>
          </w:tcPr>
          <w:p w14:paraId="57DD7ABF" w14:textId="77777777" w:rsidR="00CE654B" w:rsidRPr="00C654FA" w:rsidRDefault="00CE654B" w:rsidP="00286A1E">
            <w:pPr>
              <w:pStyle w:val="TDummy"/>
              <w:keepNext/>
              <w:rPr>
                <w:lang w:val="es-ES"/>
              </w:rPr>
            </w:pPr>
          </w:p>
        </w:tc>
        <w:tc>
          <w:tcPr>
            <w:tcW w:w="1021" w:type="dxa"/>
            <w:tcBorders>
              <w:top w:val="single" w:sz="8" w:space="0" w:color="000000"/>
            </w:tcBorders>
            <w:vAlign w:val="bottom"/>
          </w:tcPr>
          <w:p w14:paraId="66BAD291" w14:textId="77777777" w:rsidR="00CE654B" w:rsidRPr="00C654FA" w:rsidRDefault="00CE654B" w:rsidP="00286A1E">
            <w:pPr>
              <w:pStyle w:val="TDummy"/>
              <w:keepNext/>
              <w:rPr>
                <w:lang w:val="es-ES"/>
              </w:rPr>
            </w:pPr>
          </w:p>
        </w:tc>
      </w:tr>
      <w:tr w:rsidR="005B3B09" w14:paraId="381A4E88" w14:textId="77777777" w:rsidTr="00286A1E">
        <w:tc>
          <w:tcPr>
            <w:tcW w:w="6333" w:type="dxa"/>
            <w:shd w:val="clear" w:color="000000" w:fill="FFFFFF"/>
            <w:vAlign w:val="bottom"/>
          </w:tcPr>
          <w:p w14:paraId="5FC278B2" w14:textId="77777777" w:rsidR="00CE654B" w:rsidRPr="00C654FA" w:rsidRDefault="00CE654B" w:rsidP="00286A1E">
            <w:pPr>
              <w:pStyle w:val="THeadfirstNumber"/>
              <w:rPr>
                <w:lang w:val="es-ES"/>
              </w:rPr>
            </w:pPr>
          </w:p>
        </w:tc>
        <w:tc>
          <w:tcPr>
            <w:tcW w:w="119" w:type="dxa"/>
            <w:vAlign w:val="bottom"/>
          </w:tcPr>
          <w:p w14:paraId="429D379B" w14:textId="77777777" w:rsidR="00CE654B" w:rsidRPr="00C654FA" w:rsidRDefault="00CE654B" w:rsidP="00286A1E">
            <w:pPr>
              <w:pStyle w:val="THeadfirstNumber"/>
              <w:rPr>
                <w:lang w:val="es-ES"/>
              </w:rPr>
            </w:pPr>
          </w:p>
        </w:tc>
        <w:tc>
          <w:tcPr>
            <w:tcW w:w="3301" w:type="dxa"/>
            <w:gridSpan w:val="5"/>
            <w:tcBorders>
              <w:bottom w:val="single" w:sz="4" w:space="0" w:color="A59C94"/>
            </w:tcBorders>
            <w:shd w:val="clear" w:color="000000" w:fill="FFFFFF"/>
            <w:vAlign w:val="bottom"/>
          </w:tcPr>
          <w:p w14:paraId="246B0137" w14:textId="77777777" w:rsidR="00CE654B" w:rsidRPr="006048CC" w:rsidRDefault="00000000" w:rsidP="00286A1E">
            <w:pPr>
              <w:pStyle w:val="THeadfirstNumber"/>
              <w:rPr>
                <w:lang w:val="pt-BR"/>
              </w:rPr>
            </w:pPr>
            <w:r>
              <w:rPr>
                <w:lang w:val="es-AR"/>
              </w:rPr>
              <w:t>1º trimestre</w:t>
            </w:r>
          </w:p>
        </w:tc>
      </w:tr>
      <w:tr w:rsidR="005B3B09" w14:paraId="72D8798B" w14:textId="77777777" w:rsidTr="00286A1E">
        <w:tc>
          <w:tcPr>
            <w:tcW w:w="6333" w:type="dxa"/>
            <w:tcBorders>
              <w:bottom w:val="single" w:sz="4" w:space="0" w:color="000000"/>
            </w:tcBorders>
            <w:shd w:val="clear" w:color="000000" w:fill="FFFFFF"/>
            <w:vAlign w:val="bottom"/>
          </w:tcPr>
          <w:p w14:paraId="6443900B" w14:textId="77777777" w:rsidR="00CE654B" w:rsidRPr="006048CC" w:rsidRDefault="00000000" w:rsidP="00286A1E">
            <w:pPr>
              <w:pStyle w:val="THeadlastText"/>
              <w:rPr>
                <w:lang w:val="pt-BR"/>
              </w:rPr>
            </w:pPr>
            <w:r>
              <w:rPr>
                <w:lang w:val="es-AR"/>
              </w:rPr>
              <w:t>en millones de euros</w:t>
            </w:r>
          </w:p>
        </w:tc>
        <w:tc>
          <w:tcPr>
            <w:tcW w:w="119" w:type="dxa"/>
            <w:vAlign w:val="bottom"/>
          </w:tcPr>
          <w:p w14:paraId="0EF9F1A2" w14:textId="77777777" w:rsidR="00CE654B" w:rsidRPr="006048CC" w:rsidRDefault="00CE654B"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5B77C17" w14:textId="77777777" w:rsidR="00CE654B" w:rsidRPr="006048CC" w:rsidRDefault="00000000" w:rsidP="00286A1E">
            <w:pPr>
              <w:pStyle w:val="THeadlastNumber"/>
              <w:rPr>
                <w:lang w:val="pt-BR"/>
              </w:rPr>
            </w:pPr>
            <w:r w:rsidRPr="006048CC">
              <w:rPr>
                <w:lang w:val="es-AR"/>
              </w:rPr>
              <w:t>2022</w:t>
            </w:r>
          </w:p>
        </w:tc>
        <w:tc>
          <w:tcPr>
            <w:tcW w:w="119" w:type="dxa"/>
            <w:vAlign w:val="bottom"/>
          </w:tcPr>
          <w:p w14:paraId="0B204697" w14:textId="77777777" w:rsidR="00CE654B" w:rsidRPr="006048CC" w:rsidRDefault="00CE654B"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040C63A" w14:textId="77777777" w:rsidR="00CE654B" w:rsidRPr="006048CC" w:rsidRDefault="00000000" w:rsidP="00286A1E">
            <w:pPr>
              <w:pStyle w:val="THeadlastNumberbold"/>
              <w:rPr>
                <w:lang w:val="pt-BR"/>
              </w:rPr>
            </w:pPr>
            <w:r w:rsidRPr="006048CC">
              <w:rPr>
                <w:lang w:val="es-AR"/>
              </w:rPr>
              <w:t>2023</w:t>
            </w:r>
          </w:p>
        </w:tc>
        <w:tc>
          <w:tcPr>
            <w:tcW w:w="119" w:type="dxa"/>
            <w:vAlign w:val="bottom"/>
          </w:tcPr>
          <w:p w14:paraId="000181D4" w14:textId="77777777" w:rsidR="00CE654B" w:rsidRPr="006048CC" w:rsidRDefault="00CE654B"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54DE6513" w14:textId="60D21D42" w:rsidR="00CE654B" w:rsidRPr="006048CC" w:rsidRDefault="00000000" w:rsidP="00286A1E">
            <w:pPr>
              <w:pStyle w:val="THeaddifferenceNumber"/>
              <w:keepNext/>
              <w:rPr>
                <w:lang w:val="pt-BR"/>
              </w:rPr>
            </w:pPr>
            <w:proofErr w:type="gramStart"/>
            <w:r>
              <w:rPr>
                <w:lang w:val="es-AR"/>
              </w:rPr>
              <w:t>Variación</w:t>
            </w:r>
            <w:r w:rsidR="00111CE9">
              <w:rPr>
                <w:lang w:val="es-AR"/>
              </w:rPr>
              <w:t xml:space="preserve"> </w:t>
            </w:r>
            <w:r>
              <w:rPr>
                <w:lang w:val="es-AR"/>
              </w:rPr>
              <w:t xml:space="preserve"> </w:t>
            </w:r>
            <w:r w:rsidR="00111CE9">
              <w:rPr>
                <w:lang w:val="es-AR"/>
              </w:rPr>
              <w:t>(</w:t>
            </w:r>
            <w:proofErr w:type="gramEnd"/>
            <w:r>
              <w:rPr>
                <w:lang w:val="es-AR"/>
              </w:rPr>
              <w:t>%</w:t>
            </w:r>
            <w:r w:rsidR="00111CE9">
              <w:rPr>
                <w:lang w:val="es-AR"/>
              </w:rPr>
              <w:t>)</w:t>
            </w:r>
          </w:p>
        </w:tc>
      </w:tr>
      <w:tr w:rsidR="005B3B09" w14:paraId="19D4C014" w14:textId="77777777" w:rsidTr="00286A1E">
        <w:tc>
          <w:tcPr>
            <w:tcW w:w="6333" w:type="dxa"/>
            <w:tcBorders>
              <w:top w:val="single" w:sz="4" w:space="0" w:color="000000"/>
              <w:bottom w:val="single" w:sz="4" w:space="0" w:color="A59C94"/>
            </w:tcBorders>
            <w:vAlign w:val="bottom"/>
          </w:tcPr>
          <w:p w14:paraId="75BBC9EC" w14:textId="77777777" w:rsidR="00CE654B" w:rsidRPr="006048CC" w:rsidRDefault="00000000" w:rsidP="00286A1E">
            <w:pPr>
              <w:pStyle w:val="TBodysubtotalText"/>
              <w:keepNext/>
              <w:rPr>
                <w:lang w:val="pt-BR"/>
              </w:rPr>
            </w:pPr>
            <w:r>
              <w:rPr>
                <w:lang w:val="es-AR"/>
              </w:rPr>
              <w:t>Ventas</w:t>
            </w:r>
          </w:p>
        </w:tc>
        <w:tc>
          <w:tcPr>
            <w:tcW w:w="119" w:type="dxa"/>
            <w:vAlign w:val="bottom"/>
          </w:tcPr>
          <w:p w14:paraId="403E4976" w14:textId="77777777" w:rsidR="00CE654B" w:rsidRPr="006048CC" w:rsidRDefault="00CE654B" w:rsidP="00286A1E">
            <w:pPr>
              <w:pStyle w:val="TBodysubtotalNumber"/>
              <w:keepNext/>
              <w:rPr>
                <w:lang w:val="pt-BR"/>
              </w:rPr>
            </w:pPr>
          </w:p>
        </w:tc>
        <w:tc>
          <w:tcPr>
            <w:tcW w:w="1021" w:type="dxa"/>
            <w:tcBorders>
              <w:top w:val="single" w:sz="4" w:space="0" w:color="000000"/>
              <w:bottom w:val="single" w:sz="4" w:space="0" w:color="A59C94"/>
            </w:tcBorders>
            <w:vAlign w:val="bottom"/>
          </w:tcPr>
          <w:p w14:paraId="30950EE8" w14:textId="77777777" w:rsidR="00CE654B" w:rsidRPr="006048CC" w:rsidRDefault="00000000" w:rsidP="00286A1E">
            <w:pPr>
              <w:pStyle w:val="TBodysubtotalNumber"/>
              <w:keepNext/>
              <w:rPr>
                <w:lang w:val="pt-BR"/>
              </w:rPr>
            </w:pPr>
            <w:r w:rsidRPr="006048CC">
              <w:rPr>
                <w:lang w:val="es-AR"/>
              </w:rPr>
              <w:t>4498</w:t>
            </w:r>
          </w:p>
        </w:tc>
        <w:tc>
          <w:tcPr>
            <w:tcW w:w="119" w:type="dxa"/>
            <w:vAlign w:val="bottom"/>
          </w:tcPr>
          <w:p w14:paraId="6169A85B" w14:textId="77777777" w:rsidR="00CE654B" w:rsidRPr="006048CC" w:rsidRDefault="00CE654B" w:rsidP="00286A1E">
            <w:pPr>
              <w:pStyle w:val="TBodysubtotalNumber"/>
              <w:keepNext/>
              <w:rPr>
                <w:lang w:val="pt-BR"/>
              </w:rPr>
            </w:pPr>
          </w:p>
        </w:tc>
        <w:tc>
          <w:tcPr>
            <w:tcW w:w="1021" w:type="dxa"/>
            <w:tcBorders>
              <w:top w:val="single" w:sz="4" w:space="0" w:color="000000"/>
              <w:bottom w:val="single" w:sz="4" w:space="0" w:color="A59C94"/>
            </w:tcBorders>
            <w:shd w:val="clear" w:color="000000" w:fill="DAD5C9"/>
            <w:vAlign w:val="bottom"/>
          </w:tcPr>
          <w:p w14:paraId="2D6C8F3D" w14:textId="77777777" w:rsidR="00CE654B" w:rsidRPr="006048CC" w:rsidRDefault="00000000" w:rsidP="00286A1E">
            <w:pPr>
              <w:pStyle w:val="TBodysubtotalNumber"/>
              <w:keepNext/>
              <w:rPr>
                <w:lang w:val="pt-BR"/>
              </w:rPr>
            </w:pPr>
            <w:r w:rsidRPr="006048CC">
              <w:rPr>
                <w:lang w:val="es-AR"/>
              </w:rPr>
              <w:t>4005</w:t>
            </w:r>
          </w:p>
        </w:tc>
        <w:tc>
          <w:tcPr>
            <w:tcW w:w="119" w:type="dxa"/>
            <w:vAlign w:val="bottom"/>
          </w:tcPr>
          <w:p w14:paraId="38BFEB61" w14:textId="77777777" w:rsidR="00CE654B" w:rsidRPr="006048CC" w:rsidRDefault="00CE654B" w:rsidP="00286A1E">
            <w:pPr>
              <w:pStyle w:val="TBodysubtotalNumber"/>
              <w:keepNext/>
              <w:rPr>
                <w:lang w:val="pt-BR"/>
              </w:rPr>
            </w:pPr>
          </w:p>
        </w:tc>
        <w:tc>
          <w:tcPr>
            <w:tcW w:w="1021" w:type="dxa"/>
            <w:tcBorders>
              <w:top w:val="single" w:sz="4" w:space="0" w:color="000000"/>
              <w:bottom w:val="single" w:sz="4" w:space="0" w:color="A59C94"/>
            </w:tcBorders>
            <w:vAlign w:val="bottom"/>
          </w:tcPr>
          <w:p w14:paraId="35B5C85F" w14:textId="77777777" w:rsidR="00CE654B" w:rsidRPr="006048CC" w:rsidRDefault="00000000" w:rsidP="00286A1E">
            <w:pPr>
              <w:pStyle w:val="TBodysubtotalNumber"/>
              <w:keepNext/>
              <w:rPr>
                <w:lang w:val="pt-BR"/>
              </w:rPr>
            </w:pPr>
            <w:r w:rsidRPr="006048CC">
              <w:rPr>
                <w:lang w:val="es-AR"/>
              </w:rPr>
              <w:t>-11</w:t>
            </w:r>
          </w:p>
        </w:tc>
      </w:tr>
      <w:tr w:rsidR="005B3B09" w14:paraId="77ADB0C7" w14:textId="77777777" w:rsidTr="00286A1E">
        <w:tc>
          <w:tcPr>
            <w:tcW w:w="6333" w:type="dxa"/>
            <w:tcBorders>
              <w:top w:val="single" w:sz="4" w:space="0" w:color="A59C94"/>
              <w:bottom w:val="single" w:sz="4" w:space="0" w:color="A59C94"/>
            </w:tcBorders>
            <w:vAlign w:val="bottom"/>
          </w:tcPr>
          <w:p w14:paraId="11D97165" w14:textId="77777777" w:rsidR="00CE654B" w:rsidRPr="006048CC" w:rsidRDefault="00000000" w:rsidP="00286A1E">
            <w:pPr>
              <w:pStyle w:val="TBodysubtotalText"/>
              <w:keepNext/>
              <w:rPr>
                <w:lang w:val="pt-BR"/>
              </w:rPr>
            </w:pPr>
            <w:r>
              <w:rPr>
                <w:lang w:val="es-AR"/>
              </w:rPr>
              <w:t>EBITDA ajustado</w:t>
            </w:r>
          </w:p>
        </w:tc>
        <w:tc>
          <w:tcPr>
            <w:tcW w:w="119" w:type="dxa"/>
            <w:vAlign w:val="bottom"/>
          </w:tcPr>
          <w:p w14:paraId="5DDFF706"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A59C94"/>
            </w:tcBorders>
            <w:vAlign w:val="bottom"/>
          </w:tcPr>
          <w:p w14:paraId="74147805" w14:textId="77777777" w:rsidR="00CE654B" w:rsidRPr="006048CC" w:rsidRDefault="00000000" w:rsidP="00286A1E">
            <w:pPr>
              <w:pStyle w:val="TBodysubtotalNumber"/>
              <w:keepNext/>
              <w:rPr>
                <w:lang w:val="pt-BR"/>
              </w:rPr>
            </w:pPr>
            <w:r w:rsidRPr="006048CC">
              <w:rPr>
                <w:lang w:val="es-AR"/>
              </w:rPr>
              <w:t>735</w:t>
            </w:r>
          </w:p>
        </w:tc>
        <w:tc>
          <w:tcPr>
            <w:tcW w:w="119" w:type="dxa"/>
            <w:vAlign w:val="bottom"/>
          </w:tcPr>
          <w:p w14:paraId="504D45A9"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A59C94"/>
            </w:tcBorders>
            <w:shd w:val="clear" w:color="000000" w:fill="DAD5C9"/>
            <w:vAlign w:val="bottom"/>
          </w:tcPr>
          <w:p w14:paraId="3F764953" w14:textId="77777777" w:rsidR="00CE654B" w:rsidRPr="006048CC" w:rsidRDefault="00000000" w:rsidP="00286A1E">
            <w:pPr>
              <w:pStyle w:val="TBodysubtotalNumber"/>
              <w:keepNext/>
              <w:rPr>
                <w:lang w:val="pt-BR"/>
              </w:rPr>
            </w:pPr>
            <w:r w:rsidRPr="006048CC">
              <w:rPr>
                <w:lang w:val="es-AR"/>
              </w:rPr>
              <w:t>409</w:t>
            </w:r>
          </w:p>
        </w:tc>
        <w:tc>
          <w:tcPr>
            <w:tcW w:w="119" w:type="dxa"/>
            <w:vAlign w:val="bottom"/>
          </w:tcPr>
          <w:p w14:paraId="37E7C254"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A59C94"/>
            </w:tcBorders>
            <w:vAlign w:val="bottom"/>
          </w:tcPr>
          <w:p w14:paraId="5116EDCD" w14:textId="77777777" w:rsidR="00CE654B" w:rsidRPr="006048CC" w:rsidRDefault="00000000" w:rsidP="00286A1E">
            <w:pPr>
              <w:pStyle w:val="TBodysubtotalNumber"/>
              <w:keepNext/>
              <w:rPr>
                <w:lang w:val="pt-BR"/>
              </w:rPr>
            </w:pPr>
            <w:r w:rsidRPr="006048CC">
              <w:rPr>
                <w:lang w:val="es-AR"/>
              </w:rPr>
              <w:t>-44</w:t>
            </w:r>
          </w:p>
        </w:tc>
      </w:tr>
      <w:tr w:rsidR="005B3B09" w14:paraId="67314921" w14:textId="77777777" w:rsidTr="00286A1E">
        <w:tc>
          <w:tcPr>
            <w:tcW w:w="6333" w:type="dxa"/>
            <w:tcBorders>
              <w:top w:val="single" w:sz="4" w:space="0" w:color="A59C94"/>
              <w:bottom w:val="single" w:sz="4" w:space="0" w:color="A59C94"/>
            </w:tcBorders>
            <w:vAlign w:val="bottom"/>
          </w:tcPr>
          <w:p w14:paraId="5D63C44B" w14:textId="77777777" w:rsidR="00CE654B" w:rsidRPr="006048CC" w:rsidRDefault="00000000" w:rsidP="00286A1E">
            <w:pPr>
              <w:pStyle w:val="TBodysubtotalText"/>
              <w:keepNext/>
              <w:rPr>
                <w:lang w:val="pt-BR"/>
              </w:rPr>
            </w:pPr>
            <w:r>
              <w:rPr>
                <w:lang w:val="es-AR"/>
              </w:rPr>
              <w:t>EBIT ajustado</w:t>
            </w:r>
          </w:p>
        </w:tc>
        <w:tc>
          <w:tcPr>
            <w:tcW w:w="119" w:type="dxa"/>
            <w:vAlign w:val="bottom"/>
          </w:tcPr>
          <w:p w14:paraId="576E50C7"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A59C94"/>
            </w:tcBorders>
            <w:vAlign w:val="bottom"/>
          </w:tcPr>
          <w:p w14:paraId="3E1DD2D6" w14:textId="77777777" w:rsidR="00CE654B" w:rsidRPr="006048CC" w:rsidRDefault="00000000" w:rsidP="00286A1E">
            <w:pPr>
              <w:pStyle w:val="TBodysubtotalNumber"/>
              <w:keepNext/>
              <w:rPr>
                <w:lang w:val="pt-BR"/>
              </w:rPr>
            </w:pPr>
            <w:r w:rsidRPr="006048CC">
              <w:rPr>
                <w:lang w:val="es-AR"/>
              </w:rPr>
              <w:t>472</w:t>
            </w:r>
          </w:p>
        </w:tc>
        <w:tc>
          <w:tcPr>
            <w:tcW w:w="119" w:type="dxa"/>
            <w:vAlign w:val="bottom"/>
          </w:tcPr>
          <w:p w14:paraId="192E2ED7"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A59C94"/>
            </w:tcBorders>
            <w:shd w:val="clear" w:color="000000" w:fill="DAD5C9"/>
            <w:vAlign w:val="bottom"/>
          </w:tcPr>
          <w:p w14:paraId="1BC7B271" w14:textId="77777777" w:rsidR="00CE654B" w:rsidRPr="006048CC" w:rsidRDefault="00000000" w:rsidP="00286A1E">
            <w:pPr>
              <w:pStyle w:val="TBodysubtotalNumber"/>
              <w:keepNext/>
              <w:rPr>
                <w:lang w:val="pt-BR"/>
              </w:rPr>
            </w:pPr>
            <w:r w:rsidRPr="006048CC">
              <w:rPr>
                <w:lang w:val="es-AR"/>
              </w:rPr>
              <w:t>130</w:t>
            </w:r>
          </w:p>
        </w:tc>
        <w:tc>
          <w:tcPr>
            <w:tcW w:w="119" w:type="dxa"/>
            <w:vAlign w:val="bottom"/>
          </w:tcPr>
          <w:p w14:paraId="571565B4"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A59C94"/>
            </w:tcBorders>
            <w:vAlign w:val="bottom"/>
          </w:tcPr>
          <w:p w14:paraId="6AEB7D42" w14:textId="77777777" w:rsidR="00CE654B" w:rsidRPr="006048CC" w:rsidRDefault="00000000" w:rsidP="00286A1E">
            <w:pPr>
              <w:pStyle w:val="TBodysubtotalNumber"/>
              <w:keepNext/>
              <w:rPr>
                <w:lang w:val="pt-BR"/>
              </w:rPr>
            </w:pPr>
            <w:r w:rsidRPr="006048CC">
              <w:rPr>
                <w:lang w:val="es-AR"/>
              </w:rPr>
              <w:t>-72</w:t>
            </w:r>
          </w:p>
        </w:tc>
      </w:tr>
      <w:tr w:rsidR="005B3B09" w14:paraId="02440970" w14:textId="77777777" w:rsidTr="00286A1E">
        <w:tc>
          <w:tcPr>
            <w:tcW w:w="6333" w:type="dxa"/>
            <w:tcBorders>
              <w:top w:val="single" w:sz="4" w:space="0" w:color="A59C94"/>
              <w:bottom w:val="single" w:sz="4" w:space="0" w:color="A59C94"/>
            </w:tcBorders>
            <w:vAlign w:val="bottom"/>
          </w:tcPr>
          <w:p w14:paraId="68CF7670" w14:textId="4E1EF60E" w:rsidR="00CE654B" w:rsidRPr="006048CC" w:rsidRDefault="00000000" w:rsidP="00286A1E">
            <w:pPr>
              <w:pStyle w:val="TBodynormalText"/>
              <w:rPr>
                <w:lang w:val="pt-BR"/>
              </w:rPr>
            </w:pPr>
            <w:r>
              <w:rPr>
                <w:lang w:val="es-AR"/>
              </w:rPr>
              <w:t>Ajust</w:t>
            </w:r>
            <w:r w:rsidR="00111CE9">
              <w:rPr>
                <w:lang w:val="es-AR"/>
              </w:rPr>
              <w:t>es</w:t>
            </w:r>
          </w:p>
        </w:tc>
        <w:tc>
          <w:tcPr>
            <w:tcW w:w="119" w:type="dxa"/>
            <w:vAlign w:val="bottom"/>
          </w:tcPr>
          <w:p w14:paraId="79FFA5C3" w14:textId="77777777" w:rsidR="00CE654B" w:rsidRPr="006048CC" w:rsidRDefault="00CE654B" w:rsidP="00286A1E">
            <w:pPr>
              <w:pStyle w:val="TBodynormalNumber"/>
              <w:keepNext/>
              <w:rPr>
                <w:lang w:val="pt-BR"/>
              </w:rPr>
            </w:pPr>
          </w:p>
        </w:tc>
        <w:tc>
          <w:tcPr>
            <w:tcW w:w="1021" w:type="dxa"/>
            <w:tcBorders>
              <w:top w:val="single" w:sz="4" w:space="0" w:color="A59C94"/>
              <w:bottom w:val="single" w:sz="4" w:space="0" w:color="A59C94"/>
            </w:tcBorders>
            <w:vAlign w:val="bottom"/>
          </w:tcPr>
          <w:p w14:paraId="5F872C70" w14:textId="77777777" w:rsidR="00CE654B" w:rsidRPr="006048CC" w:rsidRDefault="00000000" w:rsidP="00286A1E">
            <w:pPr>
              <w:pStyle w:val="TBodynormalNumber"/>
              <w:keepNext/>
              <w:rPr>
                <w:lang w:val="pt-BR"/>
              </w:rPr>
            </w:pPr>
            <w:r w:rsidRPr="006048CC">
              <w:rPr>
                <w:lang w:val="es-AR"/>
              </w:rPr>
              <w:t>-16</w:t>
            </w:r>
          </w:p>
        </w:tc>
        <w:tc>
          <w:tcPr>
            <w:tcW w:w="119" w:type="dxa"/>
            <w:vAlign w:val="bottom"/>
          </w:tcPr>
          <w:p w14:paraId="5FC0B59A" w14:textId="77777777" w:rsidR="00CE654B" w:rsidRPr="006048CC" w:rsidRDefault="00CE654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vAlign w:val="bottom"/>
          </w:tcPr>
          <w:p w14:paraId="7F03CAE1" w14:textId="77777777" w:rsidR="00CE654B" w:rsidRPr="006048CC" w:rsidRDefault="00000000" w:rsidP="00286A1E">
            <w:pPr>
              <w:pStyle w:val="TBodynormalNumber"/>
              <w:keepNext/>
              <w:rPr>
                <w:lang w:val="pt-BR"/>
              </w:rPr>
            </w:pPr>
            <w:r w:rsidRPr="006048CC">
              <w:rPr>
                <w:lang w:val="es-AR"/>
              </w:rPr>
              <w:t>-47</w:t>
            </w:r>
          </w:p>
        </w:tc>
        <w:tc>
          <w:tcPr>
            <w:tcW w:w="119" w:type="dxa"/>
            <w:vAlign w:val="bottom"/>
          </w:tcPr>
          <w:p w14:paraId="4F8B1632" w14:textId="77777777" w:rsidR="00CE654B" w:rsidRPr="006048CC" w:rsidRDefault="00CE654B" w:rsidP="00286A1E">
            <w:pPr>
              <w:pStyle w:val="TBodynormalNumber"/>
              <w:keepNext/>
              <w:rPr>
                <w:lang w:val="pt-BR"/>
              </w:rPr>
            </w:pPr>
          </w:p>
        </w:tc>
        <w:tc>
          <w:tcPr>
            <w:tcW w:w="1021" w:type="dxa"/>
            <w:tcBorders>
              <w:top w:val="single" w:sz="4" w:space="0" w:color="A59C94"/>
              <w:bottom w:val="single" w:sz="4" w:space="0" w:color="A59C94"/>
            </w:tcBorders>
            <w:vAlign w:val="bottom"/>
          </w:tcPr>
          <w:p w14:paraId="25DF4AC4" w14:textId="77777777" w:rsidR="00CE654B" w:rsidRPr="006048CC" w:rsidRDefault="00CE654B" w:rsidP="00286A1E">
            <w:pPr>
              <w:pStyle w:val="TBodynormalNumber"/>
              <w:keepNext/>
              <w:rPr>
                <w:lang w:val="pt-BR"/>
              </w:rPr>
            </w:pPr>
          </w:p>
        </w:tc>
      </w:tr>
      <w:tr w:rsidR="005B3B09" w14:paraId="79008295" w14:textId="77777777" w:rsidTr="00286A1E">
        <w:tc>
          <w:tcPr>
            <w:tcW w:w="6333" w:type="dxa"/>
            <w:tcBorders>
              <w:top w:val="single" w:sz="4" w:space="0" w:color="A59C94"/>
              <w:bottom w:val="single" w:sz="4" w:space="0" w:color="A59C94"/>
            </w:tcBorders>
            <w:vAlign w:val="bottom"/>
          </w:tcPr>
          <w:p w14:paraId="072AC510" w14:textId="77777777" w:rsidR="00CE654B" w:rsidRPr="006048CC" w:rsidRDefault="00000000" w:rsidP="00286A1E">
            <w:pPr>
              <w:pStyle w:val="TBodynormalText"/>
              <w:rPr>
                <w:lang w:val="pt-BR"/>
              </w:rPr>
            </w:pPr>
            <w:r>
              <w:rPr>
                <w:lang w:val="es-AR"/>
              </w:rPr>
              <w:t xml:space="preserve">Resultado financiero </w:t>
            </w:r>
          </w:p>
        </w:tc>
        <w:tc>
          <w:tcPr>
            <w:tcW w:w="119" w:type="dxa"/>
            <w:vAlign w:val="bottom"/>
          </w:tcPr>
          <w:p w14:paraId="0ED6B336" w14:textId="77777777" w:rsidR="00CE654B" w:rsidRPr="006048CC" w:rsidRDefault="00CE654B" w:rsidP="00286A1E">
            <w:pPr>
              <w:pStyle w:val="TBodynormalNumber"/>
              <w:keepNext/>
              <w:rPr>
                <w:lang w:val="pt-BR"/>
              </w:rPr>
            </w:pPr>
          </w:p>
        </w:tc>
        <w:tc>
          <w:tcPr>
            <w:tcW w:w="1021" w:type="dxa"/>
            <w:tcBorders>
              <w:top w:val="single" w:sz="4" w:space="0" w:color="A59C94"/>
              <w:bottom w:val="single" w:sz="4" w:space="0" w:color="A59C94"/>
            </w:tcBorders>
            <w:vAlign w:val="bottom"/>
          </w:tcPr>
          <w:p w14:paraId="5DA5D228" w14:textId="77777777" w:rsidR="00CE654B" w:rsidRPr="006048CC" w:rsidRDefault="00000000" w:rsidP="00286A1E">
            <w:pPr>
              <w:pStyle w:val="TBodynormalNumber"/>
              <w:keepNext/>
              <w:rPr>
                <w:lang w:val="pt-BR"/>
              </w:rPr>
            </w:pPr>
            <w:r w:rsidRPr="006048CC">
              <w:rPr>
                <w:lang w:val="es-AR"/>
              </w:rPr>
              <w:t>-12</w:t>
            </w:r>
          </w:p>
        </w:tc>
        <w:tc>
          <w:tcPr>
            <w:tcW w:w="119" w:type="dxa"/>
            <w:vAlign w:val="bottom"/>
          </w:tcPr>
          <w:p w14:paraId="3D7C384A" w14:textId="77777777" w:rsidR="00CE654B" w:rsidRPr="006048CC" w:rsidRDefault="00CE654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vAlign w:val="bottom"/>
          </w:tcPr>
          <w:p w14:paraId="61883251" w14:textId="77777777" w:rsidR="00CE654B" w:rsidRPr="006048CC" w:rsidRDefault="00000000" w:rsidP="00286A1E">
            <w:pPr>
              <w:pStyle w:val="TBodynormalNumber"/>
              <w:keepNext/>
              <w:rPr>
                <w:lang w:val="pt-BR"/>
              </w:rPr>
            </w:pPr>
            <w:r w:rsidRPr="006048CC">
              <w:rPr>
                <w:lang w:val="es-AR"/>
              </w:rPr>
              <w:t>-14</w:t>
            </w:r>
          </w:p>
        </w:tc>
        <w:tc>
          <w:tcPr>
            <w:tcW w:w="119" w:type="dxa"/>
            <w:vAlign w:val="bottom"/>
          </w:tcPr>
          <w:p w14:paraId="40FF398C" w14:textId="77777777" w:rsidR="00CE654B" w:rsidRPr="006048CC" w:rsidRDefault="00CE654B" w:rsidP="00286A1E">
            <w:pPr>
              <w:pStyle w:val="TBodynormalNumber"/>
              <w:keepNext/>
              <w:rPr>
                <w:lang w:val="pt-BR"/>
              </w:rPr>
            </w:pPr>
          </w:p>
        </w:tc>
        <w:tc>
          <w:tcPr>
            <w:tcW w:w="1021" w:type="dxa"/>
            <w:tcBorders>
              <w:top w:val="single" w:sz="4" w:space="0" w:color="A59C94"/>
              <w:bottom w:val="single" w:sz="4" w:space="0" w:color="A59C94"/>
            </w:tcBorders>
            <w:vAlign w:val="bottom"/>
          </w:tcPr>
          <w:p w14:paraId="1A4F8DD2" w14:textId="77777777" w:rsidR="00CE654B" w:rsidRPr="006048CC" w:rsidRDefault="00CE654B" w:rsidP="00286A1E">
            <w:pPr>
              <w:pStyle w:val="TBodynormalNumber"/>
              <w:keepNext/>
              <w:rPr>
                <w:lang w:val="pt-BR"/>
              </w:rPr>
            </w:pPr>
          </w:p>
        </w:tc>
      </w:tr>
      <w:tr w:rsidR="005B3B09" w14:paraId="00E3A71A" w14:textId="77777777" w:rsidTr="00286A1E">
        <w:tc>
          <w:tcPr>
            <w:tcW w:w="6333" w:type="dxa"/>
            <w:tcBorders>
              <w:top w:val="single" w:sz="4" w:space="0" w:color="A59C94"/>
              <w:bottom w:val="single" w:sz="4" w:space="0" w:color="000000"/>
            </w:tcBorders>
            <w:vAlign w:val="bottom"/>
          </w:tcPr>
          <w:p w14:paraId="239E9168" w14:textId="77777777" w:rsidR="00CE654B" w:rsidRPr="006048CC" w:rsidRDefault="00000000" w:rsidP="00286A1E">
            <w:pPr>
              <w:pStyle w:val="TBodysubtotalText"/>
              <w:keepNext/>
              <w:rPr>
                <w:lang w:val="pt-BR"/>
              </w:rPr>
            </w:pPr>
            <w:r w:rsidRPr="00C54279">
              <w:rPr>
                <w:lang w:val="es-AR"/>
              </w:rPr>
              <w:t xml:space="preserve">Resultado antes del IR, operaciones continuas </w:t>
            </w:r>
          </w:p>
        </w:tc>
        <w:tc>
          <w:tcPr>
            <w:tcW w:w="119" w:type="dxa"/>
            <w:vAlign w:val="bottom"/>
          </w:tcPr>
          <w:p w14:paraId="153CFF40"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60190421" w14:textId="77777777" w:rsidR="00CE654B" w:rsidRPr="006048CC" w:rsidRDefault="00000000" w:rsidP="00286A1E">
            <w:pPr>
              <w:pStyle w:val="TBodysubtotalNumber"/>
              <w:keepNext/>
              <w:rPr>
                <w:lang w:val="pt-BR"/>
              </w:rPr>
            </w:pPr>
            <w:r w:rsidRPr="006048CC">
              <w:rPr>
                <w:lang w:val="es-AR"/>
              </w:rPr>
              <w:t>444</w:t>
            </w:r>
          </w:p>
        </w:tc>
        <w:tc>
          <w:tcPr>
            <w:tcW w:w="119" w:type="dxa"/>
            <w:vAlign w:val="bottom"/>
          </w:tcPr>
          <w:p w14:paraId="3AC04393"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7CED3338" w14:textId="77777777" w:rsidR="00CE654B" w:rsidRPr="006048CC" w:rsidRDefault="00000000" w:rsidP="00286A1E">
            <w:pPr>
              <w:pStyle w:val="TBodysubtotalNumber"/>
              <w:keepNext/>
              <w:rPr>
                <w:lang w:val="pt-BR"/>
              </w:rPr>
            </w:pPr>
            <w:r w:rsidRPr="006048CC">
              <w:rPr>
                <w:lang w:val="es-AR"/>
              </w:rPr>
              <w:t>69</w:t>
            </w:r>
          </w:p>
        </w:tc>
        <w:tc>
          <w:tcPr>
            <w:tcW w:w="119" w:type="dxa"/>
            <w:vAlign w:val="bottom"/>
          </w:tcPr>
          <w:p w14:paraId="32D2DCDC"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5E6FC4F4" w14:textId="77777777" w:rsidR="00CE654B" w:rsidRPr="006048CC" w:rsidRDefault="00000000" w:rsidP="00286A1E">
            <w:pPr>
              <w:pStyle w:val="TBodysubtotalNumber"/>
              <w:keepNext/>
              <w:rPr>
                <w:lang w:val="pt-BR"/>
              </w:rPr>
            </w:pPr>
            <w:r w:rsidRPr="006048CC">
              <w:rPr>
                <w:lang w:val="es-AR"/>
              </w:rPr>
              <w:t>-84</w:t>
            </w:r>
          </w:p>
        </w:tc>
      </w:tr>
      <w:tr w:rsidR="005B3B09" w14:paraId="1C124300" w14:textId="77777777" w:rsidTr="00286A1E">
        <w:trPr>
          <w:trHeight w:val="340"/>
        </w:trPr>
        <w:tc>
          <w:tcPr>
            <w:tcW w:w="6333" w:type="dxa"/>
            <w:tcBorders>
              <w:top w:val="single" w:sz="4" w:space="0" w:color="000000"/>
              <w:bottom w:val="single" w:sz="4" w:space="0" w:color="A59C94"/>
            </w:tcBorders>
            <w:vAlign w:val="bottom"/>
          </w:tcPr>
          <w:p w14:paraId="388E377C" w14:textId="77777777" w:rsidR="00CE654B" w:rsidRPr="006048CC" w:rsidRDefault="00000000" w:rsidP="00286A1E">
            <w:pPr>
              <w:pStyle w:val="TBodynormalText"/>
              <w:rPr>
                <w:lang w:val="pt-BR"/>
              </w:rPr>
            </w:pPr>
            <w:r>
              <w:rPr>
                <w:lang w:val="es-AR"/>
              </w:rPr>
              <w:t>Impuesto sobre la renta</w:t>
            </w:r>
          </w:p>
        </w:tc>
        <w:tc>
          <w:tcPr>
            <w:tcW w:w="119" w:type="dxa"/>
            <w:vAlign w:val="bottom"/>
          </w:tcPr>
          <w:p w14:paraId="42F35BE0"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vAlign w:val="bottom"/>
          </w:tcPr>
          <w:p w14:paraId="0D187ECA" w14:textId="77777777" w:rsidR="00CE654B" w:rsidRPr="006048CC" w:rsidRDefault="00000000" w:rsidP="00286A1E">
            <w:pPr>
              <w:pStyle w:val="TBodynormalNumber"/>
              <w:keepNext/>
              <w:rPr>
                <w:lang w:val="pt-BR"/>
              </w:rPr>
            </w:pPr>
            <w:r w:rsidRPr="006048CC">
              <w:rPr>
                <w:lang w:val="es-AR"/>
              </w:rPr>
              <w:t>-126</w:t>
            </w:r>
          </w:p>
        </w:tc>
        <w:tc>
          <w:tcPr>
            <w:tcW w:w="119" w:type="dxa"/>
            <w:vAlign w:val="bottom"/>
          </w:tcPr>
          <w:p w14:paraId="7FC4B9C3"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39175863" w14:textId="77777777" w:rsidR="00CE654B" w:rsidRPr="006048CC" w:rsidRDefault="00000000" w:rsidP="00286A1E">
            <w:pPr>
              <w:pStyle w:val="TBodynormalNumber"/>
              <w:keepNext/>
              <w:rPr>
                <w:lang w:val="pt-BR"/>
              </w:rPr>
            </w:pPr>
            <w:r w:rsidRPr="006048CC">
              <w:rPr>
                <w:lang w:val="es-AR"/>
              </w:rPr>
              <w:t>-20</w:t>
            </w:r>
          </w:p>
        </w:tc>
        <w:tc>
          <w:tcPr>
            <w:tcW w:w="119" w:type="dxa"/>
            <w:vAlign w:val="bottom"/>
          </w:tcPr>
          <w:p w14:paraId="4FA6B331"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vAlign w:val="bottom"/>
          </w:tcPr>
          <w:p w14:paraId="493547DA" w14:textId="77777777" w:rsidR="00CE654B" w:rsidRPr="006048CC" w:rsidRDefault="00CE654B" w:rsidP="00286A1E">
            <w:pPr>
              <w:pStyle w:val="TBodynormalNumber"/>
              <w:keepNext/>
              <w:rPr>
                <w:lang w:val="pt-BR"/>
              </w:rPr>
            </w:pPr>
          </w:p>
        </w:tc>
      </w:tr>
      <w:tr w:rsidR="005B3B09" w14:paraId="64138143" w14:textId="77777777" w:rsidTr="00286A1E">
        <w:tc>
          <w:tcPr>
            <w:tcW w:w="6333" w:type="dxa"/>
            <w:tcBorders>
              <w:top w:val="single" w:sz="4" w:space="0" w:color="A59C94"/>
              <w:bottom w:val="single" w:sz="4" w:space="0" w:color="000000"/>
            </w:tcBorders>
            <w:vAlign w:val="bottom"/>
          </w:tcPr>
          <w:p w14:paraId="03A11173" w14:textId="77777777" w:rsidR="00CE654B" w:rsidRPr="006048CC" w:rsidRDefault="00000000" w:rsidP="00286A1E">
            <w:pPr>
              <w:pStyle w:val="TBodysubtotalText"/>
              <w:keepNext/>
              <w:rPr>
                <w:lang w:val="pt-BR"/>
              </w:rPr>
            </w:pPr>
            <w:r>
              <w:rPr>
                <w:lang w:val="es-AR"/>
              </w:rPr>
              <w:t>Resultado después de IR, operaciones continuas</w:t>
            </w:r>
          </w:p>
        </w:tc>
        <w:tc>
          <w:tcPr>
            <w:tcW w:w="119" w:type="dxa"/>
            <w:vAlign w:val="bottom"/>
          </w:tcPr>
          <w:p w14:paraId="55270FF7"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569C507E" w14:textId="77777777" w:rsidR="00CE654B" w:rsidRPr="006048CC" w:rsidRDefault="00000000" w:rsidP="00286A1E">
            <w:pPr>
              <w:pStyle w:val="TBodysubtotalNumber"/>
              <w:keepNext/>
              <w:rPr>
                <w:lang w:val="pt-BR"/>
              </w:rPr>
            </w:pPr>
            <w:r w:rsidRPr="006048CC">
              <w:rPr>
                <w:lang w:val="es-AR"/>
              </w:rPr>
              <w:t>318</w:t>
            </w:r>
          </w:p>
        </w:tc>
        <w:tc>
          <w:tcPr>
            <w:tcW w:w="119" w:type="dxa"/>
            <w:vAlign w:val="bottom"/>
          </w:tcPr>
          <w:p w14:paraId="45C8E2D7"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46B32F9E" w14:textId="77777777" w:rsidR="00CE654B" w:rsidRPr="006048CC" w:rsidRDefault="00000000" w:rsidP="00286A1E">
            <w:pPr>
              <w:pStyle w:val="TBodysubtotalNumber"/>
              <w:keepNext/>
              <w:rPr>
                <w:lang w:val="pt-BR"/>
              </w:rPr>
            </w:pPr>
            <w:r w:rsidRPr="006048CC">
              <w:rPr>
                <w:lang w:val="es-AR"/>
              </w:rPr>
              <w:t>49</w:t>
            </w:r>
          </w:p>
        </w:tc>
        <w:tc>
          <w:tcPr>
            <w:tcW w:w="119" w:type="dxa"/>
            <w:vAlign w:val="bottom"/>
          </w:tcPr>
          <w:p w14:paraId="63368E3F"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3EFBFC86" w14:textId="77777777" w:rsidR="00CE654B" w:rsidRPr="006048CC" w:rsidRDefault="00000000" w:rsidP="00286A1E">
            <w:pPr>
              <w:pStyle w:val="TBodysubtotalNumber"/>
              <w:keepNext/>
              <w:rPr>
                <w:lang w:val="pt-BR"/>
              </w:rPr>
            </w:pPr>
            <w:r w:rsidRPr="006048CC">
              <w:rPr>
                <w:lang w:val="es-AR"/>
              </w:rPr>
              <w:t>-85</w:t>
            </w:r>
          </w:p>
        </w:tc>
      </w:tr>
      <w:tr w:rsidR="005B3B09" w14:paraId="1190D3E0" w14:textId="77777777" w:rsidTr="00286A1E">
        <w:trPr>
          <w:trHeight w:val="340"/>
        </w:trPr>
        <w:tc>
          <w:tcPr>
            <w:tcW w:w="6333" w:type="dxa"/>
            <w:tcBorders>
              <w:top w:val="single" w:sz="4" w:space="0" w:color="000000"/>
              <w:bottom w:val="single" w:sz="4" w:space="0" w:color="A59C94"/>
            </w:tcBorders>
            <w:vAlign w:val="bottom"/>
          </w:tcPr>
          <w:p w14:paraId="5B52C659" w14:textId="77777777" w:rsidR="00CE654B" w:rsidRPr="00C654FA" w:rsidRDefault="00000000" w:rsidP="00286A1E">
            <w:pPr>
              <w:pStyle w:val="TBodynormalText"/>
              <w:rPr>
                <w:lang w:val="es-ES"/>
              </w:rPr>
            </w:pPr>
            <w:r>
              <w:rPr>
                <w:lang w:val="es-AR"/>
              </w:rPr>
              <w:t>Resultado después de impuestos, operaciones discontinuadas</w:t>
            </w:r>
          </w:p>
        </w:tc>
        <w:tc>
          <w:tcPr>
            <w:tcW w:w="119" w:type="dxa"/>
            <w:vAlign w:val="bottom"/>
          </w:tcPr>
          <w:p w14:paraId="11902A76" w14:textId="77777777" w:rsidR="00CE654B" w:rsidRPr="00C654FA" w:rsidRDefault="00CE654B" w:rsidP="00286A1E">
            <w:pPr>
              <w:pStyle w:val="TBodynormalNumber"/>
              <w:keepNext/>
              <w:rPr>
                <w:lang w:val="es-ES"/>
              </w:rPr>
            </w:pPr>
          </w:p>
        </w:tc>
        <w:tc>
          <w:tcPr>
            <w:tcW w:w="1021" w:type="dxa"/>
            <w:tcBorders>
              <w:top w:val="single" w:sz="4" w:space="0" w:color="000000"/>
              <w:bottom w:val="single" w:sz="4" w:space="0" w:color="A59C94"/>
            </w:tcBorders>
            <w:vAlign w:val="bottom"/>
          </w:tcPr>
          <w:p w14:paraId="62B9BA72" w14:textId="77777777" w:rsidR="00CE654B" w:rsidRPr="006048CC" w:rsidRDefault="00000000" w:rsidP="00286A1E">
            <w:pPr>
              <w:pStyle w:val="TBodynormalNumber"/>
              <w:keepNext/>
              <w:rPr>
                <w:lang w:val="pt-BR"/>
              </w:rPr>
            </w:pPr>
            <w:r w:rsidRPr="006048CC">
              <w:rPr>
                <w:lang w:val="es-AR"/>
              </w:rPr>
              <w:t>–</w:t>
            </w:r>
          </w:p>
        </w:tc>
        <w:tc>
          <w:tcPr>
            <w:tcW w:w="119" w:type="dxa"/>
            <w:vAlign w:val="bottom"/>
          </w:tcPr>
          <w:p w14:paraId="0A328F7E"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50B793B6" w14:textId="77777777" w:rsidR="00CE654B" w:rsidRPr="006048CC" w:rsidRDefault="00000000" w:rsidP="00286A1E">
            <w:pPr>
              <w:pStyle w:val="TBodynormalNumber"/>
              <w:keepNext/>
              <w:rPr>
                <w:lang w:val="pt-BR"/>
              </w:rPr>
            </w:pPr>
            <w:r w:rsidRPr="006048CC">
              <w:rPr>
                <w:lang w:val="es-AR"/>
              </w:rPr>
              <w:t>–</w:t>
            </w:r>
          </w:p>
        </w:tc>
        <w:tc>
          <w:tcPr>
            <w:tcW w:w="119" w:type="dxa"/>
            <w:vAlign w:val="bottom"/>
          </w:tcPr>
          <w:p w14:paraId="2DAA9D23"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vAlign w:val="bottom"/>
          </w:tcPr>
          <w:p w14:paraId="055B1066" w14:textId="77777777" w:rsidR="00CE654B" w:rsidRPr="006048CC" w:rsidRDefault="00CE654B" w:rsidP="00286A1E">
            <w:pPr>
              <w:pStyle w:val="TBodynormalNumber"/>
              <w:keepNext/>
              <w:rPr>
                <w:lang w:val="pt-BR"/>
              </w:rPr>
            </w:pPr>
          </w:p>
        </w:tc>
      </w:tr>
      <w:tr w:rsidR="005B3B09" w14:paraId="5C8D386B" w14:textId="77777777" w:rsidTr="00286A1E">
        <w:tc>
          <w:tcPr>
            <w:tcW w:w="6333" w:type="dxa"/>
            <w:tcBorders>
              <w:top w:val="single" w:sz="4" w:space="0" w:color="A59C94"/>
              <w:bottom w:val="single" w:sz="4" w:space="0" w:color="000000"/>
            </w:tcBorders>
            <w:vAlign w:val="bottom"/>
          </w:tcPr>
          <w:p w14:paraId="7C1D0267" w14:textId="77777777" w:rsidR="00CE654B" w:rsidRPr="006048CC" w:rsidRDefault="00000000" w:rsidP="00286A1E">
            <w:pPr>
              <w:pStyle w:val="TBodysubtotalText"/>
              <w:keepNext/>
              <w:rPr>
                <w:lang w:val="pt-BR"/>
              </w:rPr>
            </w:pPr>
            <w:r>
              <w:rPr>
                <w:lang w:val="es-AR"/>
              </w:rPr>
              <w:t xml:space="preserve">Resultado después de impuestos </w:t>
            </w:r>
          </w:p>
        </w:tc>
        <w:tc>
          <w:tcPr>
            <w:tcW w:w="119" w:type="dxa"/>
            <w:vAlign w:val="bottom"/>
          </w:tcPr>
          <w:p w14:paraId="7FF214F0"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051A2E35" w14:textId="77777777" w:rsidR="00CE654B" w:rsidRPr="006048CC" w:rsidRDefault="00000000" w:rsidP="00286A1E">
            <w:pPr>
              <w:pStyle w:val="TBodysubtotalNumber"/>
              <w:keepNext/>
              <w:rPr>
                <w:lang w:val="pt-BR"/>
              </w:rPr>
            </w:pPr>
            <w:r w:rsidRPr="006048CC">
              <w:rPr>
                <w:lang w:val="es-AR"/>
              </w:rPr>
              <w:t>318</w:t>
            </w:r>
          </w:p>
        </w:tc>
        <w:tc>
          <w:tcPr>
            <w:tcW w:w="119" w:type="dxa"/>
            <w:vAlign w:val="bottom"/>
          </w:tcPr>
          <w:p w14:paraId="586B53D6"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287C1581" w14:textId="77777777" w:rsidR="00CE654B" w:rsidRPr="006048CC" w:rsidRDefault="00000000" w:rsidP="00286A1E">
            <w:pPr>
              <w:pStyle w:val="TBodysubtotalNumber"/>
              <w:keepNext/>
              <w:rPr>
                <w:lang w:val="pt-BR"/>
              </w:rPr>
            </w:pPr>
            <w:r w:rsidRPr="006048CC">
              <w:rPr>
                <w:lang w:val="es-AR"/>
              </w:rPr>
              <w:t>49</w:t>
            </w:r>
          </w:p>
        </w:tc>
        <w:tc>
          <w:tcPr>
            <w:tcW w:w="119" w:type="dxa"/>
            <w:vAlign w:val="bottom"/>
          </w:tcPr>
          <w:p w14:paraId="3B51CAC2"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4BDC4699" w14:textId="77777777" w:rsidR="00CE654B" w:rsidRPr="006048CC" w:rsidRDefault="00000000" w:rsidP="00286A1E">
            <w:pPr>
              <w:pStyle w:val="TBodysubtotalNumber"/>
              <w:keepNext/>
              <w:rPr>
                <w:lang w:val="pt-BR"/>
              </w:rPr>
            </w:pPr>
            <w:r w:rsidRPr="006048CC">
              <w:rPr>
                <w:lang w:val="es-AR"/>
              </w:rPr>
              <w:t>-85</w:t>
            </w:r>
          </w:p>
        </w:tc>
      </w:tr>
      <w:tr w:rsidR="005B3B09" w14:paraId="3CFC6543" w14:textId="77777777" w:rsidTr="00286A1E">
        <w:trPr>
          <w:trHeight w:val="340"/>
        </w:trPr>
        <w:tc>
          <w:tcPr>
            <w:tcW w:w="6333" w:type="dxa"/>
            <w:tcBorders>
              <w:top w:val="single" w:sz="4" w:space="0" w:color="000000"/>
              <w:bottom w:val="single" w:sz="4" w:space="0" w:color="A59C94"/>
            </w:tcBorders>
            <w:vAlign w:val="bottom"/>
          </w:tcPr>
          <w:p w14:paraId="30BA3CBC" w14:textId="77777777" w:rsidR="00CE654B" w:rsidRPr="00C654FA" w:rsidRDefault="00000000" w:rsidP="00286A1E">
            <w:pPr>
              <w:pStyle w:val="TBodynormalText"/>
              <w:rPr>
                <w:lang w:val="es-ES"/>
              </w:rPr>
            </w:pPr>
            <w:r w:rsidRPr="00247D57">
              <w:rPr>
                <w:lang w:val="es-AR"/>
              </w:rPr>
              <w:t>De ello imputable a intereses minoritarios</w:t>
            </w:r>
          </w:p>
        </w:tc>
        <w:tc>
          <w:tcPr>
            <w:tcW w:w="119" w:type="dxa"/>
            <w:vAlign w:val="bottom"/>
          </w:tcPr>
          <w:p w14:paraId="73B8C64B" w14:textId="77777777" w:rsidR="00CE654B" w:rsidRPr="00C654FA" w:rsidRDefault="00CE654B" w:rsidP="00286A1E">
            <w:pPr>
              <w:pStyle w:val="TBodynormalNumber"/>
              <w:keepNext/>
              <w:rPr>
                <w:lang w:val="es-ES"/>
              </w:rPr>
            </w:pPr>
          </w:p>
        </w:tc>
        <w:tc>
          <w:tcPr>
            <w:tcW w:w="1021" w:type="dxa"/>
            <w:tcBorders>
              <w:top w:val="single" w:sz="4" w:space="0" w:color="000000"/>
              <w:bottom w:val="single" w:sz="4" w:space="0" w:color="A59C94"/>
            </w:tcBorders>
            <w:vAlign w:val="bottom"/>
          </w:tcPr>
          <w:p w14:paraId="129C2ED3" w14:textId="77777777" w:rsidR="00CE654B" w:rsidRPr="006048CC" w:rsidRDefault="00000000" w:rsidP="00286A1E">
            <w:pPr>
              <w:pStyle w:val="TBodynormalNumber"/>
              <w:keepNext/>
              <w:rPr>
                <w:lang w:val="pt-BR"/>
              </w:rPr>
            </w:pPr>
            <w:r w:rsidRPr="006048CC">
              <w:rPr>
                <w:lang w:val="es-AR"/>
              </w:rPr>
              <w:t>4</w:t>
            </w:r>
          </w:p>
        </w:tc>
        <w:tc>
          <w:tcPr>
            <w:tcW w:w="119" w:type="dxa"/>
            <w:vAlign w:val="bottom"/>
          </w:tcPr>
          <w:p w14:paraId="0CBD06A2"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4AB42E3F" w14:textId="77777777" w:rsidR="00CE654B" w:rsidRPr="006048CC" w:rsidRDefault="00000000" w:rsidP="00286A1E">
            <w:pPr>
              <w:pStyle w:val="TBodynormalNumber"/>
              <w:keepNext/>
              <w:rPr>
                <w:lang w:val="pt-BR"/>
              </w:rPr>
            </w:pPr>
            <w:r w:rsidRPr="006048CC">
              <w:rPr>
                <w:lang w:val="es-AR"/>
              </w:rPr>
              <w:t>2</w:t>
            </w:r>
          </w:p>
        </w:tc>
        <w:tc>
          <w:tcPr>
            <w:tcW w:w="119" w:type="dxa"/>
            <w:vAlign w:val="bottom"/>
          </w:tcPr>
          <w:p w14:paraId="7D5F05F8" w14:textId="77777777" w:rsidR="00CE654B" w:rsidRPr="006048CC" w:rsidRDefault="00CE654B" w:rsidP="00286A1E">
            <w:pPr>
              <w:pStyle w:val="TBodynormalNumber"/>
              <w:keepNext/>
              <w:rPr>
                <w:lang w:val="pt-BR"/>
              </w:rPr>
            </w:pPr>
          </w:p>
        </w:tc>
        <w:tc>
          <w:tcPr>
            <w:tcW w:w="1021" w:type="dxa"/>
            <w:tcBorders>
              <w:top w:val="single" w:sz="4" w:space="0" w:color="000000"/>
              <w:bottom w:val="single" w:sz="4" w:space="0" w:color="A59C94"/>
            </w:tcBorders>
            <w:vAlign w:val="bottom"/>
          </w:tcPr>
          <w:p w14:paraId="4174E831" w14:textId="77777777" w:rsidR="00CE654B" w:rsidRPr="006048CC" w:rsidRDefault="00CE654B" w:rsidP="00286A1E">
            <w:pPr>
              <w:pStyle w:val="TBodynormalNumber"/>
              <w:keepNext/>
              <w:rPr>
                <w:lang w:val="pt-BR"/>
              </w:rPr>
            </w:pPr>
          </w:p>
        </w:tc>
      </w:tr>
      <w:tr w:rsidR="005B3B09" w14:paraId="12C57B8F" w14:textId="77777777" w:rsidTr="00286A1E">
        <w:tc>
          <w:tcPr>
            <w:tcW w:w="6333" w:type="dxa"/>
            <w:tcBorders>
              <w:top w:val="single" w:sz="4" w:space="0" w:color="A59C94"/>
              <w:bottom w:val="single" w:sz="4" w:space="0" w:color="000000"/>
            </w:tcBorders>
            <w:vAlign w:val="bottom"/>
          </w:tcPr>
          <w:p w14:paraId="39C57D6D" w14:textId="77777777" w:rsidR="00CE654B" w:rsidRPr="006048CC" w:rsidRDefault="00000000" w:rsidP="00286A1E">
            <w:pPr>
              <w:pStyle w:val="TBodysubtotalText"/>
              <w:keepNext/>
              <w:rPr>
                <w:lang w:val="pt-BR"/>
              </w:rPr>
            </w:pPr>
            <w:r>
              <w:rPr>
                <w:lang w:val="es-AR"/>
              </w:rPr>
              <w:t xml:space="preserve">Resultado neto </w:t>
            </w:r>
          </w:p>
        </w:tc>
        <w:tc>
          <w:tcPr>
            <w:tcW w:w="119" w:type="dxa"/>
            <w:vAlign w:val="bottom"/>
          </w:tcPr>
          <w:p w14:paraId="6869A060"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373A84A7" w14:textId="77777777" w:rsidR="00CE654B" w:rsidRPr="006048CC" w:rsidRDefault="00000000" w:rsidP="00286A1E">
            <w:pPr>
              <w:pStyle w:val="TBodysubtotalNumber"/>
              <w:keepNext/>
              <w:rPr>
                <w:lang w:val="pt-BR"/>
              </w:rPr>
            </w:pPr>
            <w:r w:rsidRPr="006048CC">
              <w:rPr>
                <w:lang w:val="es-AR"/>
              </w:rPr>
              <w:t>314</w:t>
            </w:r>
          </w:p>
        </w:tc>
        <w:tc>
          <w:tcPr>
            <w:tcW w:w="119" w:type="dxa"/>
            <w:vAlign w:val="bottom"/>
          </w:tcPr>
          <w:p w14:paraId="5AFFC538"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213DEB48" w14:textId="77777777" w:rsidR="00CE654B" w:rsidRPr="006048CC" w:rsidRDefault="00000000" w:rsidP="00286A1E">
            <w:pPr>
              <w:pStyle w:val="TBodysubtotalNumber"/>
              <w:keepNext/>
              <w:rPr>
                <w:lang w:val="pt-BR"/>
              </w:rPr>
            </w:pPr>
            <w:r w:rsidRPr="006048CC">
              <w:rPr>
                <w:lang w:val="es-AR"/>
              </w:rPr>
              <w:t>47</w:t>
            </w:r>
          </w:p>
        </w:tc>
        <w:tc>
          <w:tcPr>
            <w:tcW w:w="119" w:type="dxa"/>
            <w:vAlign w:val="bottom"/>
          </w:tcPr>
          <w:p w14:paraId="5F77FF3F" w14:textId="77777777" w:rsidR="00CE654B" w:rsidRPr="006048CC" w:rsidRDefault="00CE654B" w:rsidP="00286A1E">
            <w:pPr>
              <w:pStyle w:val="TBodysubtotalNumber"/>
              <w:keepNext/>
              <w:rPr>
                <w:lang w:val="pt-BR"/>
              </w:rPr>
            </w:pPr>
          </w:p>
        </w:tc>
        <w:tc>
          <w:tcPr>
            <w:tcW w:w="1021" w:type="dxa"/>
            <w:tcBorders>
              <w:top w:val="single" w:sz="4" w:space="0" w:color="A59C94"/>
              <w:bottom w:val="single" w:sz="4" w:space="0" w:color="000000"/>
            </w:tcBorders>
            <w:vAlign w:val="bottom"/>
          </w:tcPr>
          <w:p w14:paraId="198808C7" w14:textId="77777777" w:rsidR="00CE654B" w:rsidRPr="006048CC" w:rsidRDefault="00000000" w:rsidP="00286A1E">
            <w:pPr>
              <w:pStyle w:val="TBodysubtotalNumber"/>
              <w:keepNext/>
              <w:rPr>
                <w:lang w:val="pt-BR"/>
              </w:rPr>
            </w:pPr>
            <w:r w:rsidRPr="006048CC">
              <w:rPr>
                <w:lang w:val="es-AR"/>
              </w:rPr>
              <w:t>-85</w:t>
            </w:r>
          </w:p>
        </w:tc>
      </w:tr>
      <w:tr w:rsidR="005B3B09" w14:paraId="5815301E" w14:textId="77777777" w:rsidTr="00286A1E">
        <w:trPr>
          <w:trHeight w:val="340"/>
        </w:trPr>
        <w:tc>
          <w:tcPr>
            <w:tcW w:w="6333" w:type="dxa"/>
            <w:tcBorders>
              <w:top w:val="single" w:sz="4" w:space="0" w:color="000000"/>
              <w:bottom w:val="single" w:sz="16" w:space="0" w:color="991D85"/>
            </w:tcBorders>
            <w:vAlign w:val="bottom"/>
          </w:tcPr>
          <w:p w14:paraId="3D21D871" w14:textId="77777777" w:rsidR="00CE654B" w:rsidRPr="006048CC" w:rsidRDefault="00000000" w:rsidP="00286A1E">
            <w:pPr>
              <w:pStyle w:val="TBodynormalText"/>
              <w:rPr>
                <w:lang w:val="pt-BR"/>
              </w:rPr>
            </w:pPr>
            <w:r>
              <w:rPr>
                <w:b/>
                <w:lang w:val="es-AR"/>
              </w:rPr>
              <w:t xml:space="preserve">Resultado neto ajustado </w:t>
            </w:r>
          </w:p>
        </w:tc>
        <w:tc>
          <w:tcPr>
            <w:tcW w:w="119" w:type="dxa"/>
            <w:tcBorders>
              <w:bottom w:val="single" w:sz="16" w:space="0" w:color="991D85"/>
            </w:tcBorders>
            <w:vAlign w:val="bottom"/>
          </w:tcPr>
          <w:p w14:paraId="5679496E" w14:textId="77777777" w:rsidR="00CE654B" w:rsidRPr="006048CC" w:rsidRDefault="00CE654B" w:rsidP="00286A1E">
            <w:pPr>
              <w:pStyle w:val="TBodynormalNumber"/>
              <w:keepNext/>
              <w:rPr>
                <w:lang w:val="pt-BR"/>
              </w:rPr>
            </w:pPr>
          </w:p>
        </w:tc>
        <w:tc>
          <w:tcPr>
            <w:tcW w:w="1021" w:type="dxa"/>
            <w:tcBorders>
              <w:top w:val="single" w:sz="4" w:space="0" w:color="000000"/>
              <w:bottom w:val="single" w:sz="16" w:space="0" w:color="991D85"/>
            </w:tcBorders>
            <w:vAlign w:val="bottom"/>
          </w:tcPr>
          <w:p w14:paraId="0602EDC3" w14:textId="77777777" w:rsidR="00CE654B" w:rsidRPr="006048CC" w:rsidRDefault="00000000" w:rsidP="00286A1E">
            <w:pPr>
              <w:pStyle w:val="TBodynormalNumber"/>
              <w:keepNext/>
              <w:rPr>
                <w:lang w:val="pt-BR"/>
              </w:rPr>
            </w:pPr>
            <w:r w:rsidRPr="006048CC">
              <w:rPr>
                <w:b/>
                <w:lang w:val="es-AR"/>
              </w:rPr>
              <w:t>356</w:t>
            </w:r>
          </w:p>
        </w:tc>
        <w:tc>
          <w:tcPr>
            <w:tcW w:w="119" w:type="dxa"/>
            <w:tcBorders>
              <w:bottom w:val="single" w:sz="16" w:space="0" w:color="991D85"/>
            </w:tcBorders>
            <w:vAlign w:val="bottom"/>
          </w:tcPr>
          <w:p w14:paraId="3967FB6D" w14:textId="77777777" w:rsidR="00CE654B" w:rsidRPr="006048CC" w:rsidRDefault="00CE654B" w:rsidP="00286A1E">
            <w:pPr>
              <w:pStyle w:val="TBodynormalNumber"/>
              <w:keepNext/>
              <w:rPr>
                <w:lang w:val="pt-BR"/>
              </w:rPr>
            </w:pPr>
          </w:p>
        </w:tc>
        <w:tc>
          <w:tcPr>
            <w:tcW w:w="1021" w:type="dxa"/>
            <w:tcBorders>
              <w:top w:val="single" w:sz="4" w:space="0" w:color="000000"/>
              <w:bottom w:val="single" w:sz="16" w:space="0" w:color="991D85"/>
            </w:tcBorders>
            <w:shd w:val="clear" w:color="000000" w:fill="DAD5C9"/>
            <w:vAlign w:val="bottom"/>
          </w:tcPr>
          <w:p w14:paraId="6525572B" w14:textId="77777777" w:rsidR="00CE654B" w:rsidRPr="006048CC" w:rsidRDefault="00000000" w:rsidP="00286A1E">
            <w:pPr>
              <w:pStyle w:val="TBodynormalNumber"/>
              <w:keepNext/>
              <w:rPr>
                <w:lang w:val="pt-BR"/>
              </w:rPr>
            </w:pPr>
            <w:r w:rsidRPr="006048CC">
              <w:rPr>
                <w:b/>
                <w:lang w:val="es-AR"/>
              </w:rPr>
              <w:t>115</w:t>
            </w:r>
          </w:p>
        </w:tc>
        <w:tc>
          <w:tcPr>
            <w:tcW w:w="119" w:type="dxa"/>
            <w:tcBorders>
              <w:bottom w:val="single" w:sz="16" w:space="0" w:color="991D85"/>
            </w:tcBorders>
            <w:vAlign w:val="bottom"/>
          </w:tcPr>
          <w:p w14:paraId="648DECE7" w14:textId="77777777" w:rsidR="00CE654B" w:rsidRPr="006048CC" w:rsidRDefault="00CE654B" w:rsidP="00286A1E">
            <w:pPr>
              <w:pStyle w:val="TBodynormalNumber"/>
              <w:keepNext/>
              <w:rPr>
                <w:lang w:val="pt-BR"/>
              </w:rPr>
            </w:pPr>
          </w:p>
        </w:tc>
        <w:tc>
          <w:tcPr>
            <w:tcW w:w="1021" w:type="dxa"/>
            <w:tcBorders>
              <w:top w:val="single" w:sz="4" w:space="0" w:color="000000"/>
              <w:bottom w:val="single" w:sz="16" w:space="0" w:color="991D85"/>
            </w:tcBorders>
            <w:vAlign w:val="bottom"/>
          </w:tcPr>
          <w:p w14:paraId="33C6436B" w14:textId="77777777" w:rsidR="00CE654B" w:rsidRPr="006048CC" w:rsidRDefault="00000000" w:rsidP="00286A1E">
            <w:pPr>
              <w:pStyle w:val="TBodynormalNumber"/>
              <w:keepNext/>
              <w:rPr>
                <w:lang w:val="pt-BR"/>
              </w:rPr>
            </w:pPr>
            <w:r w:rsidRPr="006048CC">
              <w:rPr>
                <w:b/>
                <w:lang w:val="es-AR"/>
              </w:rPr>
              <w:t>-68</w:t>
            </w:r>
          </w:p>
        </w:tc>
      </w:tr>
      <w:bookmarkEnd w:id="1"/>
    </w:tbl>
    <w:p w14:paraId="3FE3DD58" w14:textId="77777777" w:rsidR="002530DF" w:rsidRPr="006048CC" w:rsidRDefault="002530DF" w:rsidP="0043547E">
      <w:pPr>
        <w:rPr>
          <w:lang w:val="pt-BR"/>
        </w:rPr>
      </w:pPr>
    </w:p>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5B3B09" w14:paraId="16877234" w14:textId="77777777" w:rsidTr="00AC6DC8">
        <w:tc>
          <w:tcPr>
            <w:tcW w:w="9752" w:type="dxa"/>
            <w:gridSpan w:val="13"/>
            <w:noWrap/>
            <w:vAlign w:val="bottom"/>
          </w:tcPr>
          <w:p w14:paraId="23AF48C5" w14:textId="77777777" w:rsidR="00A81042" w:rsidRPr="00C654FA" w:rsidRDefault="00000000" w:rsidP="00286A1E">
            <w:pPr>
              <w:pStyle w:val="TTitleText"/>
              <w:rPr>
                <w:lang w:val="es-ES"/>
              </w:rPr>
            </w:pPr>
            <w:bookmarkStart w:id="2" w:name="SNEID_3c00ec5e54e644f88a0a198056030d76"/>
            <w:r>
              <w:rPr>
                <w:lang w:val="es-AR"/>
              </w:rPr>
              <w:t>Rendimiento por división - 1º trimestre</w:t>
            </w:r>
          </w:p>
        </w:tc>
      </w:tr>
      <w:tr w:rsidR="005B3B09" w14:paraId="3D17850C" w14:textId="77777777" w:rsidTr="00AC6DC8">
        <w:tc>
          <w:tcPr>
            <w:tcW w:w="2912" w:type="dxa"/>
            <w:tcBorders>
              <w:top w:val="single" w:sz="8" w:space="0" w:color="000000"/>
            </w:tcBorders>
            <w:noWrap/>
            <w:vAlign w:val="bottom"/>
          </w:tcPr>
          <w:p w14:paraId="6534F70D" w14:textId="77777777" w:rsidR="00A81042" w:rsidRPr="00C654FA" w:rsidRDefault="00A81042" w:rsidP="00286A1E">
            <w:pPr>
              <w:pStyle w:val="TDummy"/>
              <w:keepNext/>
              <w:rPr>
                <w:lang w:val="es-ES"/>
              </w:rPr>
            </w:pPr>
          </w:p>
        </w:tc>
        <w:tc>
          <w:tcPr>
            <w:tcW w:w="119" w:type="dxa"/>
            <w:tcBorders>
              <w:top w:val="single" w:sz="8" w:space="0" w:color="000000"/>
            </w:tcBorders>
            <w:noWrap/>
            <w:vAlign w:val="bottom"/>
          </w:tcPr>
          <w:p w14:paraId="3BF69679" w14:textId="77777777" w:rsidR="00A81042" w:rsidRPr="00C654FA" w:rsidRDefault="00A81042" w:rsidP="00286A1E">
            <w:pPr>
              <w:pStyle w:val="TDummy"/>
              <w:keepNext/>
              <w:rPr>
                <w:lang w:val="es-ES"/>
              </w:rPr>
            </w:pPr>
          </w:p>
        </w:tc>
        <w:tc>
          <w:tcPr>
            <w:tcW w:w="1021" w:type="dxa"/>
            <w:tcBorders>
              <w:top w:val="single" w:sz="8" w:space="0" w:color="000000"/>
            </w:tcBorders>
            <w:noWrap/>
            <w:vAlign w:val="bottom"/>
          </w:tcPr>
          <w:p w14:paraId="7DF7773F" w14:textId="77777777" w:rsidR="00A81042" w:rsidRPr="00C654FA" w:rsidRDefault="00A81042" w:rsidP="00286A1E">
            <w:pPr>
              <w:pStyle w:val="TDummy"/>
              <w:keepNext/>
              <w:rPr>
                <w:lang w:val="es-ES"/>
              </w:rPr>
            </w:pPr>
          </w:p>
        </w:tc>
        <w:tc>
          <w:tcPr>
            <w:tcW w:w="119" w:type="dxa"/>
            <w:tcBorders>
              <w:top w:val="single" w:sz="8" w:space="0" w:color="000000"/>
            </w:tcBorders>
            <w:noWrap/>
            <w:vAlign w:val="bottom"/>
          </w:tcPr>
          <w:p w14:paraId="19A69D2E" w14:textId="77777777" w:rsidR="00A81042" w:rsidRPr="00C654FA" w:rsidRDefault="00A81042" w:rsidP="00286A1E">
            <w:pPr>
              <w:pStyle w:val="TDummy"/>
              <w:keepNext/>
              <w:rPr>
                <w:lang w:val="es-ES"/>
              </w:rPr>
            </w:pPr>
          </w:p>
        </w:tc>
        <w:tc>
          <w:tcPr>
            <w:tcW w:w="1021" w:type="dxa"/>
            <w:tcBorders>
              <w:top w:val="single" w:sz="8" w:space="0" w:color="000000"/>
            </w:tcBorders>
            <w:noWrap/>
            <w:vAlign w:val="bottom"/>
          </w:tcPr>
          <w:p w14:paraId="27E8B9C4" w14:textId="77777777" w:rsidR="00A81042" w:rsidRPr="00C654FA" w:rsidRDefault="00A81042" w:rsidP="00286A1E">
            <w:pPr>
              <w:pStyle w:val="TDummy"/>
              <w:keepNext/>
              <w:rPr>
                <w:lang w:val="es-ES"/>
              </w:rPr>
            </w:pPr>
          </w:p>
        </w:tc>
        <w:tc>
          <w:tcPr>
            <w:tcW w:w="119" w:type="dxa"/>
            <w:tcBorders>
              <w:top w:val="single" w:sz="8" w:space="0" w:color="000000"/>
            </w:tcBorders>
            <w:noWrap/>
            <w:vAlign w:val="bottom"/>
          </w:tcPr>
          <w:p w14:paraId="262B55B1" w14:textId="77777777" w:rsidR="00A81042" w:rsidRPr="00C654FA" w:rsidRDefault="00A81042" w:rsidP="00286A1E">
            <w:pPr>
              <w:pStyle w:val="TDummy"/>
              <w:keepNext/>
              <w:rPr>
                <w:lang w:val="es-ES"/>
              </w:rPr>
            </w:pPr>
          </w:p>
        </w:tc>
        <w:tc>
          <w:tcPr>
            <w:tcW w:w="1021" w:type="dxa"/>
            <w:tcBorders>
              <w:top w:val="single" w:sz="8" w:space="0" w:color="000000"/>
            </w:tcBorders>
            <w:noWrap/>
            <w:vAlign w:val="bottom"/>
          </w:tcPr>
          <w:p w14:paraId="678337B2" w14:textId="77777777" w:rsidR="00A81042" w:rsidRPr="00C654FA" w:rsidRDefault="00A81042" w:rsidP="00286A1E">
            <w:pPr>
              <w:pStyle w:val="TDummy"/>
              <w:keepNext/>
              <w:rPr>
                <w:lang w:val="es-ES"/>
              </w:rPr>
            </w:pPr>
          </w:p>
        </w:tc>
        <w:tc>
          <w:tcPr>
            <w:tcW w:w="119" w:type="dxa"/>
            <w:tcBorders>
              <w:top w:val="single" w:sz="8" w:space="0" w:color="000000"/>
            </w:tcBorders>
            <w:noWrap/>
            <w:vAlign w:val="bottom"/>
          </w:tcPr>
          <w:p w14:paraId="2FFCA40C" w14:textId="77777777" w:rsidR="00A81042" w:rsidRPr="00C654FA" w:rsidRDefault="00A81042" w:rsidP="00286A1E">
            <w:pPr>
              <w:pStyle w:val="TDummy"/>
              <w:keepNext/>
              <w:rPr>
                <w:lang w:val="es-ES"/>
              </w:rPr>
            </w:pPr>
          </w:p>
        </w:tc>
        <w:tc>
          <w:tcPr>
            <w:tcW w:w="1021" w:type="dxa"/>
            <w:tcBorders>
              <w:top w:val="single" w:sz="8" w:space="0" w:color="000000"/>
            </w:tcBorders>
            <w:noWrap/>
            <w:vAlign w:val="bottom"/>
          </w:tcPr>
          <w:p w14:paraId="0A2E27EB" w14:textId="77777777" w:rsidR="00A81042" w:rsidRPr="00C654FA" w:rsidRDefault="00A81042" w:rsidP="00286A1E">
            <w:pPr>
              <w:pStyle w:val="TDummy"/>
              <w:keepNext/>
              <w:rPr>
                <w:lang w:val="es-ES"/>
              </w:rPr>
            </w:pPr>
          </w:p>
        </w:tc>
        <w:tc>
          <w:tcPr>
            <w:tcW w:w="119" w:type="dxa"/>
            <w:tcBorders>
              <w:top w:val="single" w:sz="8" w:space="0" w:color="000000"/>
            </w:tcBorders>
            <w:noWrap/>
            <w:vAlign w:val="bottom"/>
          </w:tcPr>
          <w:p w14:paraId="27BE27C2" w14:textId="77777777" w:rsidR="00A81042" w:rsidRPr="00C654FA" w:rsidRDefault="00A81042" w:rsidP="00286A1E">
            <w:pPr>
              <w:pStyle w:val="TDummy"/>
              <w:keepNext/>
              <w:rPr>
                <w:lang w:val="es-ES"/>
              </w:rPr>
            </w:pPr>
          </w:p>
        </w:tc>
        <w:tc>
          <w:tcPr>
            <w:tcW w:w="1021" w:type="dxa"/>
            <w:tcBorders>
              <w:top w:val="single" w:sz="8" w:space="0" w:color="000000"/>
            </w:tcBorders>
            <w:noWrap/>
            <w:vAlign w:val="bottom"/>
          </w:tcPr>
          <w:p w14:paraId="4507F898" w14:textId="77777777" w:rsidR="00A81042" w:rsidRPr="00C654FA" w:rsidRDefault="00A81042" w:rsidP="00286A1E">
            <w:pPr>
              <w:pStyle w:val="TDummy"/>
              <w:keepNext/>
              <w:rPr>
                <w:lang w:val="es-ES"/>
              </w:rPr>
            </w:pPr>
          </w:p>
        </w:tc>
        <w:tc>
          <w:tcPr>
            <w:tcW w:w="119" w:type="dxa"/>
            <w:tcBorders>
              <w:top w:val="single" w:sz="8" w:space="0" w:color="000000"/>
            </w:tcBorders>
            <w:noWrap/>
            <w:vAlign w:val="bottom"/>
          </w:tcPr>
          <w:p w14:paraId="5DD8C51F" w14:textId="77777777" w:rsidR="00A81042" w:rsidRPr="00C654FA" w:rsidRDefault="00A81042" w:rsidP="00286A1E">
            <w:pPr>
              <w:pStyle w:val="TDummy"/>
              <w:keepNext/>
              <w:rPr>
                <w:lang w:val="es-ES"/>
              </w:rPr>
            </w:pPr>
          </w:p>
        </w:tc>
        <w:tc>
          <w:tcPr>
            <w:tcW w:w="1021" w:type="dxa"/>
            <w:tcBorders>
              <w:top w:val="single" w:sz="8" w:space="0" w:color="000000"/>
            </w:tcBorders>
            <w:noWrap/>
            <w:vAlign w:val="bottom"/>
          </w:tcPr>
          <w:p w14:paraId="600F114C" w14:textId="77777777" w:rsidR="00A81042" w:rsidRPr="00C654FA" w:rsidRDefault="00A81042" w:rsidP="00286A1E">
            <w:pPr>
              <w:pStyle w:val="TDummy"/>
              <w:keepNext/>
              <w:rPr>
                <w:lang w:val="es-ES"/>
              </w:rPr>
            </w:pPr>
          </w:p>
        </w:tc>
      </w:tr>
      <w:tr w:rsidR="005B3B09" w14:paraId="491F5462" w14:textId="77777777" w:rsidTr="00AC6DC8">
        <w:tc>
          <w:tcPr>
            <w:tcW w:w="2912" w:type="dxa"/>
            <w:shd w:val="clear" w:color="000000" w:fill="FFFFFF"/>
            <w:noWrap/>
            <w:vAlign w:val="bottom"/>
          </w:tcPr>
          <w:p w14:paraId="4A58018A" w14:textId="77777777" w:rsidR="00A81042" w:rsidRPr="00C654FA" w:rsidRDefault="00A81042" w:rsidP="00286A1E">
            <w:pPr>
              <w:pStyle w:val="THeadfirstNumber"/>
              <w:rPr>
                <w:lang w:val="es-ES"/>
              </w:rPr>
            </w:pPr>
            <w:bookmarkStart w:id="3" w:name="RANGE!B25:N25"/>
            <w:bookmarkStart w:id="4" w:name="RANGE!B25"/>
            <w:bookmarkEnd w:id="3"/>
            <w:bookmarkEnd w:id="4"/>
          </w:p>
        </w:tc>
        <w:tc>
          <w:tcPr>
            <w:tcW w:w="119" w:type="dxa"/>
            <w:noWrap/>
            <w:vAlign w:val="bottom"/>
          </w:tcPr>
          <w:p w14:paraId="2D3FDF5B" w14:textId="77777777" w:rsidR="00A81042" w:rsidRPr="00C654FA" w:rsidRDefault="00A81042" w:rsidP="00286A1E">
            <w:pPr>
              <w:pStyle w:val="THeadfirstNumber"/>
              <w:rPr>
                <w:lang w:val="es-ES"/>
              </w:rPr>
            </w:pPr>
          </w:p>
        </w:tc>
        <w:tc>
          <w:tcPr>
            <w:tcW w:w="3301" w:type="dxa"/>
            <w:gridSpan w:val="5"/>
            <w:tcBorders>
              <w:bottom w:val="single" w:sz="4" w:space="0" w:color="A59C94"/>
            </w:tcBorders>
            <w:shd w:val="clear" w:color="000000" w:fill="FFFFFF"/>
            <w:vAlign w:val="bottom"/>
          </w:tcPr>
          <w:p w14:paraId="06685FD5" w14:textId="77777777" w:rsidR="00A81042" w:rsidRPr="006048CC" w:rsidRDefault="00000000" w:rsidP="00286A1E">
            <w:pPr>
              <w:pStyle w:val="THeadfirstNumber"/>
              <w:rPr>
                <w:lang w:val="pt-BR"/>
              </w:rPr>
            </w:pPr>
            <w:r>
              <w:rPr>
                <w:lang w:val="es-AR"/>
              </w:rPr>
              <w:t>Ventas</w:t>
            </w:r>
          </w:p>
        </w:tc>
        <w:tc>
          <w:tcPr>
            <w:tcW w:w="119" w:type="dxa"/>
            <w:vAlign w:val="bottom"/>
          </w:tcPr>
          <w:p w14:paraId="6D312393" w14:textId="77777777" w:rsidR="00A81042" w:rsidRPr="006048CC" w:rsidRDefault="00A81042" w:rsidP="00286A1E">
            <w:pPr>
              <w:pStyle w:val="THeadfirstNumber"/>
              <w:rPr>
                <w:lang w:val="pt-BR"/>
              </w:rPr>
            </w:pPr>
          </w:p>
        </w:tc>
        <w:tc>
          <w:tcPr>
            <w:tcW w:w="3301" w:type="dxa"/>
            <w:gridSpan w:val="5"/>
            <w:tcBorders>
              <w:bottom w:val="single" w:sz="4" w:space="0" w:color="A59C94"/>
            </w:tcBorders>
            <w:shd w:val="clear" w:color="000000" w:fill="FFFFFF"/>
            <w:vAlign w:val="bottom"/>
          </w:tcPr>
          <w:p w14:paraId="112EBD42" w14:textId="77777777" w:rsidR="00A81042" w:rsidRPr="006048CC" w:rsidRDefault="00000000" w:rsidP="00286A1E">
            <w:pPr>
              <w:pStyle w:val="THeadfirstNumber"/>
              <w:rPr>
                <w:lang w:val="pt-BR"/>
              </w:rPr>
            </w:pPr>
            <w:r>
              <w:rPr>
                <w:lang w:val="es-AR"/>
              </w:rPr>
              <w:t>EBITDA ajustado</w:t>
            </w:r>
          </w:p>
        </w:tc>
      </w:tr>
      <w:tr w:rsidR="005B3B09" w14:paraId="4F4E1202" w14:textId="77777777" w:rsidTr="00AC6DC8">
        <w:tc>
          <w:tcPr>
            <w:tcW w:w="2912" w:type="dxa"/>
            <w:tcBorders>
              <w:bottom w:val="single" w:sz="4" w:space="0" w:color="000000"/>
            </w:tcBorders>
            <w:shd w:val="clear" w:color="000000" w:fill="FFFFFF"/>
            <w:noWrap/>
            <w:vAlign w:val="bottom"/>
          </w:tcPr>
          <w:p w14:paraId="51F51169" w14:textId="77777777" w:rsidR="00A81042" w:rsidRPr="006048CC" w:rsidRDefault="00000000" w:rsidP="00286A1E">
            <w:pPr>
              <w:pStyle w:val="THeadlastText"/>
              <w:rPr>
                <w:lang w:val="pt-BR"/>
              </w:rPr>
            </w:pPr>
            <w:bookmarkStart w:id="5" w:name="RANGE!B26:N26"/>
            <w:bookmarkEnd w:id="5"/>
            <w:r>
              <w:rPr>
                <w:lang w:val="es-AR"/>
              </w:rPr>
              <w:t>en millones de euros</w:t>
            </w:r>
          </w:p>
        </w:tc>
        <w:tc>
          <w:tcPr>
            <w:tcW w:w="119" w:type="dxa"/>
            <w:noWrap/>
            <w:vAlign w:val="bottom"/>
          </w:tcPr>
          <w:p w14:paraId="41A9D2DE" w14:textId="77777777" w:rsidR="00A81042" w:rsidRPr="006048CC" w:rsidRDefault="00A81042"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B0B73CE" w14:textId="77777777" w:rsidR="00A81042" w:rsidRPr="006048CC" w:rsidRDefault="00000000" w:rsidP="00286A1E">
            <w:pPr>
              <w:pStyle w:val="THeadlastNumber"/>
              <w:rPr>
                <w:lang w:val="pt-BR"/>
              </w:rPr>
            </w:pPr>
            <w:r w:rsidRPr="006048CC">
              <w:rPr>
                <w:lang w:val="es-AR"/>
              </w:rPr>
              <w:t>2022</w:t>
            </w:r>
          </w:p>
        </w:tc>
        <w:tc>
          <w:tcPr>
            <w:tcW w:w="119" w:type="dxa"/>
            <w:vAlign w:val="bottom"/>
          </w:tcPr>
          <w:p w14:paraId="7166618D" w14:textId="77777777" w:rsidR="00A81042" w:rsidRPr="006048CC" w:rsidRDefault="00A81042"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FB95581" w14:textId="77777777" w:rsidR="00A81042" w:rsidRPr="006048CC" w:rsidRDefault="00000000" w:rsidP="00286A1E">
            <w:pPr>
              <w:pStyle w:val="THeadlastNumberbold"/>
              <w:rPr>
                <w:lang w:val="pt-BR"/>
              </w:rPr>
            </w:pPr>
            <w:bookmarkStart w:id="6" w:name="RANGE!F26:F33"/>
            <w:bookmarkEnd w:id="6"/>
            <w:r w:rsidRPr="006048CC">
              <w:rPr>
                <w:lang w:val="es-AR"/>
              </w:rPr>
              <w:t>2023</w:t>
            </w:r>
          </w:p>
        </w:tc>
        <w:tc>
          <w:tcPr>
            <w:tcW w:w="119" w:type="dxa"/>
            <w:vAlign w:val="bottom"/>
          </w:tcPr>
          <w:p w14:paraId="04123CAA" w14:textId="77777777" w:rsidR="00A81042" w:rsidRPr="006048CC" w:rsidRDefault="00A81042"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4AADF08B" w14:textId="637765C5" w:rsidR="00A81042" w:rsidRPr="006048CC" w:rsidRDefault="00000000" w:rsidP="00286A1E">
            <w:pPr>
              <w:pStyle w:val="THeaddifferenceNumber"/>
              <w:keepNext/>
              <w:rPr>
                <w:lang w:val="pt-BR"/>
              </w:rPr>
            </w:pPr>
            <w:bookmarkStart w:id="7" w:name="RANGE!H26:H33"/>
            <w:bookmarkEnd w:id="7"/>
            <w:r>
              <w:rPr>
                <w:lang w:val="es-AR"/>
              </w:rPr>
              <w:t xml:space="preserve">Variación </w:t>
            </w:r>
            <w:r w:rsidR="00111CE9">
              <w:rPr>
                <w:lang w:val="es-AR"/>
              </w:rPr>
              <w:t>(</w:t>
            </w:r>
            <w:r>
              <w:rPr>
                <w:lang w:val="es-AR"/>
              </w:rPr>
              <w:t>%</w:t>
            </w:r>
            <w:r w:rsidR="00111CE9">
              <w:rPr>
                <w:lang w:val="es-AR"/>
              </w:rPr>
              <w:t>)</w:t>
            </w:r>
          </w:p>
        </w:tc>
        <w:tc>
          <w:tcPr>
            <w:tcW w:w="119" w:type="dxa"/>
            <w:vAlign w:val="bottom"/>
          </w:tcPr>
          <w:p w14:paraId="0DF1D379" w14:textId="77777777" w:rsidR="00A81042" w:rsidRPr="006048CC" w:rsidRDefault="00A81042"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114A8DAB" w14:textId="77777777" w:rsidR="00A81042" w:rsidRPr="006048CC" w:rsidRDefault="00000000" w:rsidP="00286A1E">
            <w:pPr>
              <w:pStyle w:val="THeadlastNumber"/>
              <w:rPr>
                <w:lang w:val="pt-BR"/>
              </w:rPr>
            </w:pPr>
            <w:r w:rsidRPr="006048CC">
              <w:rPr>
                <w:lang w:val="es-AR"/>
              </w:rPr>
              <w:t>2022</w:t>
            </w:r>
          </w:p>
        </w:tc>
        <w:tc>
          <w:tcPr>
            <w:tcW w:w="119" w:type="dxa"/>
            <w:vAlign w:val="bottom"/>
          </w:tcPr>
          <w:p w14:paraId="7429A240" w14:textId="77777777" w:rsidR="00A81042" w:rsidRPr="006048CC" w:rsidRDefault="00A81042"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C4255E0" w14:textId="77777777" w:rsidR="00A81042" w:rsidRPr="006048CC" w:rsidRDefault="00000000" w:rsidP="00286A1E">
            <w:pPr>
              <w:pStyle w:val="THeadlastNumberbold"/>
              <w:rPr>
                <w:lang w:val="pt-BR"/>
              </w:rPr>
            </w:pPr>
            <w:bookmarkStart w:id="8" w:name="RANGE!L26:L33"/>
            <w:bookmarkEnd w:id="8"/>
            <w:r w:rsidRPr="006048CC">
              <w:rPr>
                <w:lang w:val="es-AR"/>
              </w:rPr>
              <w:t>2023</w:t>
            </w:r>
          </w:p>
        </w:tc>
        <w:tc>
          <w:tcPr>
            <w:tcW w:w="119" w:type="dxa"/>
            <w:vAlign w:val="bottom"/>
          </w:tcPr>
          <w:p w14:paraId="17E5707B" w14:textId="77777777" w:rsidR="00A81042" w:rsidRPr="006048CC" w:rsidRDefault="00A81042" w:rsidP="00286A1E">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5818ED22" w14:textId="3561857E" w:rsidR="00A81042" w:rsidRPr="006048CC" w:rsidRDefault="00000000" w:rsidP="00286A1E">
            <w:pPr>
              <w:pStyle w:val="THeaddifferenceNumber"/>
              <w:keepNext/>
              <w:rPr>
                <w:lang w:val="pt-BR"/>
              </w:rPr>
            </w:pPr>
            <w:bookmarkStart w:id="9" w:name="RANGE!N26:N33"/>
            <w:bookmarkEnd w:id="9"/>
            <w:r>
              <w:rPr>
                <w:lang w:val="es-AR"/>
              </w:rPr>
              <w:t xml:space="preserve">Variación </w:t>
            </w:r>
            <w:r w:rsidR="00111CE9">
              <w:rPr>
                <w:lang w:val="es-AR"/>
              </w:rPr>
              <w:t>(</w:t>
            </w:r>
            <w:r>
              <w:rPr>
                <w:lang w:val="es-AR"/>
              </w:rPr>
              <w:t>%</w:t>
            </w:r>
            <w:r w:rsidR="00111CE9">
              <w:rPr>
                <w:lang w:val="es-AR"/>
              </w:rPr>
              <w:t>)</w:t>
            </w:r>
          </w:p>
        </w:tc>
      </w:tr>
      <w:tr w:rsidR="005B3B09" w14:paraId="2C469F21" w14:textId="77777777" w:rsidTr="00AC6DC8">
        <w:tc>
          <w:tcPr>
            <w:tcW w:w="2912" w:type="dxa"/>
            <w:tcBorders>
              <w:top w:val="single" w:sz="4" w:space="0" w:color="000000"/>
              <w:bottom w:val="single" w:sz="4" w:space="0" w:color="A59C94"/>
            </w:tcBorders>
            <w:noWrap/>
            <w:vAlign w:val="bottom"/>
          </w:tcPr>
          <w:p w14:paraId="0115BCB5" w14:textId="77777777" w:rsidR="00A81042" w:rsidRPr="006048CC" w:rsidRDefault="00000000" w:rsidP="00286A1E">
            <w:pPr>
              <w:pStyle w:val="TBodynormalText"/>
              <w:rPr>
                <w:lang w:val="pt-BR"/>
              </w:rPr>
            </w:pPr>
            <w:r w:rsidRPr="006048CC">
              <w:rPr>
                <w:lang w:val="es-AR"/>
              </w:rPr>
              <w:t xml:space="preserve">Specialty </w:t>
            </w:r>
            <w:proofErr w:type="spellStart"/>
            <w:r w:rsidRPr="006048CC">
              <w:rPr>
                <w:lang w:val="es-AR"/>
              </w:rPr>
              <w:t>Additives</w:t>
            </w:r>
            <w:proofErr w:type="spellEnd"/>
          </w:p>
        </w:tc>
        <w:tc>
          <w:tcPr>
            <w:tcW w:w="119" w:type="dxa"/>
            <w:noWrap/>
            <w:vAlign w:val="bottom"/>
          </w:tcPr>
          <w:p w14:paraId="39F52766" w14:textId="77777777" w:rsidR="00A81042" w:rsidRPr="006048CC" w:rsidRDefault="00A81042" w:rsidP="00286A1E">
            <w:pPr>
              <w:pStyle w:val="TBodynormalNumber"/>
              <w:keepNext/>
              <w:rPr>
                <w:lang w:val="pt-BR"/>
              </w:rPr>
            </w:pPr>
          </w:p>
        </w:tc>
        <w:tc>
          <w:tcPr>
            <w:tcW w:w="1021" w:type="dxa"/>
            <w:tcBorders>
              <w:top w:val="single" w:sz="4" w:space="0" w:color="000000"/>
              <w:bottom w:val="single" w:sz="4" w:space="0" w:color="A59C94"/>
            </w:tcBorders>
            <w:noWrap/>
            <w:vAlign w:val="bottom"/>
          </w:tcPr>
          <w:p w14:paraId="0CF53E03" w14:textId="77777777" w:rsidR="00A81042" w:rsidRPr="006048CC" w:rsidRDefault="00000000" w:rsidP="00286A1E">
            <w:pPr>
              <w:pStyle w:val="TBodynormalNumber"/>
              <w:keepNext/>
              <w:rPr>
                <w:lang w:val="pt-BR"/>
              </w:rPr>
            </w:pPr>
            <w:bookmarkStart w:id="10" w:name="SNAMD_e6413ae544e244da910ca049fba665cd"/>
            <w:r w:rsidRPr="006048CC">
              <w:rPr>
                <w:lang w:val="es-AR"/>
              </w:rPr>
              <w:t>1049</w:t>
            </w:r>
            <w:bookmarkEnd w:id="10"/>
          </w:p>
        </w:tc>
        <w:tc>
          <w:tcPr>
            <w:tcW w:w="119" w:type="dxa"/>
            <w:noWrap/>
            <w:vAlign w:val="bottom"/>
          </w:tcPr>
          <w:p w14:paraId="3758C2BF" w14:textId="77777777" w:rsidR="00A81042" w:rsidRPr="006048CC" w:rsidRDefault="00A81042" w:rsidP="00286A1E">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6333E211" w14:textId="77777777" w:rsidR="00A81042" w:rsidRPr="006048CC" w:rsidRDefault="00000000" w:rsidP="00286A1E">
            <w:pPr>
              <w:pStyle w:val="TBodynormalNumber"/>
              <w:keepNext/>
              <w:rPr>
                <w:lang w:val="pt-BR"/>
              </w:rPr>
            </w:pPr>
            <w:bookmarkStart w:id="11" w:name="SNAMD_d867c1fae43f40e790f98d17b1bfac2e"/>
            <w:r w:rsidRPr="006048CC">
              <w:rPr>
                <w:lang w:val="es-AR"/>
              </w:rPr>
              <w:t>921</w:t>
            </w:r>
            <w:bookmarkEnd w:id="11"/>
          </w:p>
        </w:tc>
        <w:tc>
          <w:tcPr>
            <w:tcW w:w="119" w:type="dxa"/>
            <w:noWrap/>
            <w:vAlign w:val="bottom"/>
          </w:tcPr>
          <w:p w14:paraId="5874875B" w14:textId="77777777" w:rsidR="00A81042" w:rsidRPr="006048CC" w:rsidRDefault="00A81042" w:rsidP="00286A1E">
            <w:pPr>
              <w:pStyle w:val="TBodynormalNumber"/>
              <w:keepNext/>
              <w:rPr>
                <w:lang w:val="pt-BR"/>
              </w:rPr>
            </w:pPr>
          </w:p>
        </w:tc>
        <w:tc>
          <w:tcPr>
            <w:tcW w:w="1021" w:type="dxa"/>
            <w:tcBorders>
              <w:top w:val="single" w:sz="4" w:space="0" w:color="000000"/>
              <w:bottom w:val="single" w:sz="4" w:space="0" w:color="A59C94"/>
            </w:tcBorders>
            <w:noWrap/>
            <w:vAlign w:val="bottom"/>
          </w:tcPr>
          <w:p w14:paraId="09799E74" w14:textId="77777777" w:rsidR="00A81042" w:rsidRPr="006048CC" w:rsidRDefault="00000000" w:rsidP="00286A1E">
            <w:pPr>
              <w:pStyle w:val="TBodynormalNumber"/>
              <w:keepNext/>
              <w:rPr>
                <w:lang w:val="pt-BR"/>
              </w:rPr>
            </w:pPr>
            <w:r w:rsidRPr="006048CC">
              <w:rPr>
                <w:lang w:val="es-AR"/>
              </w:rPr>
              <w:t>-12</w:t>
            </w:r>
          </w:p>
        </w:tc>
        <w:tc>
          <w:tcPr>
            <w:tcW w:w="119" w:type="dxa"/>
            <w:noWrap/>
            <w:vAlign w:val="bottom"/>
          </w:tcPr>
          <w:p w14:paraId="19C08D4D" w14:textId="77777777" w:rsidR="00A81042" w:rsidRPr="006048CC" w:rsidRDefault="00A81042" w:rsidP="00286A1E">
            <w:pPr>
              <w:pStyle w:val="TBodynormalNumber"/>
              <w:keepNext/>
              <w:rPr>
                <w:lang w:val="pt-BR"/>
              </w:rPr>
            </w:pPr>
          </w:p>
        </w:tc>
        <w:tc>
          <w:tcPr>
            <w:tcW w:w="1021" w:type="dxa"/>
            <w:tcBorders>
              <w:top w:val="single" w:sz="4" w:space="0" w:color="000000"/>
              <w:bottom w:val="single" w:sz="4" w:space="0" w:color="A59C94"/>
            </w:tcBorders>
            <w:noWrap/>
            <w:vAlign w:val="bottom"/>
          </w:tcPr>
          <w:p w14:paraId="0AF98F8E" w14:textId="77777777" w:rsidR="00A81042" w:rsidRPr="006048CC" w:rsidRDefault="00000000" w:rsidP="00286A1E">
            <w:pPr>
              <w:pStyle w:val="TBodynormalNumber"/>
              <w:keepNext/>
              <w:rPr>
                <w:lang w:val="pt-BR"/>
              </w:rPr>
            </w:pPr>
            <w:r w:rsidRPr="006048CC">
              <w:rPr>
                <w:lang w:val="es-AR"/>
              </w:rPr>
              <w:t>252</w:t>
            </w:r>
          </w:p>
        </w:tc>
        <w:tc>
          <w:tcPr>
            <w:tcW w:w="119" w:type="dxa"/>
            <w:noWrap/>
            <w:vAlign w:val="bottom"/>
          </w:tcPr>
          <w:p w14:paraId="2304E021" w14:textId="77777777" w:rsidR="00A81042" w:rsidRPr="006048CC" w:rsidRDefault="00A81042" w:rsidP="00286A1E">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0D17058B" w14:textId="77777777" w:rsidR="00A81042" w:rsidRPr="006048CC" w:rsidRDefault="00000000" w:rsidP="00286A1E">
            <w:pPr>
              <w:pStyle w:val="TBodynormalNumber"/>
              <w:keepNext/>
              <w:rPr>
                <w:lang w:val="pt-BR"/>
              </w:rPr>
            </w:pPr>
            <w:r w:rsidRPr="006048CC">
              <w:rPr>
                <w:lang w:val="es-AR"/>
              </w:rPr>
              <w:t>168</w:t>
            </w:r>
          </w:p>
        </w:tc>
        <w:tc>
          <w:tcPr>
            <w:tcW w:w="119" w:type="dxa"/>
            <w:noWrap/>
            <w:vAlign w:val="bottom"/>
          </w:tcPr>
          <w:p w14:paraId="473C57C6" w14:textId="77777777" w:rsidR="00A81042" w:rsidRPr="006048CC" w:rsidRDefault="00A81042" w:rsidP="00286A1E">
            <w:pPr>
              <w:pStyle w:val="TBodynormalNumber"/>
              <w:keepNext/>
              <w:rPr>
                <w:lang w:val="pt-BR"/>
              </w:rPr>
            </w:pPr>
          </w:p>
        </w:tc>
        <w:tc>
          <w:tcPr>
            <w:tcW w:w="1021" w:type="dxa"/>
            <w:tcBorders>
              <w:top w:val="single" w:sz="4" w:space="0" w:color="000000"/>
              <w:bottom w:val="single" w:sz="4" w:space="0" w:color="A59C94"/>
            </w:tcBorders>
            <w:noWrap/>
            <w:vAlign w:val="bottom"/>
          </w:tcPr>
          <w:p w14:paraId="71001C32" w14:textId="77777777" w:rsidR="00A81042" w:rsidRPr="006048CC" w:rsidRDefault="00000000" w:rsidP="00286A1E">
            <w:pPr>
              <w:pStyle w:val="TBodynormalNumber"/>
              <w:keepNext/>
              <w:rPr>
                <w:lang w:val="pt-BR"/>
              </w:rPr>
            </w:pPr>
            <w:r w:rsidRPr="006048CC">
              <w:rPr>
                <w:lang w:val="es-AR"/>
              </w:rPr>
              <w:t>-33</w:t>
            </w:r>
          </w:p>
        </w:tc>
      </w:tr>
      <w:tr w:rsidR="005B3B09" w14:paraId="5BA60425" w14:textId="77777777" w:rsidTr="00AC6DC8">
        <w:tc>
          <w:tcPr>
            <w:tcW w:w="2912" w:type="dxa"/>
            <w:tcBorders>
              <w:top w:val="single" w:sz="4" w:space="0" w:color="A59C94"/>
              <w:bottom w:val="single" w:sz="4" w:space="0" w:color="A59C94"/>
            </w:tcBorders>
            <w:noWrap/>
            <w:vAlign w:val="bottom"/>
          </w:tcPr>
          <w:p w14:paraId="2C537D4C" w14:textId="77777777" w:rsidR="00A81042" w:rsidRPr="006048CC" w:rsidRDefault="00000000" w:rsidP="00286A1E">
            <w:pPr>
              <w:pStyle w:val="TBodynormalText"/>
              <w:rPr>
                <w:lang w:val="pt-BR"/>
              </w:rPr>
            </w:pPr>
            <w:proofErr w:type="spellStart"/>
            <w:r w:rsidRPr="006048CC">
              <w:rPr>
                <w:lang w:val="es-AR"/>
              </w:rPr>
              <w:t>Nutrition</w:t>
            </w:r>
            <w:proofErr w:type="spellEnd"/>
            <w:r w:rsidRPr="006048CC">
              <w:rPr>
                <w:lang w:val="es-AR"/>
              </w:rPr>
              <w:t xml:space="preserve"> &amp; Care</w:t>
            </w:r>
          </w:p>
        </w:tc>
        <w:tc>
          <w:tcPr>
            <w:tcW w:w="119" w:type="dxa"/>
            <w:noWrap/>
            <w:vAlign w:val="bottom"/>
          </w:tcPr>
          <w:p w14:paraId="19FA8AF4"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3BB16AEA" w14:textId="77777777" w:rsidR="00A81042" w:rsidRPr="006048CC" w:rsidRDefault="00000000" w:rsidP="00286A1E">
            <w:pPr>
              <w:pStyle w:val="TBodynormalNumber"/>
              <w:keepNext/>
              <w:rPr>
                <w:lang w:val="pt-BR"/>
              </w:rPr>
            </w:pPr>
            <w:bookmarkStart w:id="12" w:name="SNAMD_c6898640d97245acada087be14a7de32"/>
            <w:r w:rsidRPr="006048CC">
              <w:rPr>
                <w:lang w:val="es-AR"/>
              </w:rPr>
              <w:t>1038</w:t>
            </w:r>
            <w:bookmarkEnd w:id="12"/>
          </w:p>
        </w:tc>
        <w:tc>
          <w:tcPr>
            <w:tcW w:w="119" w:type="dxa"/>
            <w:noWrap/>
            <w:vAlign w:val="bottom"/>
          </w:tcPr>
          <w:p w14:paraId="205F564C"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47E596F" w14:textId="77777777" w:rsidR="00A81042" w:rsidRPr="006048CC" w:rsidRDefault="00000000" w:rsidP="00286A1E">
            <w:pPr>
              <w:pStyle w:val="TBodynormalNumber"/>
              <w:keepNext/>
              <w:rPr>
                <w:lang w:val="pt-BR"/>
              </w:rPr>
            </w:pPr>
            <w:bookmarkStart w:id="13" w:name="SNAMD_c222bec0aa9e4ab3b2ad2ef9a29e9f41"/>
            <w:r w:rsidRPr="006048CC">
              <w:rPr>
                <w:lang w:val="es-AR"/>
              </w:rPr>
              <w:t>886</w:t>
            </w:r>
            <w:bookmarkEnd w:id="13"/>
          </w:p>
        </w:tc>
        <w:tc>
          <w:tcPr>
            <w:tcW w:w="119" w:type="dxa"/>
            <w:noWrap/>
            <w:vAlign w:val="bottom"/>
          </w:tcPr>
          <w:p w14:paraId="7E39B729"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073496CF" w14:textId="77777777" w:rsidR="00A81042" w:rsidRPr="006048CC" w:rsidRDefault="00000000" w:rsidP="00286A1E">
            <w:pPr>
              <w:pStyle w:val="TBodynormalNumber"/>
              <w:keepNext/>
              <w:rPr>
                <w:lang w:val="pt-BR"/>
              </w:rPr>
            </w:pPr>
            <w:r w:rsidRPr="006048CC">
              <w:rPr>
                <w:lang w:val="es-AR"/>
              </w:rPr>
              <w:t>-15</w:t>
            </w:r>
          </w:p>
        </w:tc>
        <w:tc>
          <w:tcPr>
            <w:tcW w:w="119" w:type="dxa"/>
            <w:noWrap/>
            <w:vAlign w:val="bottom"/>
          </w:tcPr>
          <w:p w14:paraId="078A40DE"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5DE74AEE" w14:textId="77777777" w:rsidR="00A81042" w:rsidRPr="006048CC" w:rsidRDefault="00000000" w:rsidP="00286A1E">
            <w:pPr>
              <w:pStyle w:val="TBodynormalNumber"/>
              <w:keepNext/>
              <w:rPr>
                <w:lang w:val="pt-BR"/>
              </w:rPr>
            </w:pPr>
            <w:r w:rsidRPr="006048CC">
              <w:rPr>
                <w:lang w:val="es-AR"/>
              </w:rPr>
              <w:t>222</w:t>
            </w:r>
          </w:p>
        </w:tc>
        <w:tc>
          <w:tcPr>
            <w:tcW w:w="119" w:type="dxa"/>
            <w:noWrap/>
            <w:vAlign w:val="bottom"/>
          </w:tcPr>
          <w:p w14:paraId="0D3274D7"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3B9108E" w14:textId="77777777" w:rsidR="00A81042" w:rsidRPr="006048CC" w:rsidRDefault="00000000" w:rsidP="00286A1E">
            <w:pPr>
              <w:pStyle w:val="TBodynormalNumber"/>
              <w:keepNext/>
              <w:rPr>
                <w:lang w:val="pt-BR"/>
              </w:rPr>
            </w:pPr>
            <w:r w:rsidRPr="006048CC">
              <w:rPr>
                <w:lang w:val="es-AR"/>
              </w:rPr>
              <w:t>76</w:t>
            </w:r>
          </w:p>
        </w:tc>
        <w:tc>
          <w:tcPr>
            <w:tcW w:w="119" w:type="dxa"/>
            <w:noWrap/>
            <w:vAlign w:val="bottom"/>
          </w:tcPr>
          <w:p w14:paraId="4DBCF71E"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65612A70" w14:textId="77777777" w:rsidR="00A81042" w:rsidRPr="006048CC" w:rsidRDefault="00000000" w:rsidP="00286A1E">
            <w:pPr>
              <w:pStyle w:val="TBodynormalNumber"/>
              <w:keepNext/>
              <w:rPr>
                <w:lang w:val="pt-BR"/>
              </w:rPr>
            </w:pPr>
            <w:r w:rsidRPr="006048CC">
              <w:rPr>
                <w:lang w:val="es-AR"/>
              </w:rPr>
              <w:t>-66</w:t>
            </w:r>
          </w:p>
        </w:tc>
      </w:tr>
      <w:tr w:rsidR="005B3B09" w14:paraId="015899A1" w14:textId="77777777" w:rsidTr="00AC6DC8">
        <w:tc>
          <w:tcPr>
            <w:tcW w:w="2912" w:type="dxa"/>
            <w:tcBorders>
              <w:top w:val="single" w:sz="4" w:space="0" w:color="A59C94"/>
              <w:bottom w:val="single" w:sz="4" w:space="0" w:color="A59C94"/>
            </w:tcBorders>
            <w:noWrap/>
            <w:vAlign w:val="bottom"/>
          </w:tcPr>
          <w:p w14:paraId="0AF9EA25" w14:textId="77777777" w:rsidR="00A81042" w:rsidRPr="006048CC" w:rsidRDefault="00000000" w:rsidP="00286A1E">
            <w:pPr>
              <w:pStyle w:val="TBodynormalText"/>
              <w:rPr>
                <w:lang w:val="pt-BR"/>
              </w:rPr>
            </w:pPr>
            <w:r w:rsidRPr="006048CC">
              <w:rPr>
                <w:lang w:val="es-AR"/>
              </w:rPr>
              <w:t xml:space="preserve">Smart </w:t>
            </w:r>
            <w:proofErr w:type="spellStart"/>
            <w:r w:rsidRPr="006048CC">
              <w:rPr>
                <w:lang w:val="es-AR"/>
              </w:rPr>
              <w:t>Materials</w:t>
            </w:r>
            <w:r w:rsidRPr="006048CC">
              <w:rPr>
                <w:vertAlign w:val="superscript"/>
                <w:lang w:val="es-AR"/>
              </w:rPr>
              <w:t>a</w:t>
            </w:r>
            <w:proofErr w:type="spellEnd"/>
          </w:p>
        </w:tc>
        <w:tc>
          <w:tcPr>
            <w:tcW w:w="119" w:type="dxa"/>
            <w:noWrap/>
            <w:vAlign w:val="bottom"/>
          </w:tcPr>
          <w:p w14:paraId="309833BB"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5A055FCE" w14:textId="77777777" w:rsidR="00A81042" w:rsidRPr="006048CC" w:rsidRDefault="00000000" w:rsidP="00286A1E">
            <w:pPr>
              <w:pStyle w:val="TBodynormalNumber"/>
              <w:keepNext/>
              <w:rPr>
                <w:lang w:val="pt-BR"/>
              </w:rPr>
            </w:pPr>
            <w:r w:rsidRPr="006048CC">
              <w:rPr>
                <w:lang w:val="es-AR"/>
              </w:rPr>
              <w:t>1284</w:t>
            </w:r>
          </w:p>
        </w:tc>
        <w:tc>
          <w:tcPr>
            <w:tcW w:w="119" w:type="dxa"/>
            <w:noWrap/>
            <w:vAlign w:val="bottom"/>
          </w:tcPr>
          <w:p w14:paraId="1B3937A2"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D17F480" w14:textId="77777777" w:rsidR="00A81042" w:rsidRPr="006048CC" w:rsidRDefault="00000000" w:rsidP="00286A1E">
            <w:pPr>
              <w:pStyle w:val="TBodynormalNumber"/>
              <w:keepNext/>
              <w:rPr>
                <w:lang w:val="pt-BR"/>
              </w:rPr>
            </w:pPr>
            <w:r w:rsidRPr="006048CC">
              <w:rPr>
                <w:lang w:val="es-AR"/>
              </w:rPr>
              <w:t>1188</w:t>
            </w:r>
          </w:p>
        </w:tc>
        <w:tc>
          <w:tcPr>
            <w:tcW w:w="119" w:type="dxa"/>
            <w:noWrap/>
            <w:vAlign w:val="bottom"/>
          </w:tcPr>
          <w:p w14:paraId="1B0BCA9D"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2E68A31B" w14:textId="77777777" w:rsidR="00A81042" w:rsidRPr="006048CC" w:rsidRDefault="00000000" w:rsidP="00286A1E">
            <w:pPr>
              <w:pStyle w:val="TBodynormalNumber"/>
              <w:keepNext/>
              <w:rPr>
                <w:lang w:val="pt-BR"/>
              </w:rPr>
            </w:pPr>
            <w:r w:rsidRPr="006048CC">
              <w:rPr>
                <w:lang w:val="es-AR"/>
              </w:rPr>
              <w:t>-7</w:t>
            </w:r>
          </w:p>
        </w:tc>
        <w:tc>
          <w:tcPr>
            <w:tcW w:w="119" w:type="dxa"/>
            <w:noWrap/>
            <w:vAlign w:val="bottom"/>
          </w:tcPr>
          <w:p w14:paraId="7F4613E1"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3E758D1C" w14:textId="77777777" w:rsidR="00A81042" w:rsidRPr="006048CC" w:rsidRDefault="00000000" w:rsidP="00286A1E">
            <w:pPr>
              <w:pStyle w:val="TBodynormalNumber"/>
              <w:keepNext/>
              <w:rPr>
                <w:lang w:val="pt-BR"/>
              </w:rPr>
            </w:pPr>
            <w:r w:rsidRPr="006048CC">
              <w:rPr>
                <w:lang w:val="es-AR"/>
              </w:rPr>
              <w:t>212</w:t>
            </w:r>
          </w:p>
        </w:tc>
        <w:tc>
          <w:tcPr>
            <w:tcW w:w="119" w:type="dxa"/>
            <w:noWrap/>
            <w:vAlign w:val="bottom"/>
          </w:tcPr>
          <w:p w14:paraId="3EB33414"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BE1B2FC" w14:textId="77777777" w:rsidR="00A81042" w:rsidRPr="006048CC" w:rsidRDefault="00000000" w:rsidP="00286A1E">
            <w:pPr>
              <w:pStyle w:val="TBodynormalNumber"/>
              <w:keepNext/>
              <w:rPr>
                <w:lang w:val="pt-BR"/>
              </w:rPr>
            </w:pPr>
            <w:r w:rsidRPr="006048CC">
              <w:rPr>
                <w:lang w:val="es-AR"/>
              </w:rPr>
              <w:t>164</w:t>
            </w:r>
          </w:p>
        </w:tc>
        <w:tc>
          <w:tcPr>
            <w:tcW w:w="119" w:type="dxa"/>
            <w:noWrap/>
            <w:vAlign w:val="bottom"/>
          </w:tcPr>
          <w:p w14:paraId="1C9C77F1"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39B21EE9" w14:textId="77777777" w:rsidR="00A81042" w:rsidRPr="006048CC" w:rsidRDefault="00000000" w:rsidP="00286A1E">
            <w:pPr>
              <w:pStyle w:val="TBodynormalNumber"/>
              <w:keepNext/>
              <w:rPr>
                <w:lang w:val="pt-BR"/>
              </w:rPr>
            </w:pPr>
            <w:r w:rsidRPr="006048CC">
              <w:rPr>
                <w:lang w:val="es-AR"/>
              </w:rPr>
              <w:t>-23</w:t>
            </w:r>
          </w:p>
        </w:tc>
      </w:tr>
      <w:tr w:rsidR="005B3B09" w14:paraId="6B87E934" w14:textId="77777777" w:rsidTr="00AC6DC8">
        <w:tc>
          <w:tcPr>
            <w:tcW w:w="2912" w:type="dxa"/>
            <w:tcBorders>
              <w:top w:val="single" w:sz="4" w:space="0" w:color="A59C94"/>
              <w:bottom w:val="single" w:sz="4" w:space="0" w:color="A59C94"/>
            </w:tcBorders>
            <w:noWrap/>
            <w:vAlign w:val="bottom"/>
          </w:tcPr>
          <w:p w14:paraId="3F0A65D1" w14:textId="77777777" w:rsidR="00A81042" w:rsidRPr="006048CC" w:rsidRDefault="00000000" w:rsidP="00286A1E">
            <w:pPr>
              <w:pStyle w:val="TBodynormalText"/>
              <w:rPr>
                <w:lang w:val="pt-BR"/>
              </w:rPr>
            </w:pPr>
            <w:r w:rsidRPr="006048CC">
              <w:rPr>
                <w:lang w:val="es-AR"/>
              </w:rPr>
              <w:t xml:space="preserve">Performance </w:t>
            </w:r>
            <w:proofErr w:type="spellStart"/>
            <w:r w:rsidRPr="006048CC">
              <w:rPr>
                <w:lang w:val="es-AR"/>
              </w:rPr>
              <w:t>Materials</w:t>
            </w:r>
            <w:r w:rsidRPr="006048CC">
              <w:rPr>
                <w:vertAlign w:val="superscript"/>
                <w:lang w:val="es-AR"/>
              </w:rPr>
              <w:t>a</w:t>
            </w:r>
            <w:proofErr w:type="spellEnd"/>
          </w:p>
        </w:tc>
        <w:tc>
          <w:tcPr>
            <w:tcW w:w="119" w:type="dxa"/>
            <w:noWrap/>
            <w:vAlign w:val="bottom"/>
          </w:tcPr>
          <w:p w14:paraId="0CF0E2D7"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103AFDDE" w14:textId="77777777" w:rsidR="00A81042" w:rsidRPr="006048CC" w:rsidRDefault="00000000" w:rsidP="00286A1E">
            <w:pPr>
              <w:pStyle w:val="TBodynormalNumber"/>
              <w:keepNext/>
              <w:rPr>
                <w:lang w:val="pt-BR"/>
              </w:rPr>
            </w:pPr>
            <w:r w:rsidRPr="006048CC">
              <w:rPr>
                <w:lang w:val="es-AR"/>
              </w:rPr>
              <w:t>844</w:t>
            </w:r>
          </w:p>
        </w:tc>
        <w:tc>
          <w:tcPr>
            <w:tcW w:w="119" w:type="dxa"/>
            <w:noWrap/>
            <w:vAlign w:val="bottom"/>
          </w:tcPr>
          <w:p w14:paraId="4229E41F"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C21551F" w14:textId="77777777" w:rsidR="00A81042" w:rsidRPr="006048CC" w:rsidRDefault="00000000" w:rsidP="00286A1E">
            <w:pPr>
              <w:pStyle w:val="TBodynormalNumber"/>
              <w:keepNext/>
              <w:rPr>
                <w:lang w:val="pt-BR"/>
              </w:rPr>
            </w:pPr>
            <w:r w:rsidRPr="006048CC">
              <w:rPr>
                <w:lang w:val="es-AR"/>
              </w:rPr>
              <w:t>707</w:t>
            </w:r>
          </w:p>
        </w:tc>
        <w:tc>
          <w:tcPr>
            <w:tcW w:w="119" w:type="dxa"/>
            <w:noWrap/>
            <w:vAlign w:val="bottom"/>
          </w:tcPr>
          <w:p w14:paraId="05CB7AA1"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6A2C2955" w14:textId="77777777" w:rsidR="00A81042" w:rsidRPr="006048CC" w:rsidRDefault="00000000" w:rsidP="00286A1E">
            <w:pPr>
              <w:pStyle w:val="TBodynormalNumber"/>
              <w:keepNext/>
              <w:rPr>
                <w:lang w:val="pt-BR"/>
              </w:rPr>
            </w:pPr>
            <w:r w:rsidRPr="006048CC">
              <w:rPr>
                <w:lang w:val="es-AR"/>
              </w:rPr>
              <w:t>-16</w:t>
            </w:r>
          </w:p>
        </w:tc>
        <w:tc>
          <w:tcPr>
            <w:tcW w:w="119" w:type="dxa"/>
            <w:noWrap/>
            <w:vAlign w:val="bottom"/>
          </w:tcPr>
          <w:p w14:paraId="3B3AA095"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532F53E3" w14:textId="77777777" w:rsidR="00A81042" w:rsidRPr="006048CC" w:rsidRDefault="00000000" w:rsidP="00286A1E">
            <w:pPr>
              <w:pStyle w:val="TBodynormalNumber"/>
              <w:keepNext/>
              <w:rPr>
                <w:lang w:val="pt-BR"/>
              </w:rPr>
            </w:pPr>
            <w:r w:rsidRPr="006048CC">
              <w:rPr>
                <w:lang w:val="es-AR"/>
              </w:rPr>
              <w:t>82</w:t>
            </w:r>
          </w:p>
        </w:tc>
        <w:tc>
          <w:tcPr>
            <w:tcW w:w="119" w:type="dxa"/>
            <w:noWrap/>
            <w:vAlign w:val="bottom"/>
          </w:tcPr>
          <w:p w14:paraId="59B20A8C"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E4B89F5" w14:textId="77777777" w:rsidR="00A81042" w:rsidRPr="006048CC" w:rsidRDefault="00000000" w:rsidP="00286A1E">
            <w:pPr>
              <w:pStyle w:val="TBodynormalNumber"/>
              <w:keepNext/>
              <w:rPr>
                <w:lang w:val="pt-BR"/>
              </w:rPr>
            </w:pPr>
            <w:r w:rsidRPr="006048CC">
              <w:rPr>
                <w:lang w:val="es-AR"/>
              </w:rPr>
              <w:t>37</w:t>
            </w:r>
          </w:p>
        </w:tc>
        <w:tc>
          <w:tcPr>
            <w:tcW w:w="119" w:type="dxa"/>
            <w:noWrap/>
            <w:vAlign w:val="bottom"/>
          </w:tcPr>
          <w:p w14:paraId="52F84176"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18F43452" w14:textId="77777777" w:rsidR="00A81042" w:rsidRPr="006048CC" w:rsidRDefault="00000000" w:rsidP="00286A1E">
            <w:pPr>
              <w:pStyle w:val="TBodynormalNumber"/>
              <w:keepNext/>
              <w:rPr>
                <w:lang w:val="pt-BR"/>
              </w:rPr>
            </w:pPr>
            <w:r w:rsidRPr="006048CC">
              <w:rPr>
                <w:lang w:val="es-AR"/>
              </w:rPr>
              <w:t>-55</w:t>
            </w:r>
          </w:p>
        </w:tc>
      </w:tr>
      <w:tr w:rsidR="005B3B09" w14:paraId="22CCAD9A" w14:textId="77777777" w:rsidTr="00AC6DC8">
        <w:tc>
          <w:tcPr>
            <w:tcW w:w="2912" w:type="dxa"/>
            <w:tcBorders>
              <w:top w:val="single" w:sz="4" w:space="0" w:color="A59C94"/>
              <w:bottom w:val="single" w:sz="4" w:space="0" w:color="A59C94"/>
            </w:tcBorders>
            <w:noWrap/>
            <w:vAlign w:val="bottom"/>
          </w:tcPr>
          <w:p w14:paraId="580A71AA" w14:textId="77777777" w:rsidR="00A81042" w:rsidRPr="006048CC" w:rsidRDefault="00000000" w:rsidP="00286A1E">
            <w:pPr>
              <w:pStyle w:val="TBodynormalText"/>
              <w:rPr>
                <w:lang w:val="pt-BR"/>
              </w:rPr>
            </w:pPr>
            <w:proofErr w:type="spellStart"/>
            <w:r w:rsidRPr="006048CC">
              <w:rPr>
                <w:lang w:val="es-AR"/>
              </w:rPr>
              <w:t>Technology</w:t>
            </w:r>
            <w:proofErr w:type="spellEnd"/>
            <w:r w:rsidRPr="006048CC">
              <w:rPr>
                <w:lang w:val="es-AR"/>
              </w:rPr>
              <w:t xml:space="preserve"> &amp; </w:t>
            </w:r>
            <w:proofErr w:type="spellStart"/>
            <w:r w:rsidRPr="006048CC">
              <w:rPr>
                <w:lang w:val="es-AR"/>
              </w:rPr>
              <w:t>Infrastructure</w:t>
            </w:r>
            <w:proofErr w:type="spellEnd"/>
          </w:p>
        </w:tc>
        <w:tc>
          <w:tcPr>
            <w:tcW w:w="119" w:type="dxa"/>
            <w:noWrap/>
            <w:vAlign w:val="bottom"/>
          </w:tcPr>
          <w:p w14:paraId="23B777AD"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5076F76C" w14:textId="77777777" w:rsidR="00A81042" w:rsidRPr="006048CC" w:rsidRDefault="00000000" w:rsidP="00286A1E">
            <w:pPr>
              <w:pStyle w:val="TBodynormalNumber"/>
              <w:keepNext/>
              <w:rPr>
                <w:lang w:val="pt-BR"/>
              </w:rPr>
            </w:pPr>
            <w:r w:rsidRPr="006048CC">
              <w:rPr>
                <w:lang w:val="es-AR"/>
              </w:rPr>
              <w:t>271</w:t>
            </w:r>
          </w:p>
        </w:tc>
        <w:tc>
          <w:tcPr>
            <w:tcW w:w="119" w:type="dxa"/>
            <w:noWrap/>
            <w:vAlign w:val="bottom"/>
          </w:tcPr>
          <w:p w14:paraId="7EFEC053"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E25250B" w14:textId="77777777" w:rsidR="00A81042" w:rsidRPr="006048CC" w:rsidRDefault="00000000" w:rsidP="00286A1E">
            <w:pPr>
              <w:pStyle w:val="TBodynormalNumber"/>
              <w:keepNext/>
              <w:rPr>
                <w:lang w:val="pt-BR"/>
              </w:rPr>
            </w:pPr>
            <w:r w:rsidRPr="006048CC">
              <w:rPr>
                <w:lang w:val="es-AR"/>
              </w:rPr>
              <w:t>292</w:t>
            </w:r>
          </w:p>
        </w:tc>
        <w:tc>
          <w:tcPr>
            <w:tcW w:w="119" w:type="dxa"/>
            <w:noWrap/>
            <w:vAlign w:val="bottom"/>
          </w:tcPr>
          <w:p w14:paraId="420AD842"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35173DD5" w14:textId="77777777" w:rsidR="00A81042" w:rsidRPr="006048CC" w:rsidRDefault="00000000" w:rsidP="00286A1E">
            <w:pPr>
              <w:pStyle w:val="TBodynormalNumber"/>
              <w:keepNext/>
              <w:rPr>
                <w:lang w:val="pt-BR"/>
              </w:rPr>
            </w:pPr>
            <w:r w:rsidRPr="006048CC">
              <w:rPr>
                <w:lang w:val="es-AR"/>
              </w:rPr>
              <w:t>8</w:t>
            </w:r>
          </w:p>
        </w:tc>
        <w:tc>
          <w:tcPr>
            <w:tcW w:w="119" w:type="dxa"/>
            <w:noWrap/>
            <w:vAlign w:val="bottom"/>
          </w:tcPr>
          <w:p w14:paraId="57ABF6C2"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7B265D45" w14:textId="77777777" w:rsidR="00A81042" w:rsidRPr="006048CC" w:rsidRDefault="00000000" w:rsidP="00286A1E">
            <w:pPr>
              <w:pStyle w:val="TBodynormalNumber"/>
              <w:keepNext/>
              <w:rPr>
                <w:lang w:val="pt-BR"/>
              </w:rPr>
            </w:pPr>
            <w:r w:rsidRPr="006048CC">
              <w:rPr>
                <w:lang w:val="es-AR"/>
              </w:rPr>
              <w:t>35</w:t>
            </w:r>
          </w:p>
        </w:tc>
        <w:tc>
          <w:tcPr>
            <w:tcW w:w="119" w:type="dxa"/>
            <w:noWrap/>
            <w:vAlign w:val="bottom"/>
          </w:tcPr>
          <w:p w14:paraId="09D51662"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4EC859E2" w14:textId="77777777" w:rsidR="00A81042" w:rsidRPr="006048CC" w:rsidRDefault="00000000" w:rsidP="00286A1E">
            <w:pPr>
              <w:pStyle w:val="TBodynormalNumber"/>
              <w:keepNext/>
              <w:rPr>
                <w:lang w:val="pt-BR"/>
              </w:rPr>
            </w:pPr>
            <w:r w:rsidRPr="006048CC">
              <w:rPr>
                <w:lang w:val="es-AR"/>
              </w:rPr>
              <w:t>34</w:t>
            </w:r>
          </w:p>
        </w:tc>
        <w:tc>
          <w:tcPr>
            <w:tcW w:w="119" w:type="dxa"/>
            <w:noWrap/>
            <w:vAlign w:val="bottom"/>
          </w:tcPr>
          <w:p w14:paraId="772D1A5A"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1858D413" w14:textId="77777777" w:rsidR="00A81042" w:rsidRPr="006048CC" w:rsidRDefault="00000000" w:rsidP="00286A1E">
            <w:pPr>
              <w:pStyle w:val="TBodynormalNumber"/>
              <w:keepNext/>
              <w:rPr>
                <w:lang w:val="pt-BR"/>
              </w:rPr>
            </w:pPr>
            <w:r w:rsidRPr="006048CC">
              <w:rPr>
                <w:lang w:val="es-AR"/>
              </w:rPr>
              <w:t>-3</w:t>
            </w:r>
          </w:p>
        </w:tc>
      </w:tr>
      <w:tr w:rsidR="005B3B09" w14:paraId="35E0149C" w14:textId="77777777" w:rsidTr="00AC6DC8">
        <w:tc>
          <w:tcPr>
            <w:tcW w:w="2912" w:type="dxa"/>
            <w:tcBorders>
              <w:top w:val="single" w:sz="4" w:space="0" w:color="A59C94"/>
              <w:bottom w:val="single" w:sz="4" w:space="0" w:color="A59C94"/>
            </w:tcBorders>
            <w:noWrap/>
            <w:vAlign w:val="bottom"/>
          </w:tcPr>
          <w:p w14:paraId="212CB87A" w14:textId="77777777" w:rsidR="00A81042" w:rsidRPr="00C654FA" w:rsidRDefault="00000000" w:rsidP="00286A1E">
            <w:pPr>
              <w:pStyle w:val="TBodynormalText"/>
              <w:rPr>
                <w:lang w:val="es-ES"/>
              </w:rPr>
            </w:pPr>
            <w:r w:rsidRPr="004A3E11">
              <w:rPr>
                <w:lang w:val="es-AR"/>
              </w:rPr>
              <w:t>Funciones no productivas, Otras actividades, Consolidación</w:t>
            </w:r>
          </w:p>
        </w:tc>
        <w:tc>
          <w:tcPr>
            <w:tcW w:w="119" w:type="dxa"/>
            <w:noWrap/>
            <w:vAlign w:val="bottom"/>
          </w:tcPr>
          <w:p w14:paraId="4BADD764" w14:textId="77777777" w:rsidR="00A81042" w:rsidRPr="00C654FA" w:rsidRDefault="00A81042" w:rsidP="00286A1E">
            <w:pPr>
              <w:pStyle w:val="TBodynormalNumber"/>
              <w:keepNext/>
              <w:rPr>
                <w:lang w:val="es-ES"/>
              </w:rPr>
            </w:pPr>
          </w:p>
        </w:tc>
        <w:tc>
          <w:tcPr>
            <w:tcW w:w="1021" w:type="dxa"/>
            <w:tcBorders>
              <w:top w:val="single" w:sz="4" w:space="0" w:color="A59C94"/>
              <w:bottom w:val="single" w:sz="4" w:space="0" w:color="A59C94"/>
            </w:tcBorders>
            <w:noWrap/>
            <w:vAlign w:val="bottom"/>
          </w:tcPr>
          <w:p w14:paraId="672D0492" w14:textId="77777777" w:rsidR="00A81042" w:rsidRPr="006048CC" w:rsidRDefault="00000000" w:rsidP="00286A1E">
            <w:pPr>
              <w:pStyle w:val="TBodynormalNumber"/>
              <w:keepNext/>
              <w:rPr>
                <w:lang w:val="pt-BR"/>
              </w:rPr>
            </w:pPr>
            <w:r w:rsidRPr="006048CC">
              <w:rPr>
                <w:lang w:val="es-AR"/>
              </w:rPr>
              <w:t>12</w:t>
            </w:r>
          </w:p>
        </w:tc>
        <w:tc>
          <w:tcPr>
            <w:tcW w:w="119" w:type="dxa"/>
            <w:noWrap/>
            <w:vAlign w:val="bottom"/>
          </w:tcPr>
          <w:p w14:paraId="45154ECC"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D7CC851" w14:textId="77777777" w:rsidR="00A81042" w:rsidRPr="006048CC" w:rsidRDefault="00000000" w:rsidP="00286A1E">
            <w:pPr>
              <w:pStyle w:val="TBodynormalNumber"/>
              <w:keepNext/>
              <w:rPr>
                <w:lang w:val="pt-BR"/>
              </w:rPr>
            </w:pPr>
            <w:r w:rsidRPr="006048CC">
              <w:rPr>
                <w:lang w:val="es-AR"/>
              </w:rPr>
              <w:t>11</w:t>
            </w:r>
          </w:p>
        </w:tc>
        <w:tc>
          <w:tcPr>
            <w:tcW w:w="119" w:type="dxa"/>
            <w:noWrap/>
            <w:vAlign w:val="bottom"/>
          </w:tcPr>
          <w:p w14:paraId="171DADF6"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68A7645F" w14:textId="77777777" w:rsidR="00A81042" w:rsidRPr="006048CC" w:rsidRDefault="00000000" w:rsidP="00286A1E">
            <w:pPr>
              <w:pStyle w:val="TBodynormalNumber"/>
              <w:keepNext/>
              <w:rPr>
                <w:lang w:val="pt-BR"/>
              </w:rPr>
            </w:pPr>
            <w:r w:rsidRPr="006048CC">
              <w:rPr>
                <w:lang w:val="es-AR"/>
              </w:rPr>
              <w:t>-8</w:t>
            </w:r>
          </w:p>
        </w:tc>
        <w:tc>
          <w:tcPr>
            <w:tcW w:w="119" w:type="dxa"/>
            <w:noWrap/>
            <w:vAlign w:val="bottom"/>
          </w:tcPr>
          <w:p w14:paraId="78C27E94"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587EED73" w14:textId="77777777" w:rsidR="00A81042" w:rsidRPr="006048CC" w:rsidRDefault="00000000" w:rsidP="00286A1E">
            <w:pPr>
              <w:pStyle w:val="TBodynormalNumber"/>
              <w:keepNext/>
              <w:rPr>
                <w:lang w:val="pt-BR"/>
              </w:rPr>
            </w:pPr>
            <w:r w:rsidRPr="006048CC">
              <w:rPr>
                <w:lang w:val="es-AR"/>
              </w:rPr>
              <w:t>-68</w:t>
            </w:r>
          </w:p>
        </w:tc>
        <w:tc>
          <w:tcPr>
            <w:tcW w:w="119" w:type="dxa"/>
            <w:noWrap/>
            <w:vAlign w:val="bottom"/>
          </w:tcPr>
          <w:p w14:paraId="18682E05"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FBA361A" w14:textId="77777777" w:rsidR="00A81042" w:rsidRPr="006048CC" w:rsidRDefault="00000000" w:rsidP="00286A1E">
            <w:pPr>
              <w:pStyle w:val="TBodynormalNumber"/>
              <w:keepNext/>
              <w:rPr>
                <w:lang w:val="pt-BR"/>
              </w:rPr>
            </w:pPr>
            <w:r w:rsidRPr="006048CC">
              <w:rPr>
                <w:lang w:val="es-AR"/>
              </w:rPr>
              <w:t>-70</w:t>
            </w:r>
          </w:p>
        </w:tc>
        <w:tc>
          <w:tcPr>
            <w:tcW w:w="119" w:type="dxa"/>
            <w:noWrap/>
            <w:vAlign w:val="bottom"/>
          </w:tcPr>
          <w:p w14:paraId="55BA7DCD" w14:textId="77777777" w:rsidR="00A81042" w:rsidRPr="006048CC" w:rsidRDefault="00A81042"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6E791323" w14:textId="77777777" w:rsidR="00A81042" w:rsidRPr="006048CC" w:rsidRDefault="00000000" w:rsidP="00286A1E">
            <w:pPr>
              <w:pStyle w:val="TBodynormalNumber"/>
              <w:keepNext/>
              <w:rPr>
                <w:lang w:val="pt-BR"/>
              </w:rPr>
            </w:pPr>
            <w:r w:rsidRPr="006048CC">
              <w:rPr>
                <w:lang w:val="es-AR"/>
              </w:rPr>
              <w:t>-3</w:t>
            </w:r>
          </w:p>
        </w:tc>
      </w:tr>
      <w:tr w:rsidR="005B3B09" w14:paraId="3D1CAE29" w14:textId="77777777" w:rsidTr="00AC6DC8">
        <w:tc>
          <w:tcPr>
            <w:tcW w:w="2912" w:type="dxa"/>
            <w:tcBorders>
              <w:top w:val="single" w:sz="4" w:space="0" w:color="A59C94"/>
              <w:bottom w:val="single" w:sz="16" w:space="0" w:color="991D85"/>
            </w:tcBorders>
            <w:noWrap/>
            <w:vAlign w:val="bottom"/>
          </w:tcPr>
          <w:p w14:paraId="708377EA" w14:textId="77777777" w:rsidR="00A81042" w:rsidRPr="006048CC" w:rsidRDefault="00000000" w:rsidP="00286A1E">
            <w:pPr>
              <w:pStyle w:val="TBodytotalText"/>
              <w:rPr>
                <w:lang w:val="pt-BR"/>
              </w:rPr>
            </w:pPr>
            <w:bookmarkStart w:id="14" w:name="RANGE!B33:N33"/>
            <w:bookmarkEnd w:id="14"/>
            <w:r w:rsidRPr="006048CC">
              <w:rPr>
                <w:lang w:val="es-AR"/>
              </w:rPr>
              <w:t xml:space="preserve">Evonik </w:t>
            </w:r>
            <w:proofErr w:type="spellStart"/>
            <w:r w:rsidRPr="006048CC">
              <w:rPr>
                <w:lang w:val="es-AR"/>
              </w:rPr>
              <w:t>Group</w:t>
            </w:r>
            <w:proofErr w:type="spellEnd"/>
          </w:p>
        </w:tc>
        <w:tc>
          <w:tcPr>
            <w:tcW w:w="119" w:type="dxa"/>
            <w:tcBorders>
              <w:bottom w:val="single" w:sz="16" w:space="0" w:color="991D85"/>
            </w:tcBorders>
            <w:noWrap/>
            <w:vAlign w:val="bottom"/>
          </w:tcPr>
          <w:p w14:paraId="7E9C44A4" w14:textId="77777777" w:rsidR="00A81042" w:rsidRPr="006048CC" w:rsidRDefault="00A81042" w:rsidP="00286A1E">
            <w:pPr>
              <w:pStyle w:val="TBodytotalNumber"/>
              <w:rPr>
                <w:lang w:val="pt-BR"/>
              </w:rPr>
            </w:pPr>
          </w:p>
        </w:tc>
        <w:tc>
          <w:tcPr>
            <w:tcW w:w="1021" w:type="dxa"/>
            <w:tcBorders>
              <w:top w:val="single" w:sz="4" w:space="0" w:color="A59C94"/>
              <w:bottom w:val="single" w:sz="16" w:space="0" w:color="991D85"/>
            </w:tcBorders>
            <w:noWrap/>
            <w:vAlign w:val="bottom"/>
          </w:tcPr>
          <w:p w14:paraId="4C023280" w14:textId="77777777" w:rsidR="00A81042" w:rsidRPr="006048CC" w:rsidRDefault="00000000" w:rsidP="00286A1E">
            <w:pPr>
              <w:pStyle w:val="TBodytotalNumber"/>
              <w:rPr>
                <w:lang w:val="pt-BR"/>
              </w:rPr>
            </w:pPr>
            <w:r w:rsidRPr="006048CC">
              <w:rPr>
                <w:lang w:val="es-AR"/>
              </w:rPr>
              <w:t>4498</w:t>
            </w:r>
          </w:p>
        </w:tc>
        <w:tc>
          <w:tcPr>
            <w:tcW w:w="119" w:type="dxa"/>
            <w:tcBorders>
              <w:bottom w:val="single" w:sz="16" w:space="0" w:color="991D85"/>
            </w:tcBorders>
            <w:noWrap/>
            <w:vAlign w:val="bottom"/>
          </w:tcPr>
          <w:p w14:paraId="0B583A23" w14:textId="77777777" w:rsidR="00A81042" w:rsidRPr="006048CC" w:rsidRDefault="00A81042" w:rsidP="00286A1E">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52BAF7D4" w14:textId="77777777" w:rsidR="00A81042" w:rsidRPr="006048CC" w:rsidRDefault="00000000" w:rsidP="00286A1E">
            <w:pPr>
              <w:pStyle w:val="TBodytotalNumber"/>
              <w:rPr>
                <w:lang w:val="pt-BR"/>
              </w:rPr>
            </w:pPr>
            <w:r w:rsidRPr="006048CC">
              <w:rPr>
                <w:lang w:val="es-AR"/>
              </w:rPr>
              <w:t>4005</w:t>
            </w:r>
          </w:p>
        </w:tc>
        <w:tc>
          <w:tcPr>
            <w:tcW w:w="119" w:type="dxa"/>
            <w:tcBorders>
              <w:bottom w:val="single" w:sz="16" w:space="0" w:color="991D85"/>
            </w:tcBorders>
            <w:noWrap/>
            <w:vAlign w:val="bottom"/>
          </w:tcPr>
          <w:p w14:paraId="69C252CF" w14:textId="77777777" w:rsidR="00A81042" w:rsidRPr="006048CC" w:rsidRDefault="00A81042" w:rsidP="00286A1E">
            <w:pPr>
              <w:pStyle w:val="TBodytotalNumber"/>
              <w:rPr>
                <w:lang w:val="pt-BR"/>
              </w:rPr>
            </w:pPr>
          </w:p>
        </w:tc>
        <w:tc>
          <w:tcPr>
            <w:tcW w:w="1021" w:type="dxa"/>
            <w:tcBorders>
              <w:top w:val="single" w:sz="4" w:space="0" w:color="A59C94"/>
              <w:bottom w:val="single" w:sz="16" w:space="0" w:color="991D85"/>
            </w:tcBorders>
            <w:noWrap/>
            <w:vAlign w:val="bottom"/>
          </w:tcPr>
          <w:p w14:paraId="5EEFC463" w14:textId="77777777" w:rsidR="00A81042" w:rsidRPr="006048CC" w:rsidRDefault="00000000" w:rsidP="00286A1E">
            <w:pPr>
              <w:pStyle w:val="TBodytotalNumber"/>
              <w:rPr>
                <w:lang w:val="pt-BR"/>
              </w:rPr>
            </w:pPr>
            <w:r w:rsidRPr="006048CC">
              <w:rPr>
                <w:lang w:val="es-AR"/>
              </w:rPr>
              <w:t>-11</w:t>
            </w:r>
          </w:p>
        </w:tc>
        <w:tc>
          <w:tcPr>
            <w:tcW w:w="119" w:type="dxa"/>
            <w:tcBorders>
              <w:bottom w:val="single" w:sz="16" w:space="0" w:color="991D85"/>
            </w:tcBorders>
            <w:noWrap/>
            <w:vAlign w:val="bottom"/>
          </w:tcPr>
          <w:p w14:paraId="2F4DE71A" w14:textId="77777777" w:rsidR="00A81042" w:rsidRPr="006048CC" w:rsidRDefault="00A81042" w:rsidP="00286A1E">
            <w:pPr>
              <w:pStyle w:val="TBodytotalNumber"/>
              <w:rPr>
                <w:lang w:val="pt-BR"/>
              </w:rPr>
            </w:pPr>
          </w:p>
        </w:tc>
        <w:tc>
          <w:tcPr>
            <w:tcW w:w="1021" w:type="dxa"/>
            <w:tcBorders>
              <w:top w:val="single" w:sz="4" w:space="0" w:color="A59C94"/>
              <w:bottom w:val="single" w:sz="16" w:space="0" w:color="991D85"/>
            </w:tcBorders>
            <w:noWrap/>
            <w:vAlign w:val="bottom"/>
          </w:tcPr>
          <w:p w14:paraId="5AA7A1D1" w14:textId="77777777" w:rsidR="00A81042" w:rsidRPr="006048CC" w:rsidRDefault="00000000" w:rsidP="00286A1E">
            <w:pPr>
              <w:pStyle w:val="TBodytotalNumber"/>
              <w:rPr>
                <w:lang w:val="pt-BR"/>
              </w:rPr>
            </w:pPr>
            <w:r w:rsidRPr="006048CC">
              <w:rPr>
                <w:lang w:val="es-AR"/>
              </w:rPr>
              <w:t>735</w:t>
            </w:r>
          </w:p>
        </w:tc>
        <w:tc>
          <w:tcPr>
            <w:tcW w:w="119" w:type="dxa"/>
            <w:tcBorders>
              <w:bottom w:val="single" w:sz="16" w:space="0" w:color="991D85"/>
            </w:tcBorders>
            <w:noWrap/>
            <w:vAlign w:val="bottom"/>
          </w:tcPr>
          <w:p w14:paraId="6BF7B2CE" w14:textId="77777777" w:rsidR="00A81042" w:rsidRPr="006048CC" w:rsidRDefault="00A81042" w:rsidP="00286A1E">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1893678C" w14:textId="77777777" w:rsidR="00A81042" w:rsidRPr="006048CC" w:rsidRDefault="00000000" w:rsidP="00286A1E">
            <w:pPr>
              <w:pStyle w:val="TBodytotalNumber"/>
              <w:rPr>
                <w:lang w:val="pt-BR"/>
              </w:rPr>
            </w:pPr>
            <w:r w:rsidRPr="006048CC">
              <w:rPr>
                <w:lang w:val="es-AR"/>
              </w:rPr>
              <w:t>409</w:t>
            </w:r>
          </w:p>
        </w:tc>
        <w:tc>
          <w:tcPr>
            <w:tcW w:w="119" w:type="dxa"/>
            <w:tcBorders>
              <w:bottom w:val="single" w:sz="16" w:space="0" w:color="991D85"/>
            </w:tcBorders>
            <w:noWrap/>
            <w:vAlign w:val="bottom"/>
          </w:tcPr>
          <w:p w14:paraId="69F8301C" w14:textId="77777777" w:rsidR="00A81042" w:rsidRPr="006048CC" w:rsidRDefault="00A81042" w:rsidP="00286A1E">
            <w:pPr>
              <w:pStyle w:val="TBodytotalNumber"/>
              <w:rPr>
                <w:lang w:val="pt-BR"/>
              </w:rPr>
            </w:pPr>
          </w:p>
        </w:tc>
        <w:tc>
          <w:tcPr>
            <w:tcW w:w="1021" w:type="dxa"/>
            <w:tcBorders>
              <w:top w:val="single" w:sz="4" w:space="0" w:color="A59C94"/>
              <w:bottom w:val="single" w:sz="16" w:space="0" w:color="991D85"/>
            </w:tcBorders>
            <w:noWrap/>
            <w:vAlign w:val="bottom"/>
          </w:tcPr>
          <w:p w14:paraId="715AA299" w14:textId="77777777" w:rsidR="00A81042" w:rsidRPr="006048CC" w:rsidRDefault="00000000" w:rsidP="00286A1E">
            <w:pPr>
              <w:pStyle w:val="TBodytotalNumber"/>
              <w:rPr>
                <w:lang w:val="pt-BR"/>
              </w:rPr>
            </w:pPr>
            <w:r w:rsidRPr="006048CC">
              <w:rPr>
                <w:lang w:val="es-AR"/>
              </w:rPr>
              <w:t>-44</w:t>
            </w:r>
          </w:p>
        </w:tc>
      </w:tr>
    </w:tbl>
    <w:bookmarkEnd w:id="2"/>
    <w:p w14:paraId="10522800" w14:textId="37A9B7F8" w:rsidR="00AC6DC8" w:rsidRPr="00C654FA" w:rsidRDefault="00000000" w:rsidP="00AC6DC8">
      <w:pPr>
        <w:pStyle w:val="SNEvonikTabellenfu"/>
        <w:rPr>
          <w:lang w:val="es-ES"/>
        </w:rPr>
      </w:pPr>
      <w:r w:rsidRPr="000C5B25">
        <w:rPr>
          <w:vertAlign w:val="superscript"/>
          <w:lang w:val="es-AR"/>
        </w:rPr>
        <w:t>a</w:t>
      </w:r>
      <w:r w:rsidRPr="000C5B25">
        <w:rPr>
          <w:lang w:val="es-AR"/>
        </w:rPr>
        <w:t xml:space="preserve"> Cifras del año anterior</w:t>
      </w:r>
      <w:r w:rsidR="00100245" w:rsidRPr="000C5B25">
        <w:rPr>
          <w:lang w:val="es-AR"/>
        </w:rPr>
        <w:t xml:space="preserve"> fueron reajustadas</w:t>
      </w:r>
      <w:r w:rsidRPr="000C5B25">
        <w:rPr>
          <w:lang w:val="es-AR"/>
        </w:rPr>
        <w:t>.</w:t>
      </w:r>
    </w:p>
    <w:p w14:paraId="3AD537F4" w14:textId="77777777" w:rsidR="00A81042" w:rsidRPr="00C654FA" w:rsidRDefault="00A81042" w:rsidP="0043547E">
      <w:pPr>
        <w:rPr>
          <w:lang w:val="es-ES"/>
        </w:rPr>
      </w:pPr>
    </w:p>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5B3B09" w14:paraId="1ED219CB" w14:textId="77777777" w:rsidTr="00286A1E">
        <w:tc>
          <w:tcPr>
            <w:tcW w:w="7472" w:type="dxa"/>
            <w:noWrap/>
            <w:vAlign w:val="bottom"/>
          </w:tcPr>
          <w:p w14:paraId="20D06F13" w14:textId="77777777" w:rsidR="0049665B" w:rsidRPr="006048CC" w:rsidRDefault="00000000" w:rsidP="00286A1E">
            <w:pPr>
              <w:pStyle w:val="TTitleText"/>
              <w:rPr>
                <w:lang w:val="pt-BR"/>
              </w:rPr>
            </w:pPr>
            <w:bookmarkStart w:id="15" w:name="SNEID_ff49204d453a430193fb198056f74b99"/>
            <w:r>
              <w:rPr>
                <w:lang w:val="es-AR"/>
              </w:rPr>
              <w:t xml:space="preserve">Colaboradores por división </w:t>
            </w:r>
          </w:p>
        </w:tc>
        <w:tc>
          <w:tcPr>
            <w:tcW w:w="119" w:type="dxa"/>
            <w:noWrap/>
            <w:vAlign w:val="bottom"/>
          </w:tcPr>
          <w:p w14:paraId="7741E0CC" w14:textId="77777777" w:rsidR="0049665B" w:rsidRPr="006048CC" w:rsidRDefault="0049665B" w:rsidP="00286A1E">
            <w:pPr>
              <w:pStyle w:val="TTitleText"/>
              <w:rPr>
                <w:lang w:val="pt-BR"/>
              </w:rPr>
            </w:pPr>
          </w:p>
        </w:tc>
        <w:tc>
          <w:tcPr>
            <w:tcW w:w="1021" w:type="dxa"/>
            <w:noWrap/>
            <w:vAlign w:val="bottom"/>
          </w:tcPr>
          <w:p w14:paraId="3559FB74" w14:textId="77777777" w:rsidR="0049665B" w:rsidRPr="006048CC" w:rsidRDefault="0049665B" w:rsidP="00286A1E">
            <w:pPr>
              <w:pStyle w:val="TTitleText"/>
              <w:rPr>
                <w:lang w:val="pt-BR"/>
              </w:rPr>
            </w:pPr>
          </w:p>
        </w:tc>
        <w:tc>
          <w:tcPr>
            <w:tcW w:w="119" w:type="dxa"/>
            <w:noWrap/>
            <w:vAlign w:val="bottom"/>
          </w:tcPr>
          <w:p w14:paraId="58106908" w14:textId="77777777" w:rsidR="0049665B" w:rsidRPr="006048CC" w:rsidRDefault="0049665B" w:rsidP="00286A1E">
            <w:pPr>
              <w:pStyle w:val="TTitleText"/>
              <w:rPr>
                <w:lang w:val="pt-BR"/>
              </w:rPr>
            </w:pPr>
          </w:p>
        </w:tc>
        <w:tc>
          <w:tcPr>
            <w:tcW w:w="1021" w:type="dxa"/>
            <w:noWrap/>
            <w:vAlign w:val="bottom"/>
          </w:tcPr>
          <w:p w14:paraId="089A3439" w14:textId="77777777" w:rsidR="0049665B" w:rsidRPr="006048CC" w:rsidRDefault="0049665B" w:rsidP="00286A1E">
            <w:pPr>
              <w:pStyle w:val="TTitleText"/>
              <w:rPr>
                <w:lang w:val="pt-BR"/>
              </w:rPr>
            </w:pPr>
          </w:p>
        </w:tc>
      </w:tr>
      <w:tr w:rsidR="005B3B09" w14:paraId="4AC1CDBD" w14:textId="77777777" w:rsidTr="00286A1E">
        <w:tc>
          <w:tcPr>
            <w:tcW w:w="7472" w:type="dxa"/>
            <w:tcBorders>
              <w:top w:val="single" w:sz="8" w:space="0" w:color="000000"/>
            </w:tcBorders>
            <w:noWrap/>
            <w:vAlign w:val="bottom"/>
          </w:tcPr>
          <w:p w14:paraId="7D34453A" w14:textId="77777777" w:rsidR="0049665B" w:rsidRPr="006048CC" w:rsidRDefault="0049665B" w:rsidP="00286A1E">
            <w:pPr>
              <w:pStyle w:val="TDummy"/>
              <w:keepNext/>
              <w:rPr>
                <w:lang w:val="pt-BR"/>
              </w:rPr>
            </w:pPr>
          </w:p>
        </w:tc>
        <w:tc>
          <w:tcPr>
            <w:tcW w:w="119" w:type="dxa"/>
            <w:tcBorders>
              <w:top w:val="single" w:sz="8" w:space="0" w:color="000000"/>
            </w:tcBorders>
            <w:noWrap/>
            <w:vAlign w:val="bottom"/>
          </w:tcPr>
          <w:p w14:paraId="5950C305" w14:textId="77777777" w:rsidR="0049665B" w:rsidRPr="006048CC" w:rsidRDefault="0049665B" w:rsidP="00286A1E">
            <w:pPr>
              <w:pStyle w:val="TDummy"/>
              <w:keepNext/>
              <w:rPr>
                <w:lang w:val="pt-BR"/>
              </w:rPr>
            </w:pPr>
          </w:p>
        </w:tc>
        <w:tc>
          <w:tcPr>
            <w:tcW w:w="1021" w:type="dxa"/>
            <w:tcBorders>
              <w:top w:val="single" w:sz="8" w:space="0" w:color="000000"/>
            </w:tcBorders>
            <w:noWrap/>
            <w:vAlign w:val="bottom"/>
          </w:tcPr>
          <w:p w14:paraId="0A5687E3" w14:textId="77777777" w:rsidR="0049665B" w:rsidRPr="006048CC" w:rsidRDefault="0049665B" w:rsidP="00286A1E">
            <w:pPr>
              <w:pStyle w:val="TDummy"/>
              <w:keepNext/>
              <w:rPr>
                <w:lang w:val="pt-BR"/>
              </w:rPr>
            </w:pPr>
          </w:p>
        </w:tc>
        <w:tc>
          <w:tcPr>
            <w:tcW w:w="119" w:type="dxa"/>
            <w:tcBorders>
              <w:top w:val="single" w:sz="8" w:space="0" w:color="000000"/>
            </w:tcBorders>
            <w:noWrap/>
            <w:vAlign w:val="bottom"/>
          </w:tcPr>
          <w:p w14:paraId="34A7C69D" w14:textId="77777777" w:rsidR="0049665B" w:rsidRPr="006048CC" w:rsidRDefault="0049665B" w:rsidP="00286A1E">
            <w:pPr>
              <w:pStyle w:val="TDummy"/>
              <w:keepNext/>
              <w:rPr>
                <w:lang w:val="pt-BR"/>
              </w:rPr>
            </w:pPr>
          </w:p>
        </w:tc>
        <w:tc>
          <w:tcPr>
            <w:tcW w:w="1021" w:type="dxa"/>
            <w:tcBorders>
              <w:top w:val="single" w:sz="8" w:space="0" w:color="000000"/>
            </w:tcBorders>
            <w:noWrap/>
            <w:vAlign w:val="bottom"/>
          </w:tcPr>
          <w:p w14:paraId="237B42E3" w14:textId="77777777" w:rsidR="0049665B" w:rsidRPr="006048CC" w:rsidRDefault="0049665B" w:rsidP="00286A1E">
            <w:pPr>
              <w:pStyle w:val="TDummy"/>
              <w:keepNext/>
              <w:rPr>
                <w:lang w:val="pt-BR"/>
              </w:rPr>
            </w:pPr>
          </w:p>
        </w:tc>
      </w:tr>
      <w:tr w:rsidR="005B3B09" w14:paraId="3698B216" w14:textId="77777777" w:rsidTr="00286A1E">
        <w:tc>
          <w:tcPr>
            <w:tcW w:w="7472" w:type="dxa"/>
            <w:tcBorders>
              <w:bottom w:val="single" w:sz="4" w:space="0" w:color="000000"/>
            </w:tcBorders>
            <w:shd w:val="clear" w:color="000000" w:fill="FFFFFF"/>
            <w:noWrap/>
            <w:vAlign w:val="bottom"/>
          </w:tcPr>
          <w:p w14:paraId="07FEAC3F" w14:textId="77777777" w:rsidR="0049665B" w:rsidRPr="006048CC" w:rsidRDefault="0049665B" w:rsidP="00286A1E">
            <w:pPr>
              <w:pStyle w:val="THeadsingleText"/>
              <w:rPr>
                <w:lang w:val="pt-BR"/>
              </w:rPr>
            </w:pPr>
            <w:bookmarkStart w:id="16" w:name="RANGE!B51:F51"/>
            <w:bookmarkEnd w:id="16"/>
          </w:p>
        </w:tc>
        <w:tc>
          <w:tcPr>
            <w:tcW w:w="119" w:type="dxa"/>
            <w:noWrap/>
            <w:vAlign w:val="bottom"/>
          </w:tcPr>
          <w:p w14:paraId="5022A588" w14:textId="77777777" w:rsidR="0049665B" w:rsidRPr="006048CC" w:rsidRDefault="0049665B" w:rsidP="00286A1E">
            <w:pPr>
              <w:pStyle w:val="THeadsingleNumber"/>
              <w:rPr>
                <w:lang w:val="pt-BR"/>
              </w:rPr>
            </w:pPr>
          </w:p>
        </w:tc>
        <w:tc>
          <w:tcPr>
            <w:tcW w:w="1021" w:type="dxa"/>
            <w:tcBorders>
              <w:bottom w:val="single" w:sz="4" w:space="0" w:color="000000"/>
            </w:tcBorders>
            <w:shd w:val="clear" w:color="000000" w:fill="FFFFFF"/>
            <w:vAlign w:val="bottom"/>
          </w:tcPr>
          <w:p w14:paraId="5C353888" w14:textId="77777777" w:rsidR="0049665B" w:rsidRPr="006048CC" w:rsidRDefault="00000000" w:rsidP="00286A1E">
            <w:pPr>
              <w:pStyle w:val="THeadsingleNumber"/>
              <w:rPr>
                <w:lang w:val="pt-BR"/>
              </w:rPr>
            </w:pPr>
            <w:r w:rsidRPr="006048CC">
              <w:rPr>
                <w:lang w:val="es-AR"/>
              </w:rPr>
              <w:t>31/12/2022</w:t>
            </w:r>
          </w:p>
        </w:tc>
        <w:tc>
          <w:tcPr>
            <w:tcW w:w="119" w:type="dxa"/>
            <w:vAlign w:val="bottom"/>
          </w:tcPr>
          <w:p w14:paraId="00C6A95A" w14:textId="77777777" w:rsidR="0049665B" w:rsidRPr="006048CC" w:rsidRDefault="0049665B" w:rsidP="00286A1E">
            <w:pPr>
              <w:pStyle w:val="THeadsingleNumber"/>
              <w:rPr>
                <w:lang w:val="pt-BR"/>
              </w:rPr>
            </w:pPr>
          </w:p>
        </w:tc>
        <w:tc>
          <w:tcPr>
            <w:tcW w:w="1021" w:type="dxa"/>
            <w:tcBorders>
              <w:bottom w:val="single" w:sz="4" w:space="0" w:color="000000"/>
            </w:tcBorders>
            <w:shd w:val="clear" w:color="000000" w:fill="FFFFFF"/>
            <w:vAlign w:val="bottom"/>
          </w:tcPr>
          <w:p w14:paraId="605BA368" w14:textId="77777777" w:rsidR="0049665B" w:rsidRPr="006048CC" w:rsidRDefault="00000000" w:rsidP="00286A1E">
            <w:pPr>
              <w:pStyle w:val="THeadsingleNumberbold"/>
              <w:rPr>
                <w:lang w:val="pt-BR"/>
              </w:rPr>
            </w:pPr>
            <w:bookmarkStart w:id="17" w:name="RANGE!F51:F60"/>
            <w:bookmarkEnd w:id="17"/>
            <w:r w:rsidRPr="006048CC">
              <w:rPr>
                <w:lang w:val="es-AR"/>
              </w:rPr>
              <w:t>31/3/2023</w:t>
            </w:r>
          </w:p>
        </w:tc>
      </w:tr>
      <w:tr w:rsidR="005B3B09" w14:paraId="213C5218" w14:textId="77777777" w:rsidTr="00286A1E">
        <w:tc>
          <w:tcPr>
            <w:tcW w:w="7472" w:type="dxa"/>
            <w:tcBorders>
              <w:top w:val="single" w:sz="4" w:space="0" w:color="000000"/>
              <w:bottom w:val="single" w:sz="4" w:space="0" w:color="A59C94"/>
            </w:tcBorders>
            <w:noWrap/>
            <w:vAlign w:val="bottom"/>
          </w:tcPr>
          <w:p w14:paraId="1AF4CB1D" w14:textId="77777777" w:rsidR="0049665B" w:rsidRPr="006048CC" w:rsidRDefault="00000000" w:rsidP="00286A1E">
            <w:pPr>
              <w:pStyle w:val="TBodynormalText"/>
              <w:rPr>
                <w:lang w:val="pt-BR"/>
              </w:rPr>
            </w:pPr>
            <w:r w:rsidRPr="006048CC">
              <w:rPr>
                <w:lang w:val="es-AR"/>
              </w:rPr>
              <w:t xml:space="preserve">Specialty </w:t>
            </w:r>
            <w:proofErr w:type="spellStart"/>
            <w:r w:rsidRPr="006048CC">
              <w:rPr>
                <w:lang w:val="es-AR"/>
              </w:rPr>
              <w:t>Additives</w:t>
            </w:r>
            <w:proofErr w:type="spellEnd"/>
          </w:p>
        </w:tc>
        <w:tc>
          <w:tcPr>
            <w:tcW w:w="119" w:type="dxa"/>
            <w:noWrap/>
            <w:vAlign w:val="bottom"/>
          </w:tcPr>
          <w:p w14:paraId="3C20D833" w14:textId="77777777" w:rsidR="0049665B" w:rsidRPr="006048CC" w:rsidRDefault="0049665B" w:rsidP="00286A1E">
            <w:pPr>
              <w:pStyle w:val="TBodynormalNumber"/>
              <w:keepNext/>
              <w:rPr>
                <w:lang w:val="pt-BR"/>
              </w:rPr>
            </w:pPr>
          </w:p>
        </w:tc>
        <w:tc>
          <w:tcPr>
            <w:tcW w:w="1021" w:type="dxa"/>
            <w:tcBorders>
              <w:top w:val="single" w:sz="4" w:space="0" w:color="000000"/>
              <w:bottom w:val="single" w:sz="4" w:space="0" w:color="A59C94"/>
            </w:tcBorders>
            <w:noWrap/>
            <w:vAlign w:val="bottom"/>
          </w:tcPr>
          <w:p w14:paraId="5312ED00" w14:textId="77777777" w:rsidR="0049665B" w:rsidRPr="006048CC" w:rsidRDefault="00000000" w:rsidP="00286A1E">
            <w:pPr>
              <w:pStyle w:val="TBodynormalNumber"/>
              <w:keepNext/>
              <w:rPr>
                <w:lang w:val="pt-BR"/>
              </w:rPr>
            </w:pPr>
            <w:r w:rsidRPr="006048CC">
              <w:rPr>
                <w:lang w:val="es-AR"/>
              </w:rPr>
              <w:t>3824</w:t>
            </w:r>
          </w:p>
        </w:tc>
        <w:tc>
          <w:tcPr>
            <w:tcW w:w="119" w:type="dxa"/>
            <w:noWrap/>
            <w:vAlign w:val="bottom"/>
          </w:tcPr>
          <w:p w14:paraId="181AF5FD" w14:textId="77777777" w:rsidR="0049665B" w:rsidRPr="006048CC" w:rsidRDefault="0049665B" w:rsidP="00286A1E">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5D5BAE58" w14:textId="77777777" w:rsidR="0049665B" w:rsidRPr="006048CC" w:rsidRDefault="00000000" w:rsidP="00286A1E">
            <w:pPr>
              <w:pStyle w:val="TBodynormalNumber"/>
              <w:keepNext/>
              <w:rPr>
                <w:lang w:val="pt-BR"/>
              </w:rPr>
            </w:pPr>
            <w:r w:rsidRPr="006048CC">
              <w:rPr>
                <w:lang w:val="es-AR"/>
              </w:rPr>
              <w:t>3556</w:t>
            </w:r>
          </w:p>
        </w:tc>
      </w:tr>
      <w:tr w:rsidR="005B3B09" w14:paraId="48E27905" w14:textId="77777777" w:rsidTr="00286A1E">
        <w:tc>
          <w:tcPr>
            <w:tcW w:w="7472" w:type="dxa"/>
            <w:tcBorders>
              <w:top w:val="single" w:sz="4" w:space="0" w:color="A59C94"/>
              <w:bottom w:val="single" w:sz="4" w:space="0" w:color="A59C94"/>
            </w:tcBorders>
            <w:noWrap/>
            <w:vAlign w:val="bottom"/>
          </w:tcPr>
          <w:p w14:paraId="22261A51" w14:textId="77777777" w:rsidR="0049665B" w:rsidRPr="006048CC" w:rsidRDefault="00000000" w:rsidP="00286A1E">
            <w:pPr>
              <w:pStyle w:val="TBodynormalText"/>
              <w:rPr>
                <w:lang w:val="pt-BR"/>
              </w:rPr>
            </w:pPr>
            <w:proofErr w:type="spellStart"/>
            <w:r w:rsidRPr="006048CC">
              <w:rPr>
                <w:lang w:val="es-AR"/>
              </w:rPr>
              <w:t>Nutrition</w:t>
            </w:r>
            <w:proofErr w:type="spellEnd"/>
            <w:r w:rsidRPr="006048CC">
              <w:rPr>
                <w:lang w:val="es-AR"/>
              </w:rPr>
              <w:t xml:space="preserve"> &amp; Care</w:t>
            </w:r>
          </w:p>
        </w:tc>
        <w:tc>
          <w:tcPr>
            <w:tcW w:w="119" w:type="dxa"/>
            <w:noWrap/>
            <w:vAlign w:val="bottom"/>
          </w:tcPr>
          <w:p w14:paraId="2ACC66B9"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7E8DA41D" w14:textId="77777777" w:rsidR="0049665B" w:rsidRPr="006048CC" w:rsidRDefault="00000000" w:rsidP="00286A1E">
            <w:pPr>
              <w:pStyle w:val="TBodynormalNumber"/>
              <w:keepNext/>
              <w:rPr>
                <w:lang w:val="pt-BR"/>
              </w:rPr>
            </w:pPr>
            <w:r w:rsidRPr="006048CC">
              <w:rPr>
                <w:lang w:val="es-AR"/>
              </w:rPr>
              <w:t>5690</w:t>
            </w:r>
          </w:p>
        </w:tc>
        <w:tc>
          <w:tcPr>
            <w:tcW w:w="119" w:type="dxa"/>
            <w:noWrap/>
            <w:vAlign w:val="bottom"/>
          </w:tcPr>
          <w:p w14:paraId="1ADDF5BB"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028D0E3" w14:textId="77777777" w:rsidR="0049665B" w:rsidRPr="006048CC" w:rsidRDefault="00000000" w:rsidP="00286A1E">
            <w:pPr>
              <w:pStyle w:val="TBodynormalNumber"/>
              <w:keepNext/>
              <w:rPr>
                <w:lang w:val="pt-BR"/>
              </w:rPr>
            </w:pPr>
            <w:r w:rsidRPr="006048CC">
              <w:rPr>
                <w:lang w:val="es-AR"/>
              </w:rPr>
              <w:t>5745</w:t>
            </w:r>
          </w:p>
        </w:tc>
      </w:tr>
      <w:tr w:rsidR="005B3B09" w14:paraId="7AAC83F2" w14:textId="77777777" w:rsidTr="00286A1E">
        <w:tc>
          <w:tcPr>
            <w:tcW w:w="7472" w:type="dxa"/>
            <w:tcBorders>
              <w:top w:val="single" w:sz="4" w:space="0" w:color="A59C94"/>
              <w:bottom w:val="single" w:sz="4" w:space="0" w:color="A59C94"/>
            </w:tcBorders>
            <w:noWrap/>
            <w:vAlign w:val="bottom"/>
          </w:tcPr>
          <w:p w14:paraId="33498584" w14:textId="77777777" w:rsidR="0049665B" w:rsidRPr="006048CC" w:rsidRDefault="00000000" w:rsidP="00286A1E">
            <w:pPr>
              <w:pStyle w:val="TBodynormalText"/>
              <w:rPr>
                <w:lang w:val="pt-BR"/>
              </w:rPr>
            </w:pPr>
            <w:r w:rsidRPr="006048CC">
              <w:rPr>
                <w:lang w:val="es-AR"/>
              </w:rPr>
              <w:t xml:space="preserve">Smart </w:t>
            </w:r>
            <w:proofErr w:type="spellStart"/>
            <w:r w:rsidRPr="006048CC">
              <w:rPr>
                <w:lang w:val="es-AR"/>
              </w:rPr>
              <w:t>Materials</w:t>
            </w:r>
            <w:r w:rsidRPr="006048CC">
              <w:rPr>
                <w:vertAlign w:val="superscript"/>
                <w:lang w:val="es-AR"/>
              </w:rPr>
              <w:t>a</w:t>
            </w:r>
            <w:proofErr w:type="spellEnd"/>
          </w:p>
        </w:tc>
        <w:tc>
          <w:tcPr>
            <w:tcW w:w="119" w:type="dxa"/>
            <w:noWrap/>
            <w:vAlign w:val="bottom"/>
          </w:tcPr>
          <w:p w14:paraId="2693E47C"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12B1201F" w14:textId="77777777" w:rsidR="0049665B" w:rsidRPr="006048CC" w:rsidRDefault="00000000" w:rsidP="00286A1E">
            <w:pPr>
              <w:pStyle w:val="TBodynormalNumber"/>
              <w:keepNext/>
              <w:rPr>
                <w:lang w:val="pt-BR"/>
              </w:rPr>
            </w:pPr>
            <w:r w:rsidRPr="006048CC">
              <w:rPr>
                <w:lang w:val="es-AR"/>
              </w:rPr>
              <w:t>8011</w:t>
            </w:r>
          </w:p>
        </w:tc>
        <w:tc>
          <w:tcPr>
            <w:tcW w:w="119" w:type="dxa"/>
            <w:noWrap/>
            <w:vAlign w:val="bottom"/>
          </w:tcPr>
          <w:p w14:paraId="302A0C25"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820BAD6" w14:textId="77777777" w:rsidR="0049665B" w:rsidRPr="006048CC" w:rsidRDefault="00000000" w:rsidP="00286A1E">
            <w:pPr>
              <w:pStyle w:val="TBodynormalNumber"/>
              <w:keepNext/>
              <w:rPr>
                <w:lang w:val="pt-BR"/>
              </w:rPr>
            </w:pPr>
            <w:r w:rsidRPr="006048CC">
              <w:rPr>
                <w:lang w:val="es-AR"/>
              </w:rPr>
              <w:t>8095</w:t>
            </w:r>
          </w:p>
        </w:tc>
      </w:tr>
      <w:tr w:rsidR="005B3B09" w14:paraId="2BA2004C" w14:textId="77777777" w:rsidTr="00286A1E">
        <w:tc>
          <w:tcPr>
            <w:tcW w:w="7472" w:type="dxa"/>
            <w:tcBorders>
              <w:top w:val="single" w:sz="4" w:space="0" w:color="A59C94"/>
              <w:bottom w:val="single" w:sz="4" w:space="0" w:color="A59C94"/>
            </w:tcBorders>
            <w:noWrap/>
            <w:vAlign w:val="bottom"/>
          </w:tcPr>
          <w:p w14:paraId="474EE3CF" w14:textId="77777777" w:rsidR="0049665B" w:rsidRPr="006048CC" w:rsidRDefault="00000000" w:rsidP="00286A1E">
            <w:pPr>
              <w:pStyle w:val="TBodynormalText"/>
              <w:rPr>
                <w:lang w:val="pt-BR"/>
              </w:rPr>
            </w:pPr>
            <w:r w:rsidRPr="006048CC">
              <w:rPr>
                <w:lang w:val="es-AR"/>
              </w:rPr>
              <w:t xml:space="preserve">Performance </w:t>
            </w:r>
            <w:proofErr w:type="spellStart"/>
            <w:r w:rsidRPr="006048CC">
              <w:rPr>
                <w:lang w:val="es-AR"/>
              </w:rPr>
              <w:t>Materials</w:t>
            </w:r>
            <w:r w:rsidRPr="006048CC">
              <w:rPr>
                <w:vertAlign w:val="superscript"/>
                <w:lang w:val="es-AR"/>
              </w:rPr>
              <w:t>a</w:t>
            </w:r>
            <w:proofErr w:type="spellEnd"/>
          </w:p>
        </w:tc>
        <w:tc>
          <w:tcPr>
            <w:tcW w:w="119" w:type="dxa"/>
            <w:noWrap/>
            <w:vAlign w:val="bottom"/>
          </w:tcPr>
          <w:p w14:paraId="388650A5"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13D0989E" w14:textId="77777777" w:rsidR="0049665B" w:rsidRPr="006048CC" w:rsidRDefault="00000000" w:rsidP="00286A1E">
            <w:pPr>
              <w:pStyle w:val="TBodynormalNumber"/>
              <w:keepNext/>
              <w:rPr>
                <w:lang w:val="pt-BR"/>
              </w:rPr>
            </w:pPr>
            <w:r w:rsidRPr="006048CC">
              <w:rPr>
                <w:lang w:val="es-AR"/>
              </w:rPr>
              <w:t>1951</w:t>
            </w:r>
          </w:p>
        </w:tc>
        <w:tc>
          <w:tcPr>
            <w:tcW w:w="119" w:type="dxa"/>
            <w:noWrap/>
            <w:vAlign w:val="bottom"/>
          </w:tcPr>
          <w:p w14:paraId="447BB499"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8CC2B32" w14:textId="77777777" w:rsidR="0049665B" w:rsidRPr="006048CC" w:rsidRDefault="00000000" w:rsidP="00286A1E">
            <w:pPr>
              <w:pStyle w:val="TBodynormalNumber"/>
              <w:keepNext/>
              <w:rPr>
                <w:lang w:val="pt-BR"/>
              </w:rPr>
            </w:pPr>
            <w:r w:rsidRPr="006048CC">
              <w:rPr>
                <w:lang w:val="es-AR"/>
              </w:rPr>
              <w:t>2240</w:t>
            </w:r>
          </w:p>
        </w:tc>
      </w:tr>
      <w:tr w:rsidR="005B3B09" w14:paraId="2CFC53C5" w14:textId="77777777" w:rsidTr="00286A1E">
        <w:tc>
          <w:tcPr>
            <w:tcW w:w="7472" w:type="dxa"/>
            <w:tcBorders>
              <w:top w:val="single" w:sz="4" w:space="0" w:color="A59C94"/>
              <w:bottom w:val="single" w:sz="4" w:space="0" w:color="A59C94"/>
            </w:tcBorders>
            <w:noWrap/>
            <w:vAlign w:val="bottom"/>
          </w:tcPr>
          <w:p w14:paraId="00F22301" w14:textId="77777777" w:rsidR="0049665B" w:rsidRPr="006048CC" w:rsidRDefault="00000000" w:rsidP="00286A1E">
            <w:pPr>
              <w:pStyle w:val="TBodynormalText"/>
              <w:rPr>
                <w:lang w:val="pt-BR"/>
              </w:rPr>
            </w:pPr>
            <w:proofErr w:type="spellStart"/>
            <w:r w:rsidRPr="006048CC">
              <w:rPr>
                <w:lang w:val="es-AR"/>
              </w:rPr>
              <w:t>Technology</w:t>
            </w:r>
            <w:proofErr w:type="spellEnd"/>
            <w:r w:rsidRPr="006048CC">
              <w:rPr>
                <w:lang w:val="es-AR"/>
              </w:rPr>
              <w:t xml:space="preserve"> &amp; </w:t>
            </w:r>
            <w:proofErr w:type="spellStart"/>
            <w:r w:rsidRPr="006048CC">
              <w:rPr>
                <w:lang w:val="es-AR"/>
              </w:rPr>
              <w:t>Infrastructure</w:t>
            </w:r>
            <w:proofErr w:type="spellEnd"/>
          </w:p>
        </w:tc>
        <w:tc>
          <w:tcPr>
            <w:tcW w:w="119" w:type="dxa"/>
            <w:noWrap/>
            <w:vAlign w:val="bottom"/>
          </w:tcPr>
          <w:p w14:paraId="64358419"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noWrap/>
            <w:vAlign w:val="bottom"/>
          </w:tcPr>
          <w:p w14:paraId="7419AFC3" w14:textId="77777777" w:rsidR="0049665B" w:rsidRPr="006048CC" w:rsidRDefault="00000000" w:rsidP="00286A1E">
            <w:pPr>
              <w:pStyle w:val="TBodynormalNumber"/>
              <w:keepNext/>
              <w:rPr>
                <w:lang w:val="pt-BR"/>
              </w:rPr>
            </w:pPr>
            <w:r w:rsidRPr="006048CC">
              <w:rPr>
                <w:lang w:val="es-AR"/>
              </w:rPr>
              <w:t>8367</w:t>
            </w:r>
          </w:p>
        </w:tc>
        <w:tc>
          <w:tcPr>
            <w:tcW w:w="119" w:type="dxa"/>
            <w:noWrap/>
            <w:vAlign w:val="bottom"/>
          </w:tcPr>
          <w:p w14:paraId="1878BABD"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AA0918A" w14:textId="77777777" w:rsidR="0049665B" w:rsidRPr="006048CC" w:rsidRDefault="00000000" w:rsidP="00286A1E">
            <w:pPr>
              <w:pStyle w:val="TBodynormalNumber"/>
              <w:keepNext/>
              <w:rPr>
                <w:lang w:val="pt-BR"/>
              </w:rPr>
            </w:pPr>
            <w:r w:rsidRPr="006048CC">
              <w:rPr>
                <w:lang w:val="es-AR"/>
              </w:rPr>
              <w:t>8041</w:t>
            </w:r>
          </w:p>
        </w:tc>
      </w:tr>
      <w:tr w:rsidR="005B3B09" w14:paraId="072C041F" w14:textId="77777777" w:rsidTr="00286A1E">
        <w:tc>
          <w:tcPr>
            <w:tcW w:w="7472" w:type="dxa"/>
            <w:tcBorders>
              <w:top w:val="single" w:sz="4" w:space="0" w:color="A59C94"/>
              <w:bottom w:val="single" w:sz="4" w:space="0" w:color="A59C94"/>
            </w:tcBorders>
            <w:noWrap/>
            <w:vAlign w:val="bottom"/>
          </w:tcPr>
          <w:p w14:paraId="672670F9" w14:textId="77777777" w:rsidR="0049665B" w:rsidRPr="00C654FA" w:rsidRDefault="00000000" w:rsidP="00286A1E">
            <w:pPr>
              <w:pStyle w:val="TBodynormalText"/>
              <w:rPr>
                <w:lang w:val="es-ES"/>
              </w:rPr>
            </w:pPr>
            <w:r w:rsidRPr="004A3E11">
              <w:rPr>
                <w:lang w:val="es-AR"/>
              </w:rPr>
              <w:t>Funciones no productivas, Otras actividades, Consolidación</w:t>
            </w:r>
          </w:p>
        </w:tc>
        <w:tc>
          <w:tcPr>
            <w:tcW w:w="119" w:type="dxa"/>
            <w:noWrap/>
            <w:vAlign w:val="bottom"/>
          </w:tcPr>
          <w:p w14:paraId="48C8FA71" w14:textId="77777777" w:rsidR="0049665B" w:rsidRPr="00C654FA" w:rsidRDefault="0049665B" w:rsidP="00286A1E">
            <w:pPr>
              <w:pStyle w:val="TBodynormalNumber"/>
              <w:keepNext/>
              <w:rPr>
                <w:lang w:val="es-ES"/>
              </w:rPr>
            </w:pPr>
          </w:p>
        </w:tc>
        <w:tc>
          <w:tcPr>
            <w:tcW w:w="1021" w:type="dxa"/>
            <w:tcBorders>
              <w:top w:val="single" w:sz="4" w:space="0" w:color="A59C94"/>
              <w:bottom w:val="single" w:sz="4" w:space="0" w:color="A59C94"/>
            </w:tcBorders>
            <w:noWrap/>
            <w:vAlign w:val="bottom"/>
          </w:tcPr>
          <w:p w14:paraId="613C8FCC" w14:textId="77777777" w:rsidR="0049665B" w:rsidRPr="006048CC" w:rsidRDefault="00000000" w:rsidP="00286A1E">
            <w:pPr>
              <w:pStyle w:val="TBodynormalNumber"/>
              <w:keepNext/>
              <w:rPr>
                <w:lang w:val="pt-BR"/>
              </w:rPr>
            </w:pPr>
            <w:r w:rsidRPr="006048CC">
              <w:rPr>
                <w:lang w:val="es-AR"/>
              </w:rPr>
              <w:t>6186</w:t>
            </w:r>
          </w:p>
        </w:tc>
        <w:tc>
          <w:tcPr>
            <w:tcW w:w="119" w:type="dxa"/>
            <w:noWrap/>
            <w:vAlign w:val="bottom"/>
          </w:tcPr>
          <w:p w14:paraId="6B6581A3" w14:textId="77777777" w:rsidR="0049665B" w:rsidRPr="006048CC" w:rsidRDefault="0049665B" w:rsidP="00286A1E">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302B4613" w14:textId="77777777" w:rsidR="0049665B" w:rsidRPr="006048CC" w:rsidRDefault="00000000" w:rsidP="00286A1E">
            <w:pPr>
              <w:pStyle w:val="TBodynormalNumber"/>
              <w:keepNext/>
              <w:rPr>
                <w:lang w:val="pt-BR"/>
              </w:rPr>
            </w:pPr>
            <w:r w:rsidRPr="006048CC">
              <w:rPr>
                <w:lang w:val="es-AR"/>
              </w:rPr>
              <w:t>6241</w:t>
            </w:r>
          </w:p>
        </w:tc>
      </w:tr>
      <w:tr w:rsidR="005B3B09" w14:paraId="7B7EBFAA" w14:textId="77777777" w:rsidTr="00286A1E">
        <w:tc>
          <w:tcPr>
            <w:tcW w:w="7472" w:type="dxa"/>
            <w:tcBorders>
              <w:top w:val="single" w:sz="4" w:space="0" w:color="A59C94"/>
              <w:bottom w:val="single" w:sz="16" w:space="0" w:color="991D85"/>
            </w:tcBorders>
            <w:noWrap/>
            <w:vAlign w:val="bottom"/>
          </w:tcPr>
          <w:p w14:paraId="3EA6DC19" w14:textId="77777777" w:rsidR="0049665B" w:rsidRPr="006048CC" w:rsidRDefault="00000000" w:rsidP="00286A1E">
            <w:pPr>
              <w:pStyle w:val="TBodytotalText"/>
              <w:rPr>
                <w:lang w:val="pt-BR"/>
              </w:rPr>
            </w:pPr>
            <w:bookmarkStart w:id="18" w:name="RANGE!B60:F60"/>
            <w:bookmarkEnd w:id="18"/>
            <w:r>
              <w:rPr>
                <w:lang w:val="es-AR"/>
              </w:rPr>
              <w:t xml:space="preserve">Grupo Evonik </w:t>
            </w:r>
          </w:p>
        </w:tc>
        <w:tc>
          <w:tcPr>
            <w:tcW w:w="119" w:type="dxa"/>
            <w:tcBorders>
              <w:bottom w:val="single" w:sz="16" w:space="0" w:color="991D85"/>
            </w:tcBorders>
            <w:noWrap/>
            <w:vAlign w:val="bottom"/>
          </w:tcPr>
          <w:p w14:paraId="225685D3" w14:textId="77777777" w:rsidR="0049665B" w:rsidRPr="006048CC" w:rsidRDefault="0049665B" w:rsidP="00286A1E">
            <w:pPr>
              <w:pStyle w:val="TBodytotalNumber"/>
              <w:rPr>
                <w:lang w:val="pt-BR"/>
              </w:rPr>
            </w:pPr>
          </w:p>
        </w:tc>
        <w:tc>
          <w:tcPr>
            <w:tcW w:w="1021" w:type="dxa"/>
            <w:tcBorders>
              <w:top w:val="single" w:sz="4" w:space="0" w:color="A59C94"/>
              <w:bottom w:val="single" w:sz="16" w:space="0" w:color="991D85"/>
            </w:tcBorders>
            <w:noWrap/>
            <w:vAlign w:val="bottom"/>
          </w:tcPr>
          <w:p w14:paraId="6C58A1DA" w14:textId="77777777" w:rsidR="0049665B" w:rsidRPr="006048CC" w:rsidRDefault="00000000" w:rsidP="00286A1E">
            <w:pPr>
              <w:pStyle w:val="TBodytotalNumber"/>
              <w:rPr>
                <w:lang w:val="pt-BR"/>
              </w:rPr>
            </w:pPr>
            <w:r w:rsidRPr="006048CC">
              <w:rPr>
                <w:lang w:val="es-AR"/>
              </w:rPr>
              <w:t>34.029</w:t>
            </w:r>
          </w:p>
        </w:tc>
        <w:tc>
          <w:tcPr>
            <w:tcW w:w="119" w:type="dxa"/>
            <w:tcBorders>
              <w:bottom w:val="single" w:sz="16" w:space="0" w:color="991D85"/>
            </w:tcBorders>
            <w:noWrap/>
            <w:vAlign w:val="bottom"/>
          </w:tcPr>
          <w:p w14:paraId="1F461CDC" w14:textId="77777777" w:rsidR="0049665B" w:rsidRPr="006048CC" w:rsidRDefault="0049665B" w:rsidP="00286A1E">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5FCDF6B7" w14:textId="77777777" w:rsidR="0049665B" w:rsidRPr="006048CC" w:rsidRDefault="00000000" w:rsidP="00286A1E">
            <w:pPr>
              <w:pStyle w:val="TBodytotalNumber"/>
              <w:rPr>
                <w:lang w:val="pt-BR"/>
              </w:rPr>
            </w:pPr>
            <w:r w:rsidRPr="006048CC">
              <w:rPr>
                <w:lang w:val="es-AR"/>
              </w:rPr>
              <w:t>33.918</w:t>
            </w:r>
          </w:p>
        </w:tc>
      </w:tr>
    </w:tbl>
    <w:bookmarkEnd w:id="15"/>
    <w:p w14:paraId="488BE042" w14:textId="4B9E92D8" w:rsidR="00AC6DC8" w:rsidRPr="00C654FA" w:rsidRDefault="00000000" w:rsidP="00AC6DC8">
      <w:pPr>
        <w:pStyle w:val="SNEvonikTabellenfu"/>
        <w:rPr>
          <w:lang w:val="es-ES"/>
        </w:rPr>
      </w:pPr>
      <w:r w:rsidRPr="000C5B25">
        <w:rPr>
          <w:vertAlign w:val="superscript"/>
          <w:lang w:val="es-AR"/>
        </w:rPr>
        <w:t>a</w:t>
      </w:r>
      <w:r w:rsidRPr="000C5B25">
        <w:rPr>
          <w:lang w:val="es-AR"/>
        </w:rPr>
        <w:t xml:space="preserve"> Cifras del año anterior</w:t>
      </w:r>
      <w:r w:rsidR="00100245" w:rsidRPr="000C5B25">
        <w:rPr>
          <w:lang w:val="es-AR"/>
        </w:rPr>
        <w:t xml:space="preserve"> fueron reajustadas</w:t>
      </w:r>
      <w:r w:rsidRPr="000C5B25">
        <w:rPr>
          <w:lang w:val="es-AR"/>
        </w:rPr>
        <w:t>.</w:t>
      </w:r>
    </w:p>
    <w:p w14:paraId="3927156D" w14:textId="77777777" w:rsidR="0049665B" w:rsidRPr="00C654FA" w:rsidRDefault="0049665B" w:rsidP="0043547E">
      <w:pPr>
        <w:rPr>
          <w:lang w:val="es-ES"/>
        </w:rPr>
      </w:pPr>
    </w:p>
    <w:p w14:paraId="2B6DBB15" w14:textId="77777777" w:rsidR="00C142D6" w:rsidRPr="00C654FA" w:rsidRDefault="00000000" w:rsidP="00C142D6">
      <w:pPr>
        <w:rPr>
          <w:lang w:val="es-ES"/>
        </w:rPr>
      </w:pPr>
      <w:bookmarkStart w:id="19" w:name="SNWID_6c28a25f61a34939b81e1e62de012fa8"/>
      <w:r w:rsidRPr="00C654FA">
        <w:rPr>
          <w:lang w:val="es-ES"/>
        </w:rPr>
        <w:t xml:space="preserve">   </w:t>
      </w:r>
    </w:p>
    <w:p w14:paraId="2BAEEF38" w14:textId="77777777" w:rsidR="00C142D6" w:rsidRPr="00C654FA" w:rsidRDefault="00C142D6" w:rsidP="00C142D6">
      <w:pPr>
        <w:rPr>
          <w:lang w:val="es-ES"/>
        </w:rPr>
      </w:pPr>
    </w:p>
    <w:p w14:paraId="5A8483FF" w14:textId="77777777" w:rsidR="00C142D6" w:rsidRPr="00C654FA" w:rsidRDefault="00C142D6" w:rsidP="00C142D6">
      <w:pPr>
        <w:rPr>
          <w:lang w:val="es-ES"/>
        </w:rPr>
      </w:pPr>
      <w:bookmarkStart w:id="20" w:name="RANGE!B37:N47"/>
      <w:bookmarkStart w:id="21" w:name="RANGE!B51:F62"/>
      <w:bookmarkEnd w:id="20"/>
      <w:bookmarkEnd w:id="21"/>
    </w:p>
    <w:p w14:paraId="12364282" w14:textId="77777777" w:rsidR="00436C8B" w:rsidRPr="00436C8B" w:rsidRDefault="00436C8B" w:rsidP="00436C8B">
      <w:pPr>
        <w:spacing w:line="220" w:lineRule="exact"/>
        <w:outlineLvl w:val="0"/>
        <w:rPr>
          <w:b/>
          <w:bCs/>
          <w:sz w:val="18"/>
          <w:szCs w:val="18"/>
          <w:lang w:val="es-ES" w:eastAsia="pt-BR"/>
        </w:rPr>
      </w:pPr>
      <w:bookmarkStart w:id="22" w:name="_Hlk131070822"/>
      <w:bookmarkEnd w:id="19"/>
      <w:r w:rsidRPr="00436C8B">
        <w:rPr>
          <w:b/>
          <w:bCs/>
          <w:sz w:val="18"/>
          <w:szCs w:val="18"/>
          <w:lang w:val="es-ES" w:eastAsia="pt-BR"/>
        </w:rPr>
        <w:t xml:space="preserve">Información de la empresa  </w:t>
      </w:r>
    </w:p>
    <w:p w14:paraId="46A23F08" w14:textId="77777777" w:rsidR="00436C8B" w:rsidRPr="00436C8B" w:rsidRDefault="00436C8B" w:rsidP="00436C8B">
      <w:pPr>
        <w:spacing w:line="220" w:lineRule="exact"/>
        <w:jc w:val="both"/>
        <w:rPr>
          <w:rFonts w:cs="Lucida Sans Unicode"/>
          <w:color w:val="000000"/>
          <w:sz w:val="18"/>
          <w:szCs w:val="18"/>
          <w:lang w:val="es-ES" w:eastAsia="pt-BR"/>
        </w:rPr>
      </w:pPr>
      <w:r w:rsidRPr="00436C8B">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4376A99F" w14:textId="77777777" w:rsidR="00436C8B" w:rsidRPr="00436C8B" w:rsidRDefault="00436C8B" w:rsidP="00436C8B">
      <w:pPr>
        <w:spacing w:line="220" w:lineRule="exact"/>
        <w:jc w:val="both"/>
        <w:rPr>
          <w:rFonts w:cs="Lucida Sans Unicode"/>
          <w:color w:val="000000"/>
          <w:sz w:val="18"/>
          <w:szCs w:val="18"/>
          <w:lang w:val="es-AR" w:eastAsia="pt-BR"/>
        </w:rPr>
      </w:pPr>
    </w:p>
    <w:p w14:paraId="3A56038A" w14:textId="77777777" w:rsidR="00436C8B" w:rsidRPr="00436C8B" w:rsidRDefault="00436C8B" w:rsidP="00436C8B">
      <w:pPr>
        <w:spacing w:line="220" w:lineRule="exact"/>
        <w:jc w:val="both"/>
        <w:rPr>
          <w:rFonts w:cs="Lucida Sans Unicode"/>
          <w:color w:val="000000"/>
          <w:sz w:val="18"/>
          <w:szCs w:val="18"/>
          <w:lang w:val="es-ES" w:eastAsia="pt-BR"/>
        </w:rPr>
      </w:pPr>
    </w:p>
    <w:p w14:paraId="10D2A99D" w14:textId="77777777" w:rsidR="00436C8B" w:rsidRPr="00436C8B" w:rsidRDefault="00436C8B" w:rsidP="00436C8B">
      <w:pPr>
        <w:spacing w:line="220" w:lineRule="exact"/>
        <w:jc w:val="both"/>
        <w:rPr>
          <w:rFonts w:cs="Lucida Sans Unicode"/>
          <w:color w:val="000000"/>
          <w:sz w:val="18"/>
          <w:szCs w:val="18"/>
          <w:lang w:val="es-ES" w:eastAsia="pt-BR"/>
        </w:rPr>
      </w:pPr>
    </w:p>
    <w:p w14:paraId="7CC1B5C3" w14:textId="77777777" w:rsidR="00436C8B" w:rsidRPr="00436C8B" w:rsidRDefault="00436C8B" w:rsidP="00436C8B">
      <w:pPr>
        <w:spacing w:line="220" w:lineRule="exact"/>
        <w:jc w:val="both"/>
        <w:rPr>
          <w:b/>
          <w:bCs/>
          <w:sz w:val="18"/>
          <w:szCs w:val="18"/>
          <w:lang w:val="es-ES" w:eastAsia="pt-BR"/>
        </w:rPr>
      </w:pPr>
      <w:r w:rsidRPr="00436C8B">
        <w:rPr>
          <w:b/>
          <w:bCs/>
          <w:sz w:val="18"/>
          <w:szCs w:val="18"/>
          <w:lang w:val="es-ES" w:eastAsia="pt-BR"/>
        </w:rPr>
        <w:t>Nota legal</w:t>
      </w:r>
    </w:p>
    <w:p w14:paraId="2E66EFDA" w14:textId="77777777" w:rsidR="00436C8B" w:rsidRPr="00436C8B" w:rsidRDefault="00436C8B" w:rsidP="00436C8B">
      <w:pPr>
        <w:spacing w:line="220" w:lineRule="exact"/>
        <w:rPr>
          <w:rFonts w:cs="Lucida Sans Unicode"/>
          <w:color w:val="000000"/>
          <w:sz w:val="18"/>
          <w:szCs w:val="18"/>
          <w:lang w:val="es-ES" w:eastAsia="pt-BR"/>
        </w:rPr>
      </w:pPr>
      <w:r w:rsidRPr="00436C8B">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E0C5B55" w14:textId="77777777" w:rsidR="00436C8B" w:rsidRPr="00436C8B" w:rsidRDefault="00436C8B" w:rsidP="00436C8B">
      <w:pPr>
        <w:spacing w:line="220" w:lineRule="exact"/>
        <w:jc w:val="both"/>
        <w:rPr>
          <w:rFonts w:cs="Lucida Sans Unicode"/>
          <w:b/>
          <w:bCs/>
          <w:color w:val="FF0000"/>
          <w:sz w:val="18"/>
          <w:szCs w:val="18"/>
          <w:lang w:val="es-ES" w:eastAsia="pt-BR"/>
        </w:rPr>
      </w:pPr>
    </w:p>
    <w:p w14:paraId="7B189D3F" w14:textId="77777777" w:rsidR="00436C8B" w:rsidRPr="00436C8B" w:rsidRDefault="00436C8B" w:rsidP="00436C8B">
      <w:pPr>
        <w:outlineLvl w:val="0"/>
        <w:rPr>
          <w:rFonts w:cs="Arial"/>
          <w:b/>
          <w:bCs/>
          <w:kern w:val="28"/>
          <w:sz w:val="24"/>
          <w:szCs w:val="32"/>
          <w:lang w:val="es-ES" w:eastAsia="pt-BR"/>
        </w:rPr>
      </w:pPr>
    </w:p>
    <w:p w14:paraId="7A558420" w14:textId="77777777" w:rsidR="00436C8B" w:rsidRPr="00436C8B" w:rsidRDefault="00436C8B" w:rsidP="00436C8B">
      <w:pPr>
        <w:spacing w:line="240" w:lineRule="auto"/>
        <w:rPr>
          <w:rFonts w:cs="Lucida Sans Unicode"/>
          <w:b/>
          <w:sz w:val="18"/>
          <w:szCs w:val="18"/>
          <w:lang w:val="pt-BR" w:eastAsia="pt-BR"/>
        </w:rPr>
      </w:pPr>
      <w:bookmarkStart w:id="23" w:name="_Hlk29560670"/>
      <w:bookmarkEnd w:id="23"/>
      <w:r w:rsidRPr="00436C8B">
        <w:rPr>
          <w:rFonts w:cs="Lucida Sans Unicode"/>
          <w:b/>
          <w:sz w:val="18"/>
          <w:szCs w:val="18"/>
          <w:lang w:val="pt-BR" w:eastAsia="pt-BR"/>
        </w:rPr>
        <w:t>Evonik Brasil Ltda.</w:t>
      </w:r>
    </w:p>
    <w:p w14:paraId="3DBAC4C6" w14:textId="77777777" w:rsidR="00436C8B" w:rsidRPr="00436C8B" w:rsidRDefault="00436C8B" w:rsidP="00436C8B">
      <w:pPr>
        <w:spacing w:line="240" w:lineRule="auto"/>
        <w:rPr>
          <w:rFonts w:cs="Lucida Sans Unicode"/>
          <w:sz w:val="18"/>
          <w:szCs w:val="18"/>
          <w:lang w:val="pt-BR" w:eastAsia="pt-BR"/>
        </w:rPr>
      </w:pPr>
      <w:proofErr w:type="spellStart"/>
      <w:r w:rsidRPr="00436C8B">
        <w:rPr>
          <w:rFonts w:cs="Lucida Sans Unicode"/>
          <w:sz w:val="18"/>
          <w:szCs w:val="18"/>
          <w:lang w:val="pt-BR" w:eastAsia="pt-BR"/>
        </w:rPr>
        <w:t>Teléfono</w:t>
      </w:r>
      <w:proofErr w:type="spellEnd"/>
      <w:r w:rsidRPr="00436C8B">
        <w:rPr>
          <w:rFonts w:cs="Lucida Sans Unicode"/>
          <w:sz w:val="18"/>
          <w:szCs w:val="18"/>
          <w:lang w:val="pt-BR" w:eastAsia="pt-BR"/>
        </w:rPr>
        <w:t>: (11) 3146</w:t>
      </w:r>
      <w:bookmarkStart w:id="24" w:name="_Hlk134690943"/>
      <w:r w:rsidRPr="00436C8B">
        <w:rPr>
          <w:rFonts w:cs="Lucida Sans Unicode"/>
          <w:sz w:val="18"/>
          <w:szCs w:val="18"/>
          <w:lang w:val="pt-BR" w:eastAsia="pt-BR"/>
        </w:rPr>
        <w:t>-</w:t>
      </w:r>
      <w:bookmarkEnd w:id="24"/>
      <w:r w:rsidRPr="00436C8B">
        <w:rPr>
          <w:rFonts w:cs="Lucida Sans Unicode"/>
          <w:sz w:val="18"/>
          <w:szCs w:val="18"/>
          <w:lang w:val="pt-BR" w:eastAsia="pt-BR"/>
        </w:rPr>
        <w:t>4100</w:t>
      </w:r>
    </w:p>
    <w:p w14:paraId="411BB13A" w14:textId="77777777" w:rsidR="00436C8B" w:rsidRPr="00436C8B" w:rsidRDefault="00436C8B" w:rsidP="00436C8B">
      <w:pPr>
        <w:spacing w:line="240" w:lineRule="auto"/>
        <w:rPr>
          <w:rFonts w:cs="Lucida Sans Unicode"/>
          <w:sz w:val="18"/>
          <w:szCs w:val="18"/>
          <w:lang w:val="pt-BR" w:eastAsia="pt-BR"/>
        </w:rPr>
      </w:pPr>
      <w:r w:rsidRPr="00436C8B">
        <w:rPr>
          <w:rFonts w:cs="Lucida Sans Unicode"/>
          <w:sz w:val="18"/>
          <w:szCs w:val="18"/>
          <w:lang w:val="pt-BR" w:eastAsia="pt-BR"/>
        </w:rPr>
        <w:t>www.evonik.com.br</w:t>
      </w:r>
    </w:p>
    <w:p w14:paraId="5E6ADAFB" w14:textId="77777777" w:rsidR="00436C8B" w:rsidRPr="00436C8B" w:rsidRDefault="00436C8B" w:rsidP="00436C8B">
      <w:pPr>
        <w:spacing w:line="240" w:lineRule="auto"/>
        <w:rPr>
          <w:rFonts w:cs="Lucida Sans Unicode"/>
          <w:sz w:val="18"/>
          <w:szCs w:val="18"/>
          <w:lang w:val="pt-BR" w:eastAsia="pt-BR"/>
        </w:rPr>
      </w:pPr>
      <w:r w:rsidRPr="00436C8B">
        <w:rPr>
          <w:rFonts w:cs="Lucida Sans Unicode"/>
          <w:sz w:val="18"/>
          <w:szCs w:val="18"/>
          <w:lang w:val="pt-BR" w:eastAsia="pt-BR"/>
        </w:rPr>
        <w:t>facebook.com/Evonik</w:t>
      </w:r>
    </w:p>
    <w:p w14:paraId="445FB204" w14:textId="77777777" w:rsidR="00436C8B" w:rsidRPr="00436C8B" w:rsidRDefault="00436C8B" w:rsidP="00436C8B">
      <w:pPr>
        <w:spacing w:line="240" w:lineRule="auto"/>
        <w:rPr>
          <w:rFonts w:cs="Lucida Sans Unicode"/>
          <w:sz w:val="18"/>
          <w:szCs w:val="18"/>
          <w:lang w:val="pt-BR" w:eastAsia="pt-BR"/>
        </w:rPr>
      </w:pPr>
      <w:r w:rsidRPr="00436C8B">
        <w:rPr>
          <w:rFonts w:cs="Lucida Sans Unicode"/>
          <w:sz w:val="18"/>
          <w:szCs w:val="18"/>
          <w:lang w:val="pt-BR" w:eastAsia="pt-BR"/>
        </w:rPr>
        <w:t>instagram.com/</w:t>
      </w:r>
      <w:proofErr w:type="spellStart"/>
      <w:r w:rsidRPr="00436C8B">
        <w:rPr>
          <w:rFonts w:cs="Lucida Sans Unicode"/>
          <w:sz w:val="18"/>
          <w:szCs w:val="18"/>
          <w:lang w:val="pt-BR" w:eastAsia="pt-BR"/>
        </w:rPr>
        <w:t>Evonik.Brasil</w:t>
      </w:r>
      <w:proofErr w:type="spellEnd"/>
    </w:p>
    <w:p w14:paraId="263D0D56" w14:textId="77777777" w:rsidR="00436C8B" w:rsidRPr="00436C8B" w:rsidRDefault="00436C8B" w:rsidP="00436C8B">
      <w:pPr>
        <w:spacing w:line="240" w:lineRule="auto"/>
        <w:rPr>
          <w:rFonts w:cs="Lucida Sans Unicode"/>
          <w:sz w:val="18"/>
          <w:szCs w:val="18"/>
          <w:lang w:val="pt-BR" w:eastAsia="pt-BR"/>
        </w:rPr>
      </w:pPr>
      <w:r w:rsidRPr="00436C8B">
        <w:rPr>
          <w:rFonts w:cs="Lucida Sans Unicode"/>
          <w:sz w:val="18"/>
          <w:szCs w:val="18"/>
          <w:lang w:val="pt-BR" w:eastAsia="pt-BR"/>
        </w:rPr>
        <w:t>youtube.com/</w:t>
      </w:r>
      <w:proofErr w:type="spellStart"/>
      <w:r w:rsidRPr="00436C8B">
        <w:rPr>
          <w:rFonts w:cs="Lucida Sans Unicode"/>
          <w:sz w:val="18"/>
          <w:szCs w:val="18"/>
          <w:lang w:val="pt-BR" w:eastAsia="pt-BR"/>
        </w:rPr>
        <w:t>EvonikIndustries</w:t>
      </w:r>
      <w:proofErr w:type="spellEnd"/>
    </w:p>
    <w:p w14:paraId="0F355378" w14:textId="77777777" w:rsidR="00436C8B" w:rsidRPr="00100245" w:rsidRDefault="00436C8B" w:rsidP="00436C8B">
      <w:pPr>
        <w:spacing w:line="240" w:lineRule="auto"/>
        <w:rPr>
          <w:rFonts w:cs="Lucida Sans Unicode"/>
          <w:sz w:val="18"/>
          <w:szCs w:val="18"/>
          <w:lang w:val="pt-BR" w:eastAsia="pt-BR"/>
        </w:rPr>
      </w:pPr>
      <w:r w:rsidRPr="00100245">
        <w:rPr>
          <w:rFonts w:cs="Lucida Sans Unicode"/>
          <w:sz w:val="18"/>
          <w:szCs w:val="18"/>
          <w:lang w:val="pt-BR" w:eastAsia="pt-BR"/>
        </w:rPr>
        <w:t>linkedin.com/</w:t>
      </w:r>
      <w:proofErr w:type="spellStart"/>
      <w:r w:rsidRPr="00100245">
        <w:rPr>
          <w:rFonts w:cs="Lucida Sans Unicode"/>
          <w:sz w:val="18"/>
          <w:szCs w:val="18"/>
          <w:lang w:val="pt-BR" w:eastAsia="pt-BR"/>
        </w:rPr>
        <w:t>company</w:t>
      </w:r>
      <w:proofErr w:type="spellEnd"/>
      <w:r w:rsidRPr="00100245">
        <w:rPr>
          <w:rFonts w:cs="Lucida Sans Unicode"/>
          <w:sz w:val="18"/>
          <w:szCs w:val="18"/>
          <w:lang w:val="pt-BR" w:eastAsia="pt-BR"/>
        </w:rPr>
        <w:t>/Evonik</w:t>
      </w:r>
    </w:p>
    <w:p w14:paraId="0BCFD10E" w14:textId="77777777" w:rsidR="00436C8B" w:rsidRPr="00100245" w:rsidRDefault="00436C8B" w:rsidP="00436C8B">
      <w:pPr>
        <w:spacing w:line="240" w:lineRule="auto"/>
        <w:rPr>
          <w:rFonts w:cs="Lucida Sans Unicode"/>
          <w:sz w:val="18"/>
          <w:szCs w:val="18"/>
          <w:lang w:val="pt-BR" w:eastAsia="pt-BR"/>
        </w:rPr>
      </w:pPr>
      <w:r w:rsidRPr="00100245">
        <w:rPr>
          <w:rFonts w:cs="Lucida Sans Unicode"/>
          <w:sz w:val="18"/>
          <w:szCs w:val="18"/>
          <w:lang w:val="pt-BR" w:eastAsia="pt-BR"/>
        </w:rPr>
        <w:t>twitter.com/</w:t>
      </w:r>
      <w:proofErr w:type="spellStart"/>
      <w:r w:rsidRPr="00100245">
        <w:rPr>
          <w:rFonts w:cs="Lucida Sans Unicode"/>
          <w:sz w:val="18"/>
          <w:szCs w:val="18"/>
          <w:lang w:val="pt-BR" w:eastAsia="pt-BR"/>
        </w:rPr>
        <w:t>Evonik_BR</w:t>
      </w:r>
      <w:proofErr w:type="spellEnd"/>
    </w:p>
    <w:p w14:paraId="3E93AAE0" w14:textId="77777777" w:rsidR="00436C8B" w:rsidRPr="00100245" w:rsidRDefault="00436C8B" w:rsidP="00436C8B">
      <w:pPr>
        <w:spacing w:line="220" w:lineRule="exact"/>
        <w:outlineLvl w:val="0"/>
        <w:rPr>
          <w:b/>
          <w:bCs/>
          <w:sz w:val="18"/>
          <w:szCs w:val="18"/>
          <w:lang w:val="pt-BR" w:eastAsia="pt-BR"/>
        </w:rPr>
      </w:pPr>
    </w:p>
    <w:p w14:paraId="420F3455" w14:textId="77777777" w:rsidR="00436C8B" w:rsidRPr="00100245" w:rsidRDefault="00436C8B" w:rsidP="00436C8B">
      <w:pPr>
        <w:spacing w:line="220" w:lineRule="exact"/>
        <w:rPr>
          <w:rFonts w:eastAsia="Lucida Sans Unicode" w:cs="Lucida Sans Unicode"/>
          <w:sz w:val="18"/>
          <w:szCs w:val="18"/>
          <w:bdr w:val="nil"/>
          <w:lang w:val="pt-BR" w:eastAsia="pt-BR"/>
        </w:rPr>
      </w:pPr>
    </w:p>
    <w:p w14:paraId="5C577C5D" w14:textId="77777777" w:rsidR="00436C8B" w:rsidRPr="00100245" w:rsidRDefault="00436C8B" w:rsidP="00436C8B">
      <w:pPr>
        <w:spacing w:line="240" w:lineRule="auto"/>
        <w:rPr>
          <w:rFonts w:cs="Lucida Sans Unicode"/>
          <w:b/>
          <w:sz w:val="18"/>
          <w:szCs w:val="18"/>
          <w:lang w:val="pt-BR" w:eastAsia="pt-BR"/>
        </w:rPr>
      </w:pPr>
      <w:proofErr w:type="spellStart"/>
      <w:r w:rsidRPr="00100245">
        <w:rPr>
          <w:rFonts w:cs="Lucida Sans Unicode"/>
          <w:b/>
          <w:sz w:val="18"/>
          <w:szCs w:val="18"/>
          <w:lang w:val="pt-BR" w:eastAsia="pt-BR"/>
        </w:rPr>
        <w:t>Información</w:t>
      </w:r>
      <w:proofErr w:type="spellEnd"/>
      <w:r w:rsidRPr="00100245">
        <w:rPr>
          <w:rFonts w:cs="Lucida Sans Unicode"/>
          <w:b/>
          <w:sz w:val="18"/>
          <w:szCs w:val="18"/>
          <w:lang w:val="pt-BR" w:eastAsia="pt-BR"/>
        </w:rPr>
        <w:t xml:space="preserve"> para </w:t>
      </w:r>
      <w:proofErr w:type="spellStart"/>
      <w:r w:rsidRPr="00100245">
        <w:rPr>
          <w:rFonts w:cs="Lucida Sans Unicode"/>
          <w:b/>
          <w:sz w:val="18"/>
          <w:szCs w:val="18"/>
          <w:lang w:val="pt-BR" w:eastAsia="pt-BR"/>
        </w:rPr>
        <w:t>la</w:t>
      </w:r>
      <w:proofErr w:type="spellEnd"/>
      <w:r w:rsidRPr="00100245">
        <w:rPr>
          <w:rFonts w:cs="Lucida Sans Unicode"/>
          <w:b/>
          <w:sz w:val="18"/>
          <w:szCs w:val="18"/>
          <w:lang w:val="pt-BR" w:eastAsia="pt-BR"/>
        </w:rPr>
        <w:t xml:space="preserve"> prensa</w:t>
      </w:r>
    </w:p>
    <w:p w14:paraId="234AF3AC" w14:textId="77777777" w:rsidR="00436C8B" w:rsidRPr="00436C8B" w:rsidRDefault="00436C8B" w:rsidP="00436C8B">
      <w:pPr>
        <w:spacing w:line="240" w:lineRule="auto"/>
        <w:rPr>
          <w:rFonts w:cs="Lucida Sans Unicode"/>
          <w:bCs/>
          <w:sz w:val="18"/>
          <w:szCs w:val="18"/>
          <w:lang w:val="es-AR" w:eastAsia="pt-BR"/>
        </w:rPr>
      </w:pPr>
      <w:r w:rsidRPr="00436C8B">
        <w:rPr>
          <w:rFonts w:cs="Lucida Sans Unicode"/>
          <w:bCs/>
          <w:sz w:val="18"/>
          <w:szCs w:val="18"/>
          <w:lang w:val="es-AR" w:eastAsia="pt-BR"/>
        </w:rPr>
        <w:t>Vía Pública comunicación - www.viapublicacomunicacao.com.br</w:t>
      </w:r>
    </w:p>
    <w:p w14:paraId="0D72D8F1" w14:textId="2D0A4F53" w:rsidR="00436C8B" w:rsidRPr="00436C8B" w:rsidRDefault="00436C8B" w:rsidP="00436C8B">
      <w:pPr>
        <w:spacing w:line="240" w:lineRule="auto"/>
        <w:rPr>
          <w:rFonts w:cs="Lucida Sans Unicode"/>
          <w:bCs/>
          <w:sz w:val="18"/>
          <w:szCs w:val="18"/>
          <w:lang w:val="pt-BR" w:eastAsia="pt-BR"/>
        </w:rPr>
      </w:pPr>
      <w:r w:rsidRPr="00436C8B">
        <w:rPr>
          <w:rFonts w:cs="Lucida Sans Unicode"/>
          <w:bCs/>
          <w:sz w:val="18"/>
          <w:szCs w:val="18"/>
          <w:lang w:val="pt-BR" w:eastAsia="pt-BR"/>
        </w:rPr>
        <w:t xml:space="preserve">Sheila </w:t>
      </w:r>
      <w:proofErr w:type="spellStart"/>
      <w:r w:rsidRPr="00436C8B">
        <w:rPr>
          <w:rFonts w:cs="Lucida Sans Unicode"/>
          <w:bCs/>
          <w:sz w:val="18"/>
          <w:szCs w:val="18"/>
          <w:lang w:val="pt-BR" w:eastAsia="pt-BR"/>
        </w:rPr>
        <w:t>Diez</w:t>
      </w:r>
      <w:proofErr w:type="spellEnd"/>
      <w:r w:rsidRPr="00436C8B">
        <w:rPr>
          <w:rFonts w:cs="Lucida Sans Unicode"/>
          <w:bCs/>
          <w:sz w:val="18"/>
          <w:szCs w:val="18"/>
          <w:lang w:val="pt-BR" w:eastAsia="pt-BR"/>
        </w:rPr>
        <w:t>: (11) 3473</w:t>
      </w:r>
      <w:r w:rsidRPr="00436C8B">
        <w:rPr>
          <w:rFonts w:cs="Lucida Sans Unicode"/>
          <w:sz w:val="18"/>
          <w:szCs w:val="18"/>
          <w:lang w:val="pt-BR" w:eastAsia="pt-BR"/>
        </w:rPr>
        <w:t>-</w:t>
      </w:r>
      <w:r w:rsidRPr="00436C8B">
        <w:rPr>
          <w:rFonts w:cs="Lucida Sans Unicode"/>
          <w:bCs/>
          <w:sz w:val="18"/>
          <w:szCs w:val="18"/>
          <w:lang w:val="pt-BR" w:eastAsia="pt-BR"/>
        </w:rPr>
        <w:t>0255 - sheila@viapublicacomunicacao.com.br</w:t>
      </w:r>
    </w:p>
    <w:p w14:paraId="09F945A9" w14:textId="7D453ADC" w:rsidR="00436C8B" w:rsidRPr="00436C8B" w:rsidRDefault="00436C8B" w:rsidP="00436C8B">
      <w:pPr>
        <w:spacing w:line="240" w:lineRule="auto"/>
        <w:rPr>
          <w:rFonts w:cs="Lucida Sans Unicode"/>
          <w:bCs/>
          <w:sz w:val="18"/>
          <w:szCs w:val="18"/>
          <w:lang w:val="pt-BR" w:eastAsia="pt-BR"/>
        </w:rPr>
      </w:pPr>
      <w:r w:rsidRPr="00436C8B">
        <w:rPr>
          <w:rFonts w:cs="Lucida Sans Unicode"/>
          <w:bCs/>
          <w:sz w:val="18"/>
          <w:szCs w:val="18"/>
          <w:lang w:val="pt-BR" w:eastAsia="pt-BR"/>
        </w:rPr>
        <w:t>Taís Augusto: (11) 3562</w:t>
      </w:r>
      <w:r w:rsidRPr="00436C8B">
        <w:rPr>
          <w:rFonts w:cs="Lucida Sans Unicode"/>
          <w:sz w:val="18"/>
          <w:szCs w:val="18"/>
          <w:lang w:val="pt-BR" w:eastAsia="pt-BR"/>
        </w:rPr>
        <w:t>-</w:t>
      </w:r>
      <w:r w:rsidRPr="00436C8B">
        <w:rPr>
          <w:rFonts w:cs="Lucida Sans Unicode"/>
          <w:bCs/>
          <w:sz w:val="18"/>
          <w:szCs w:val="18"/>
          <w:lang w:val="pt-BR" w:eastAsia="pt-BR"/>
        </w:rPr>
        <w:t xml:space="preserve">5555 - </w:t>
      </w:r>
      <w:hyperlink r:id="rId12" w:history="1">
        <w:r w:rsidRPr="00436C8B">
          <w:rPr>
            <w:rFonts w:cs="Lucida Sans Unicode"/>
            <w:bCs/>
            <w:sz w:val="18"/>
            <w:szCs w:val="18"/>
            <w:lang w:val="pt-BR" w:eastAsia="pt-BR"/>
          </w:rPr>
          <w:t>tais@viapublicacomunicacao.com.br</w:t>
        </w:r>
      </w:hyperlink>
      <w:bookmarkEnd w:id="22"/>
    </w:p>
    <w:p w14:paraId="28C8C60C" w14:textId="77777777" w:rsidR="00282723" w:rsidRPr="00436C8B" w:rsidRDefault="00282723" w:rsidP="0006177F">
      <w:pPr>
        <w:rPr>
          <w:lang w:val="pt-BR"/>
        </w:rPr>
      </w:pPr>
    </w:p>
    <w:p w14:paraId="3962903A" w14:textId="77777777" w:rsidR="00110DE8" w:rsidRPr="00436C8B" w:rsidRDefault="00110DE8" w:rsidP="006E04EA">
      <w:pPr>
        <w:spacing w:line="220" w:lineRule="exact"/>
        <w:outlineLvl w:val="0"/>
        <w:rPr>
          <w:b/>
          <w:bCs/>
          <w:color w:val="000000"/>
          <w:sz w:val="18"/>
          <w:szCs w:val="18"/>
          <w:lang w:val="pt-BR"/>
        </w:rPr>
      </w:pPr>
    </w:p>
    <w:p w14:paraId="1543E10E" w14:textId="77777777" w:rsidR="002175F2" w:rsidRPr="00436C8B" w:rsidRDefault="002175F2" w:rsidP="006E04EA">
      <w:pPr>
        <w:spacing w:line="220" w:lineRule="exact"/>
        <w:outlineLvl w:val="0"/>
        <w:rPr>
          <w:b/>
          <w:bCs/>
          <w:color w:val="000000"/>
          <w:sz w:val="18"/>
          <w:szCs w:val="18"/>
          <w:lang w:val="pt-BR"/>
        </w:rPr>
      </w:pPr>
    </w:p>
    <w:p w14:paraId="681DA3B6" w14:textId="77777777" w:rsidR="000B1B97" w:rsidRPr="00436C8B" w:rsidRDefault="000B1B97" w:rsidP="006E5B66">
      <w:pPr>
        <w:autoSpaceDE w:val="0"/>
        <w:autoSpaceDN w:val="0"/>
        <w:adjustRightInd w:val="0"/>
        <w:spacing w:line="220" w:lineRule="exact"/>
        <w:rPr>
          <w:rFonts w:cs="Lucida Sans Unicode"/>
          <w:sz w:val="18"/>
          <w:szCs w:val="18"/>
          <w:lang w:val="pt-BR"/>
        </w:rPr>
      </w:pPr>
    </w:p>
    <w:sectPr w:rsidR="000B1B97" w:rsidRPr="00436C8B"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A0C9" w14:textId="77777777" w:rsidR="00E139B6" w:rsidRDefault="00E139B6">
      <w:pPr>
        <w:spacing w:line="240" w:lineRule="auto"/>
      </w:pPr>
      <w:r>
        <w:separator/>
      </w:r>
    </w:p>
  </w:endnote>
  <w:endnote w:type="continuationSeparator" w:id="0">
    <w:p w14:paraId="46020308" w14:textId="77777777" w:rsidR="00E139B6" w:rsidRDefault="00E13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000000000000000"/>
    <w:charset w:val="00"/>
    <w:family w:val="modern"/>
    <w:notTrueType/>
    <w:pitch w:val="variable"/>
    <w:sig w:usb0="20000007" w:usb1="00000001" w:usb2="00000000" w:usb3="00000000" w:csb0="00000193" w:csb1="00000000"/>
  </w:font>
  <w:font w:name="Evonik Prokyon">
    <w:altName w:val="Calibri"/>
    <w:panose1 w:val="000000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80E5" w14:textId="77777777" w:rsidR="004B3707" w:rsidRDefault="004B3707">
    <w:pPr>
      <w:pStyle w:val="Rodap"/>
    </w:pPr>
  </w:p>
  <w:p w14:paraId="76DC7CF2" w14:textId="77777777" w:rsidR="004B3707" w:rsidRDefault="00000000">
    <w:pPr>
      <w:pStyle w:val="Rodap"/>
    </w:pPr>
    <w:r>
      <w:rPr>
        <w:lang w:val="es-AR"/>
      </w:rPr>
      <w:t xml:space="preserve">P.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6</w:t>
    </w:r>
    <w:r>
      <w:rPr>
        <w:rStyle w:val="Nmerodepgina"/>
      </w:rPr>
      <w:fldChar w:fldCharType="end"/>
    </w:r>
    <w:r>
      <w:rPr>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2E57" w14:textId="77777777" w:rsidR="004B3707" w:rsidRDefault="004B3707" w:rsidP="00316EC0">
    <w:pPr>
      <w:pStyle w:val="Rodap"/>
    </w:pPr>
  </w:p>
  <w:p w14:paraId="52577FF8" w14:textId="77777777" w:rsidR="004B3707" w:rsidRPr="005225EC" w:rsidRDefault="00000000" w:rsidP="00316EC0">
    <w:pPr>
      <w:pStyle w:val="Rodap"/>
      <w:rPr>
        <w:szCs w:val="18"/>
      </w:rPr>
    </w:pPr>
    <w:r w:rsidRPr="005225EC">
      <w:rPr>
        <w:szCs w:val="18"/>
        <w:lang w:val="es-AR"/>
      </w:rPr>
      <w:t xml:space="preserve">Seite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Pr>
        <w:rStyle w:val="Nmerodepgina"/>
        <w:noProof/>
        <w:szCs w:val="18"/>
        <w:lang w:val="es-AR"/>
      </w:rPr>
      <w:t>1</w:t>
    </w:r>
    <w:r w:rsidRPr="005225EC">
      <w:rPr>
        <w:rStyle w:val="Nmerodepgina"/>
        <w:szCs w:val="18"/>
      </w:rPr>
      <w:fldChar w:fldCharType="end"/>
    </w:r>
    <w:r w:rsidRPr="005225EC">
      <w:rPr>
        <w:szCs w:val="18"/>
        <w:lang w:val="es-AR"/>
      </w:rPr>
      <w:t xml:space="preserve"> </w:t>
    </w:r>
    <w:proofErr w:type="spellStart"/>
    <w:r w:rsidRPr="005225EC">
      <w:rPr>
        <w:szCs w:val="18"/>
        <w:lang w:val="es-AR"/>
      </w:rPr>
      <w:t>von</w:t>
    </w:r>
    <w:proofErr w:type="spellEnd"/>
    <w:r w:rsidRPr="005225EC">
      <w:rPr>
        <w:szCs w:val="18"/>
        <w:lang w:val="es-AR"/>
      </w:rPr>
      <w:t xml:space="preserv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Pr>
        <w:rStyle w:val="Nmerodepgina"/>
        <w:noProof/>
        <w:szCs w:val="18"/>
        <w:lang w:val="es-AR"/>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17CF" w14:textId="77777777" w:rsidR="00E139B6" w:rsidRDefault="00E139B6">
      <w:pPr>
        <w:spacing w:line="240" w:lineRule="auto"/>
      </w:pPr>
      <w:r>
        <w:separator/>
      </w:r>
    </w:p>
  </w:footnote>
  <w:footnote w:type="continuationSeparator" w:id="0">
    <w:p w14:paraId="1F844004" w14:textId="77777777" w:rsidR="00E139B6" w:rsidRDefault="00E13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C1E9" w14:textId="77777777" w:rsidR="004B3707" w:rsidRPr="006C35A6" w:rsidRDefault="00000000" w:rsidP="00316EC0">
    <w:pPr>
      <w:pStyle w:val="Cabealho"/>
      <w:spacing w:after="1880"/>
      <w:rPr>
        <w:sz w:val="2"/>
        <w:szCs w:val="2"/>
      </w:rPr>
    </w:pPr>
    <w:r w:rsidRPr="003F4CD0">
      <w:rPr>
        <w:noProof/>
        <w:sz w:val="2"/>
        <w:szCs w:val="2"/>
      </w:rPr>
      <w:drawing>
        <wp:anchor distT="0" distB="0" distL="114300" distR="114300" simplePos="0" relativeHeight="251661312" behindDoc="1" locked="0" layoutInCell="1" allowOverlap="1" wp14:anchorId="515FC5E3" wp14:editId="62378050">
          <wp:simplePos x="0" y="0"/>
          <wp:positionH relativeFrom="column">
            <wp:posOffset>5080</wp:posOffset>
          </wp:positionH>
          <wp:positionV relativeFrom="paragraph">
            <wp:posOffset>122126</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1626"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0288" behindDoc="0" locked="0" layoutInCell="1" allowOverlap="1" wp14:anchorId="064257A8" wp14:editId="3A296C4C">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540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5B78" w14:textId="77777777" w:rsidR="004B3707" w:rsidRPr="006C35A6" w:rsidRDefault="00000000">
    <w:pPr>
      <w:pStyle w:val="Cabealho"/>
      <w:rPr>
        <w:b/>
        <w:sz w:val="2"/>
        <w:szCs w:val="2"/>
      </w:rPr>
    </w:pPr>
    <w:r>
      <w:rPr>
        <w:noProof/>
      </w:rPr>
      <w:drawing>
        <wp:anchor distT="0" distB="0" distL="114300" distR="114300" simplePos="0" relativeHeight="251659264" behindDoc="0" locked="0" layoutInCell="1" allowOverlap="1" wp14:anchorId="622C7626" wp14:editId="5EBD8823">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81C9BFB" wp14:editId="6C98A9EC">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37653"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4E4C2E9A">
      <w:start w:val="1"/>
      <w:numFmt w:val="bullet"/>
      <w:pStyle w:val="Ttulo1"/>
      <w:lvlText w:val=""/>
      <w:lvlJc w:val="left"/>
      <w:pPr>
        <w:tabs>
          <w:tab w:val="num" w:pos="227"/>
        </w:tabs>
        <w:ind w:left="227" w:hanging="227"/>
      </w:pPr>
      <w:rPr>
        <w:rFonts w:ascii="Symbol" w:hAnsi="Symbol" w:hint="default"/>
        <w:color w:val="auto"/>
        <w:sz w:val="20"/>
        <w:szCs w:val="20"/>
      </w:rPr>
    </w:lvl>
    <w:lvl w:ilvl="1" w:tplc="56B85F3A" w:tentative="1">
      <w:start w:val="1"/>
      <w:numFmt w:val="bullet"/>
      <w:lvlText w:val="o"/>
      <w:lvlJc w:val="left"/>
      <w:pPr>
        <w:tabs>
          <w:tab w:val="num" w:pos="1440"/>
        </w:tabs>
        <w:ind w:left="1440" w:hanging="360"/>
      </w:pPr>
      <w:rPr>
        <w:rFonts w:ascii="Courier New" w:hAnsi="Courier New" w:cs="Courier New" w:hint="default"/>
      </w:rPr>
    </w:lvl>
    <w:lvl w:ilvl="2" w:tplc="A84CEBFC" w:tentative="1">
      <w:start w:val="1"/>
      <w:numFmt w:val="bullet"/>
      <w:lvlText w:val=""/>
      <w:lvlJc w:val="left"/>
      <w:pPr>
        <w:tabs>
          <w:tab w:val="num" w:pos="2160"/>
        </w:tabs>
        <w:ind w:left="2160" w:hanging="360"/>
      </w:pPr>
      <w:rPr>
        <w:rFonts w:ascii="Wingdings" w:hAnsi="Wingdings" w:hint="default"/>
      </w:rPr>
    </w:lvl>
    <w:lvl w:ilvl="3" w:tplc="A1B2BA72" w:tentative="1">
      <w:start w:val="1"/>
      <w:numFmt w:val="bullet"/>
      <w:lvlText w:val=""/>
      <w:lvlJc w:val="left"/>
      <w:pPr>
        <w:tabs>
          <w:tab w:val="num" w:pos="2880"/>
        </w:tabs>
        <w:ind w:left="2880" w:hanging="360"/>
      </w:pPr>
      <w:rPr>
        <w:rFonts w:ascii="Symbol" w:hAnsi="Symbol" w:hint="default"/>
      </w:rPr>
    </w:lvl>
    <w:lvl w:ilvl="4" w:tplc="48485504" w:tentative="1">
      <w:start w:val="1"/>
      <w:numFmt w:val="bullet"/>
      <w:lvlText w:val="o"/>
      <w:lvlJc w:val="left"/>
      <w:pPr>
        <w:tabs>
          <w:tab w:val="num" w:pos="3600"/>
        </w:tabs>
        <w:ind w:left="3600" w:hanging="360"/>
      </w:pPr>
      <w:rPr>
        <w:rFonts w:ascii="Courier New" w:hAnsi="Courier New" w:cs="Courier New" w:hint="default"/>
      </w:rPr>
    </w:lvl>
    <w:lvl w:ilvl="5" w:tplc="EC4E2BE0" w:tentative="1">
      <w:start w:val="1"/>
      <w:numFmt w:val="bullet"/>
      <w:lvlText w:val=""/>
      <w:lvlJc w:val="left"/>
      <w:pPr>
        <w:tabs>
          <w:tab w:val="num" w:pos="4320"/>
        </w:tabs>
        <w:ind w:left="4320" w:hanging="360"/>
      </w:pPr>
      <w:rPr>
        <w:rFonts w:ascii="Wingdings" w:hAnsi="Wingdings" w:hint="default"/>
      </w:rPr>
    </w:lvl>
    <w:lvl w:ilvl="6" w:tplc="8B9AF4A4" w:tentative="1">
      <w:start w:val="1"/>
      <w:numFmt w:val="bullet"/>
      <w:lvlText w:val=""/>
      <w:lvlJc w:val="left"/>
      <w:pPr>
        <w:tabs>
          <w:tab w:val="num" w:pos="5040"/>
        </w:tabs>
        <w:ind w:left="5040" w:hanging="360"/>
      </w:pPr>
      <w:rPr>
        <w:rFonts w:ascii="Symbol" w:hAnsi="Symbol" w:hint="default"/>
      </w:rPr>
    </w:lvl>
    <w:lvl w:ilvl="7" w:tplc="F0464322" w:tentative="1">
      <w:start w:val="1"/>
      <w:numFmt w:val="bullet"/>
      <w:lvlText w:val="o"/>
      <w:lvlJc w:val="left"/>
      <w:pPr>
        <w:tabs>
          <w:tab w:val="num" w:pos="5760"/>
        </w:tabs>
        <w:ind w:left="5760" w:hanging="360"/>
      </w:pPr>
      <w:rPr>
        <w:rFonts w:ascii="Courier New" w:hAnsi="Courier New" w:cs="Courier New" w:hint="default"/>
      </w:rPr>
    </w:lvl>
    <w:lvl w:ilvl="8" w:tplc="C9E01C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B0B4803A">
      <w:start w:val="1"/>
      <w:numFmt w:val="bullet"/>
      <w:lvlText w:val="•"/>
      <w:lvlJc w:val="left"/>
      <w:pPr>
        <w:tabs>
          <w:tab w:val="num" w:pos="1425"/>
        </w:tabs>
        <w:ind w:left="1425" w:hanging="360"/>
      </w:pPr>
      <w:rPr>
        <w:rFonts w:ascii="Lucida Sans Unicode" w:hAnsi="Lucida Sans Unicode" w:hint="default"/>
        <w:sz w:val="24"/>
      </w:rPr>
    </w:lvl>
    <w:lvl w:ilvl="1" w:tplc="CDA27ECC" w:tentative="1">
      <w:start w:val="1"/>
      <w:numFmt w:val="bullet"/>
      <w:lvlText w:val="o"/>
      <w:lvlJc w:val="left"/>
      <w:pPr>
        <w:tabs>
          <w:tab w:val="num" w:pos="1440"/>
        </w:tabs>
        <w:ind w:left="1440" w:hanging="360"/>
      </w:pPr>
      <w:rPr>
        <w:rFonts w:ascii="Courier New" w:hAnsi="Courier New" w:cs="Courier New" w:hint="default"/>
      </w:rPr>
    </w:lvl>
    <w:lvl w:ilvl="2" w:tplc="FFD0532A" w:tentative="1">
      <w:start w:val="1"/>
      <w:numFmt w:val="bullet"/>
      <w:lvlText w:val=""/>
      <w:lvlJc w:val="left"/>
      <w:pPr>
        <w:tabs>
          <w:tab w:val="num" w:pos="2160"/>
        </w:tabs>
        <w:ind w:left="2160" w:hanging="360"/>
      </w:pPr>
      <w:rPr>
        <w:rFonts w:ascii="Wingdings" w:hAnsi="Wingdings" w:hint="default"/>
      </w:rPr>
    </w:lvl>
    <w:lvl w:ilvl="3" w:tplc="0A18B310" w:tentative="1">
      <w:start w:val="1"/>
      <w:numFmt w:val="bullet"/>
      <w:lvlText w:val=""/>
      <w:lvlJc w:val="left"/>
      <w:pPr>
        <w:tabs>
          <w:tab w:val="num" w:pos="2880"/>
        </w:tabs>
        <w:ind w:left="2880" w:hanging="360"/>
      </w:pPr>
      <w:rPr>
        <w:rFonts w:ascii="Symbol" w:hAnsi="Symbol" w:hint="default"/>
      </w:rPr>
    </w:lvl>
    <w:lvl w:ilvl="4" w:tplc="2320D698" w:tentative="1">
      <w:start w:val="1"/>
      <w:numFmt w:val="bullet"/>
      <w:lvlText w:val="o"/>
      <w:lvlJc w:val="left"/>
      <w:pPr>
        <w:tabs>
          <w:tab w:val="num" w:pos="3600"/>
        </w:tabs>
        <w:ind w:left="3600" w:hanging="360"/>
      </w:pPr>
      <w:rPr>
        <w:rFonts w:ascii="Courier New" w:hAnsi="Courier New" w:cs="Courier New" w:hint="default"/>
      </w:rPr>
    </w:lvl>
    <w:lvl w:ilvl="5" w:tplc="12268944" w:tentative="1">
      <w:start w:val="1"/>
      <w:numFmt w:val="bullet"/>
      <w:lvlText w:val=""/>
      <w:lvlJc w:val="left"/>
      <w:pPr>
        <w:tabs>
          <w:tab w:val="num" w:pos="4320"/>
        </w:tabs>
        <w:ind w:left="4320" w:hanging="360"/>
      </w:pPr>
      <w:rPr>
        <w:rFonts w:ascii="Wingdings" w:hAnsi="Wingdings" w:hint="default"/>
      </w:rPr>
    </w:lvl>
    <w:lvl w:ilvl="6" w:tplc="5BCE4EAC" w:tentative="1">
      <w:start w:val="1"/>
      <w:numFmt w:val="bullet"/>
      <w:lvlText w:val=""/>
      <w:lvlJc w:val="left"/>
      <w:pPr>
        <w:tabs>
          <w:tab w:val="num" w:pos="5040"/>
        </w:tabs>
        <w:ind w:left="5040" w:hanging="360"/>
      </w:pPr>
      <w:rPr>
        <w:rFonts w:ascii="Symbol" w:hAnsi="Symbol" w:hint="default"/>
      </w:rPr>
    </w:lvl>
    <w:lvl w:ilvl="7" w:tplc="79CE596E" w:tentative="1">
      <w:start w:val="1"/>
      <w:numFmt w:val="bullet"/>
      <w:lvlText w:val="o"/>
      <w:lvlJc w:val="left"/>
      <w:pPr>
        <w:tabs>
          <w:tab w:val="num" w:pos="5760"/>
        </w:tabs>
        <w:ind w:left="5760" w:hanging="360"/>
      </w:pPr>
      <w:rPr>
        <w:rFonts w:ascii="Courier New" w:hAnsi="Courier New" w:cs="Courier New" w:hint="default"/>
      </w:rPr>
    </w:lvl>
    <w:lvl w:ilvl="8" w:tplc="29D2E6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2381020">
    <w:abstractNumId w:val="9"/>
  </w:num>
  <w:num w:numId="2" w16cid:durableId="138110878">
    <w:abstractNumId w:val="7"/>
  </w:num>
  <w:num w:numId="3" w16cid:durableId="469398255">
    <w:abstractNumId w:val="6"/>
  </w:num>
  <w:num w:numId="4" w16cid:durableId="206259078">
    <w:abstractNumId w:val="5"/>
  </w:num>
  <w:num w:numId="5" w16cid:durableId="521625246">
    <w:abstractNumId w:val="4"/>
  </w:num>
  <w:num w:numId="6" w16cid:durableId="2041544191">
    <w:abstractNumId w:val="8"/>
  </w:num>
  <w:num w:numId="7" w16cid:durableId="430325216">
    <w:abstractNumId w:val="3"/>
  </w:num>
  <w:num w:numId="8" w16cid:durableId="780612006">
    <w:abstractNumId w:val="2"/>
  </w:num>
  <w:num w:numId="9" w16cid:durableId="1528103840">
    <w:abstractNumId w:val="1"/>
  </w:num>
  <w:num w:numId="10" w16cid:durableId="1713185904">
    <w:abstractNumId w:val="0"/>
  </w:num>
  <w:num w:numId="11" w16cid:durableId="768697071">
    <w:abstractNumId w:val="12"/>
  </w:num>
  <w:num w:numId="12" w16cid:durableId="1573152341">
    <w:abstractNumId w:val="14"/>
  </w:num>
  <w:num w:numId="13" w16cid:durableId="1198465852">
    <w:abstractNumId w:val="13"/>
  </w:num>
  <w:num w:numId="14" w16cid:durableId="293756683">
    <w:abstractNumId w:val="10"/>
  </w:num>
  <w:num w:numId="15" w16cid:durableId="7950680">
    <w:abstractNumId w:val="17"/>
  </w:num>
  <w:num w:numId="16" w16cid:durableId="2111196932">
    <w:abstractNumId w:val="16"/>
  </w:num>
  <w:num w:numId="17" w16cid:durableId="1929532228">
    <w:abstractNumId w:val="11"/>
  </w:num>
  <w:num w:numId="18" w16cid:durableId="880676887">
    <w:abstractNumId w:val="12"/>
  </w:num>
  <w:num w:numId="19" w16cid:durableId="785394626">
    <w:abstractNumId w:val="14"/>
  </w:num>
  <w:num w:numId="20" w16cid:durableId="1457797454">
    <w:abstractNumId w:val="13"/>
  </w:num>
  <w:num w:numId="21" w16cid:durableId="766001569">
    <w:abstractNumId w:val="9"/>
  </w:num>
  <w:num w:numId="22" w16cid:durableId="2106538211">
    <w:abstractNumId w:val="7"/>
  </w:num>
  <w:num w:numId="23" w16cid:durableId="1275945364">
    <w:abstractNumId w:val="6"/>
  </w:num>
  <w:num w:numId="24" w16cid:durableId="1989436821">
    <w:abstractNumId w:val="5"/>
  </w:num>
  <w:num w:numId="25" w16cid:durableId="189728482">
    <w:abstractNumId w:val="4"/>
  </w:num>
  <w:num w:numId="26" w16cid:durableId="1237276649">
    <w:abstractNumId w:val="8"/>
  </w:num>
  <w:num w:numId="27" w16cid:durableId="580481567">
    <w:abstractNumId w:val="3"/>
  </w:num>
  <w:num w:numId="28" w16cid:durableId="1240286361">
    <w:abstractNumId w:val="2"/>
  </w:num>
  <w:num w:numId="29" w16cid:durableId="510679957">
    <w:abstractNumId w:val="1"/>
  </w:num>
  <w:num w:numId="30" w16cid:durableId="855463997">
    <w:abstractNumId w:val="0"/>
  </w:num>
  <w:num w:numId="31" w16cid:durableId="767506284">
    <w:abstractNumId w:val="10"/>
  </w:num>
  <w:num w:numId="32" w16cid:durableId="753089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403   no"/>
  </w:docVars>
  <w:rsids>
    <w:rsidRoot w:val="00D333AA"/>
    <w:rsid w:val="00001F7A"/>
    <w:rsid w:val="000050F7"/>
    <w:rsid w:val="000060A3"/>
    <w:rsid w:val="00007459"/>
    <w:rsid w:val="00017FD6"/>
    <w:rsid w:val="00022955"/>
    <w:rsid w:val="00033332"/>
    <w:rsid w:val="00033B6F"/>
    <w:rsid w:val="00035360"/>
    <w:rsid w:val="00042660"/>
    <w:rsid w:val="00044EB8"/>
    <w:rsid w:val="00046D8D"/>
    <w:rsid w:val="000478DF"/>
    <w:rsid w:val="00047E57"/>
    <w:rsid w:val="00051176"/>
    <w:rsid w:val="00052D1E"/>
    <w:rsid w:val="00052FB1"/>
    <w:rsid w:val="0005492A"/>
    <w:rsid w:val="0006177F"/>
    <w:rsid w:val="0006608A"/>
    <w:rsid w:val="0006653B"/>
    <w:rsid w:val="0007047A"/>
    <w:rsid w:val="00070FC4"/>
    <w:rsid w:val="000731FD"/>
    <w:rsid w:val="00083287"/>
    <w:rsid w:val="00084555"/>
    <w:rsid w:val="000846DA"/>
    <w:rsid w:val="00084C9A"/>
    <w:rsid w:val="00085DD4"/>
    <w:rsid w:val="00086556"/>
    <w:rsid w:val="000902FA"/>
    <w:rsid w:val="00090E4A"/>
    <w:rsid w:val="00092F83"/>
    <w:rsid w:val="000A0DDB"/>
    <w:rsid w:val="000A7091"/>
    <w:rsid w:val="000B1B97"/>
    <w:rsid w:val="000B48F4"/>
    <w:rsid w:val="000B4D73"/>
    <w:rsid w:val="000C5B25"/>
    <w:rsid w:val="000D13BE"/>
    <w:rsid w:val="000D18A4"/>
    <w:rsid w:val="000D1DD8"/>
    <w:rsid w:val="000D39F8"/>
    <w:rsid w:val="000D4283"/>
    <w:rsid w:val="000E06AB"/>
    <w:rsid w:val="000E0F42"/>
    <w:rsid w:val="000E196A"/>
    <w:rsid w:val="000E229A"/>
    <w:rsid w:val="000E3F88"/>
    <w:rsid w:val="000E5D9B"/>
    <w:rsid w:val="000E67C3"/>
    <w:rsid w:val="000E790D"/>
    <w:rsid w:val="000F1C86"/>
    <w:rsid w:val="000F6D2C"/>
    <w:rsid w:val="000F70A3"/>
    <w:rsid w:val="00100245"/>
    <w:rsid w:val="00102E05"/>
    <w:rsid w:val="0010786E"/>
    <w:rsid w:val="00110640"/>
    <w:rsid w:val="00110DE8"/>
    <w:rsid w:val="00111CE9"/>
    <w:rsid w:val="0011444D"/>
    <w:rsid w:val="00114820"/>
    <w:rsid w:val="00115DC2"/>
    <w:rsid w:val="001175D3"/>
    <w:rsid w:val="00124443"/>
    <w:rsid w:val="00130280"/>
    <w:rsid w:val="00130512"/>
    <w:rsid w:val="00133E0B"/>
    <w:rsid w:val="00136D3E"/>
    <w:rsid w:val="00140BFC"/>
    <w:rsid w:val="00141B2B"/>
    <w:rsid w:val="00152E73"/>
    <w:rsid w:val="00154D38"/>
    <w:rsid w:val="0015750C"/>
    <w:rsid w:val="001625AF"/>
    <w:rsid w:val="001631E8"/>
    <w:rsid w:val="00165932"/>
    <w:rsid w:val="00171327"/>
    <w:rsid w:val="0017414F"/>
    <w:rsid w:val="0017444F"/>
    <w:rsid w:val="00174CFC"/>
    <w:rsid w:val="00175935"/>
    <w:rsid w:val="00186875"/>
    <w:rsid w:val="00190CD0"/>
    <w:rsid w:val="00196518"/>
    <w:rsid w:val="00197C9A"/>
    <w:rsid w:val="001B0B67"/>
    <w:rsid w:val="001B206A"/>
    <w:rsid w:val="001B21E0"/>
    <w:rsid w:val="001C49AE"/>
    <w:rsid w:val="001C49D1"/>
    <w:rsid w:val="001D0265"/>
    <w:rsid w:val="001D0C92"/>
    <w:rsid w:val="001D3ECC"/>
    <w:rsid w:val="001D6837"/>
    <w:rsid w:val="001D684D"/>
    <w:rsid w:val="001F00B7"/>
    <w:rsid w:val="001F029A"/>
    <w:rsid w:val="001F0A5E"/>
    <w:rsid w:val="001F1C59"/>
    <w:rsid w:val="001F321B"/>
    <w:rsid w:val="001F45B7"/>
    <w:rsid w:val="001F7C26"/>
    <w:rsid w:val="00203AD4"/>
    <w:rsid w:val="00206E89"/>
    <w:rsid w:val="002078B3"/>
    <w:rsid w:val="00212D4A"/>
    <w:rsid w:val="002159BA"/>
    <w:rsid w:val="002175F2"/>
    <w:rsid w:val="0022009A"/>
    <w:rsid w:val="002204B4"/>
    <w:rsid w:val="00221C32"/>
    <w:rsid w:val="0022399B"/>
    <w:rsid w:val="00224428"/>
    <w:rsid w:val="00224A9A"/>
    <w:rsid w:val="00226677"/>
    <w:rsid w:val="0023190B"/>
    <w:rsid w:val="0023466C"/>
    <w:rsid w:val="002366B2"/>
    <w:rsid w:val="002405CB"/>
    <w:rsid w:val="00242A50"/>
    <w:rsid w:val="0024351A"/>
    <w:rsid w:val="0024351E"/>
    <w:rsid w:val="00245368"/>
    <w:rsid w:val="002465EB"/>
    <w:rsid w:val="00247D57"/>
    <w:rsid w:val="00247D5A"/>
    <w:rsid w:val="00252307"/>
    <w:rsid w:val="002529E6"/>
    <w:rsid w:val="002530DF"/>
    <w:rsid w:val="00256484"/>
    <w:rsid w:val="00260CCD"/>
    <w:rsid w:val="00262EE6"/>
    <w:rsid w:val="0026645A"/>
    <w:rsid w:val="00266B39"/>
    <w:rsid w:val="00271B83"/>
    <w:rsid w:val="0027405D"/>
    <w:rsid w:val="00275D17"/>
    <w:rsid w:val="00275FAA"/>
    <w:rsid w:val="00276C89"/>
    <w:rsid w:val="002771D9"/>
    <w:rsid w:val="002804AF"/>
    <w:rsid w:val="00282723"/>
    <w:rsid w:val="00286A1E"/>
    <w:rsid w:val="00287090"/>
    <w:rsid w:val="00287888"/>
    <w:rsid w:val="00290D43"/>
    <w:rsid w:val="00290F07"/>
    <w:rsid w:val="002922C1"/>
    <w:rsid w:val="002952E2"/>
    <w:rsid w:val="00296571"/>
    <w:rsid w:val="002A2921"/>
    <w:rsid w:val="002A4D97"/>
    <w:rsid w:val="002A67F0"/>
    <w:rsid w:val="002B1D29"/>
    <w:rsid w:val="002B60A3"/>
    <w:rsid w:val="002B6293"/>
    <w:rsid w:val="002B62A3"/>
    <w:rsid w:val="002B645E"/>
    <w:rsid w:val="002B6B13"/>
    <w:rsid w:val="002C10C6"/>
    <w:rsid w:val="002C12A0"/>
    <w:rsid w:val="002D1BAE"/>
    <w:rsid w:val="002D206A"/>
    <w:rsid w:val="002D2996"/>
    <w:rsid w:val="002D464B"/>
    <w:rsid w:val="002E698A"/>
    <w:rsid w:val="002F5BCB"/>
    <w:rsid w:val="00300C9D"/>
    <w:rsid w:val="00300F28"/>
    <w:rsid w:val="00301998"/>
    <w:rsid w:val="003067D4"/>
    <w:rsid w:val="003168FA"/>
    <w:rsid w:val="00316EC0"/>
    <w:rsid w:val="00317BB5"/>
    <w:rsid w:val="003402B9"/>
    <w:rsid w:val="003410B9"/>
    <w:rsid w:val="00341E39"/>
    <w:rsid w:val="00342541"/>
    <w:rsid w:val="003449DC"/>
    <w:rsid w:val="00344E3B"/>
    <w:rsid w:val="003508E4"/>
    <w:rsid w:val="003603CB"/>
    <w:rsid w:val="00366697"/>
    <w:rsid w:val="00367974"/>
    <w:rsid w:val="00373195"/>
    <w:rsid w:val="003742D9"/>
    <w:rsid w:val="00377238"/>
    <w:rsid w:val="00380845"/>
    <w:rsid w:val="00383023"/>
    <w:rsid w:val="00384C52"/>
    <w:rsid w:val="003935F4"/>
    <w:rsid w:val="00397877"/>
    <w:rsid w:val="003A023D"/>
    <w:rsid w:val="003A1BB1"/>
    <w:rsid w:val="003A390F"/>
    <w:rsid w:val="003A4CED"/>
    <w:rsid w:val="003B0938"/>
    <w:rsid w:val="003B46BD"/>
    <w:rsid w:val="003C0198"/>
    <w:rsid w:val="003C14F1"/>
    <w:rsid w:val="003D3C20"/>
    <w:rsid w:val="003D6E84"/>
    <w:rsid w:val="003E2241"/>
    <w:rsid w:val="003E3A9B"/>
    <w:rsid w:val="003E4161"/>
    <w:rsid w:val="003E7971"/>
    <w:rsid w:val="003F01FD"/>
    <w:rsid w:val="003F1935"/>
    <w:rsid w:val="003F4BE4"/>
    <w:rsid w:val="003F5509"/>
    <w:rsid w:val="003F7122"/>
    <w:rsid w:val="004010A5"/>
    <w:rsid w:val="004016F5"/>
    <w:rsid w:val="00404D8B"/>
    <w:rsid w:val="004050DF"/>
    <w:rsid w:val="004060FC"/>
    <w:rsid w:val="0041076E"/>
    <w:rsid w:val="00412A6B"/>
    <w:rsid w:val="004146D3"/>
    <w:rsid w:val="00415145"/>
    <w:rsid w:val="0041620E"/>
    <w:rsid w:val="00422338"/>
    <w:rsid w:val="00425650"/>
    <w:rsid w:val="00432732"/>
    <w:rsid w:val="0043547E"/>
    <w:rsid w:val="00436C8B"/>
    <w:rsid w:val="00446271"/>
    <w:rsid w:val="0045469F"/>
    <w:rsid w:val="00476A8F"/>
    <w:rsid w:val="00476F6F"/>
    <w:rsid w:val="0047761E"/>
    <w:rsid w:val="0048125C"/>
    <w:rsid w:val="004815AA"/>
    <w:rsid w:val="004820F9"/>
    <w:rsid w:val="004870E2"/>
    <w:rsid w:val="00491B96"/>
    <w:rsid w:val="00491C7E"/>
    <w:rsid w:val="0049367A"/>
    <w:rsid w:val="004964A7"/>
    <w:rsid w:val="0049665B"/>
    <w:rsid w:val="004A28CF"/>
    <w:rsid w:val="004A3E11"/>
    <w:rsid w:val="004A5E45"/>
    <w:rsid w:val="004B3707"/>
    <w:rsid w:val="004C043A"/>
    <w:rsid w:val="004C28A5"/>
    <w:rsid w:val="004C520C"/>
    <w:rsid w:val="004C5E53"/>
    <w:rsid w:val="004D0AAF"/>
    <w:rsid w:val="004E04B2"/>
    <w:rsid w:val="004E09CC"/>
    <w:rsid w:val="004E1DCE"/>
    <w:rsid w:val="004E27F6"/>
    <w:rsid w:val="004E3505"/>
    <w:rsid w:val="004E5FC1"/>
    <w:rsid w:val="004F0B24"/>
    <w:rsid w:val="004F1444"/>
    <w:rsid w:val="004F6283"/>
    <w:rsid w:val="004F74EB"/>
    <w:rsid w:val="005020EF"/>
    <w:rsid w:val="00502512"/>
    <w:rsid w:val="00510ACF"/>
    <w:rsid w:val="00513D7D"/>
    <w:rsid w:val="00515029"/>
    <w:rsid w:val="005225B4"/>
    <w:rsid w:val="005225EC"/>
    <w:rsid w:val="00525847"/>
    <w:rsid w:val="005337DD"/>
    <w:rsid w:val="00537FE8"/>
    <w:rsid w:val="00540E64"/>
    <w:rsid w:val="00545F48"/>
    <w:rsid w:val="005501CB"/>
    <w:rsid w:val="00550888"/>
    <w:rsid w:val="00552ADA"/>
    <w:rsid w:val="005530E6"/>
    <w:rsid w:val="00554C5A"/>
    <w:rsid w:val="00555D3D"/>
    <w:rsid w:val="005708C9"/>
    <w:rsid w:val="0057548A"/>
    <w:rsid w:val="0057724F"/>
    <w:rsid w:val="00581BAC"/>
    <w:rsid w:val="00582643"/>
    <w:rsid w:val="00582C0E"/>
    <w:rsid w:val="00583ACC"/>
    <w:rsid w:val="00585972"/>
    <w:rsid w:val="005871F1"/>
    <w:rsid w:val="00587C52"/>
    <w:rsid w:val="0059103C"/>
    <w:rsid w:val="00591774"/>
    <w:rsid w:val="00594DC3"/>
    <w:rsid w:val="005A119C"/>
    <w:rsid w:val="005A1FDF"/>
    <w:rsid w:val="005A2DE0"/>
    <w:rsid w:val="005A2FCB"/>
    <w:rsid w:val="005A3561"/>
    <w:rsid w:val="005A55A9"/>
    <w:rsid w:val="005A73EC"/>
    <w:rsid w:val="005B3B09"/>
    <w:rsid w:val="005B3BD7"/>
    <w:rsid w:val="005B4DEE"/>
    <w:rsid w:val="005B5436"/>
    <w:rsid w:val="005B7C4D"/>
    <w:rsid w:val="005D285D"/>
    <w:rsid w:val="005D3E2C"/>
    <w:rsid w:val="005E0397"/>
    <w:rsid w:val="005E0492"/>
    <w:rsid w:val="005E799F"/>
    <w:rsid w:val="005F0535"/>
    <w:rsid w:val="005F14F3"/>
    <w:rsid w:val="005F234C"/>
    <w:rsid w:val="005F3548"/>
    <w:rsid w:val="005F3D4A"/>
    <w:rsid w:val="005F50D9"/>
    <w:rsid w:val="005F52C9"/>
    <w:rsid w:val="0060157D"/>
    <w:rsid w:val="00602954"/>
    <w:rsid w:val="006048CC"/>
    <w:rsid w:val="00605C02"/>
    <w:rsid w:val="00606A38"/>
    <w:rsid w:val="00610B7C"/>
    <w:rsid w:val="00611C97"/>
    <w:rsid w:val="0061578E"/>
    <w:rsid w:val="00623460"/>
    <w:rsid w:val="00625ABA"/>
    <w:rsid w:val="00625CA1"/>
    <w:rsid w:val="006260FB"/>
    <w:rsid w:val="00630DAD"/>
    <w:rsid w:val="00631FF2"/>
    <w:rsid w:val="0063241D"/>
    <w:rsid w:val="00636C35"/>
    <w:rsid w:val="006423E7"/>
    <w:rsid w:val="00642C4D"/>
    <w:rsid w:val="00645F2F"/>
    <w:rsid w:val="006460A9"/>
    <w:rsid w:val="00647919"/>
    <w:rsid w:val="00651F1E"/>
    <w:rsid w:val="00652A75"/>
    <w:rsid w:val="006555A7"/>
    <w:rsid w:val="00662D30"/>
    <w:rsid w:val="00662D9E"/>
    <w:rsid w:val="00664392"/>
    <w:rsid w:val="00665007"/>
    <w:rsid w:val="006651E2"/>
    <w:rsid w:val="006729D2"/>
    <w:rsid w:val="00694B93"/>
    <w:rsid w:val="00695F5D"/>
    <w:rsid w:val="00696594"/>
    <w:rsid w:val="006A1832"/>
    <w:rsid w:val="006A37AB"/>
    <w:rsid w:val="006A3F03"/>
    <w:rsid w:val="006A49ED"/>
    <w:rsid w:val="006A581A"/>
    <w:rsid w:val="006A757E"/>
    <w:rsid w:val="006C35A6"/>
    <w:rsid w:val="006C388A"/>
    <w:rsid w:val="006C5448"/>
    <w:rsid w:val="006C6B58"/>
    <w:rsid w:val="006C6BFC"/>
    <w:rsid w:val="006C733A"/>
    <w:rsid w:val="006D2890"/>
    <w:rsid w:val="006D601A"/>
    <w:rsid w:val="006D6547"/>
    <w:rsid w:val="006D732B"/>
    <w:rsid w:val="006D7D7C"/>
    <w:rsid w:val="006E04EA"/>
    <w:rsid w:val="006E2710"/>
    <w:rsid w:val="006E27F5"/>
    <w:rsid w:val="006E2F15"/>
    <w:rsid w:val="006E383C"/>
    <w:rsid w:val="006E5B66"/>
    <w:rsid w:val="006F1B3F"/>
    <w:rsid w:val="006F2902"/>
    <w:rsid w:val="006F3AB9"/>
    <w:rsid w:val="006F5AC8"/>
    <w:rsid w:val="006F7A32"/>
    <w:rsid w:val="007024C3"/>
    <w:rsid w:val="007068A1"/>
    <w:rsid w:val="00711E25"/>
    <w:rsid w:val="00716CC3"/>
    <w:rsid w:val="007170C2"/>
    <w:rsid w:val="00717EDA"/>
    <w:rsid w:val="0072366D"/>
    <w:rsid w:val="00731495"/>
    <w:rsid w:val="00736501"/>
    <w:rsid w:val="00742797"/>
    <w:rsid w:val="00744FA6"/>
    <w:rsid w:val="00751A23"/>
    <w:rsid w:val="00751E3D"/>
    <w:rsid w:val="007555E2"/>
    <w:rsid w:val="007601B0"/>
    <w:rsid w:val="00763004"/>
    <w:rsid w:val="00770879"/>
    <w:rsid w:val="00774F02"/>
    <w:rsid w:val="00775D2E"/>
    <w:rsid w:val="007767FA"/>
    <w:rsid w:val="0078363B"/>
    <w:rsid w:val="00784360"/>
    <w:rsid w:val="00793C37"/>
    <w:rsid w:val="007952A3"/>
    <w:rsid w:val="0079694B"/>
    <w:rsid w:val="00797D41"/>
    <w:rsid w:val="007A0939"/>
    <w:rsid w:val="007A2C47"/>
    <w:rsid w:val="007B24D8"/>
    <w:rsid w:val="007B3A03"/>
    <w:rsid w:val="007C2596"/>
    <w:rsid w:val="007C3F8C"/>
    <w:rsid w:val="007C42FA"/>
    <w:rsid w:val="007E025C"/>
    <w:rsid w:val="007E1760"/>
    <w:rsid w:val="007E5A2B"/>
    <w:rsid w:val="007E615D"/>
    <w:rsid w:val="007E7C76"/>
    <w:rsid w:val="007F1506"/>
    <w:rsid w:val="007F200A"/>
    <w:rsid w:val="007F2B5C"/>
    <w:rsid w:val="007F50F8"/>
    <w:rsid w:val="00800AA9"/>
    <w:rsid w:val="00803980"/>
    <w:rsid w:val="008040DA"/>
    <w:rsid w:val="008056AC"/>
    <w:rsid w:val="008107E3"/>
    <w:rsid w:val="00811FAB"/>
    <w:rsid w:val="00820548"/>
    <w:rsid w:val="0082192E"/>
    <w:rsid w:val="00824097"/>
    <w:rsid w:val="0082512E"/>
    <w:rsid w:val="00826AB1"/>
    <w:rsid w:val="00830DDC"/>
    <w:rsid w:val="00834C6F"/>
    <w:rsid w:val="00834E44"/>
    <w:rsid w:val="00836B9A"/>
    <w:rsid w:val="008420F0"/>
    <w:rsid w:val="00842C80"/>
    <w:rsid w:val="0084389E"/>
    <w:rsid w:val="00844390"/>
    <w:rsid w:val="00845863"/>
    <w:rsid w:val="00846E59"/>
    <w:rsid w:val="00851A49"/>
    <w:rsid w:val="008528B3"/>
    <w:rsid w:val="00855E52"/>
    <w:rsid w:val="00860A6B"/>
    <w:rsid w:val="008766FF"/>
    <w:rsid w:val="008813B2"/>
    <w:rsid w:val="00885442"/>
    <w:rsid w:val="00891733"/>
    <w:rsid w:val="008936C2"/>
    <w:rsid w:val="00894378"/>
    <w:rsid w:val="00896D71"/>
    <w:rsid w:val="008A0D35"/>
    <w:rsid w:val="008B03E0"/>
    <w:rsid w:val="008B2C00"/>
    <w:rsid w:val="008B54C0"/>
    <w:rsid w:val="008B5750"/>
    <w:rsid w:val="008B576F"/>
    <w:rsid w:val="008B7AFE"/>
    <w:rsid w:val="008C00D3"/>
    <w:rsid w:val="008C06FF"/>
    <w:rsid w:val="008C0CB8"/>
    <w:rsid w:val="008C2187"/>
    <w:rsid w:val="008D5A15"/>
    <w:rsid w:val="008D6543"/>
    <w:rsid w:val="008D6C5B"/>
    <w:rsid w:val="008D70C3"/>
    <w:rsid w:val="008E6680"/>
    <w:rsid w:val="008E7921"/>
    <w:rsid w:val="008F1DDB"/>
    <w:rsid w:val="008F49C5"/>
    <w:rsid w:val="008F4A69"/>
    <w:rsid w:val="008F68F5"/>
    <w:rsid w:val="009031FF"/>
    <w:rsid w:val="009036F8"/>
    <w:rsid w:val="009045E1"/>
    <w:rsid w:val="00904D77"/>
    <w:rsid w:val="0090621C"/>
    <w:rsid w:val="00910214"/>
    <w:rsid w:val="00910E5E"/>
    <w:rsid w:val="00915982"/>
    <w:rsid w:val="00916C67"/>
    <w:rsid w:val="00921EF8"/>
    <w:rsid w:val="00922A0A"/>
    <w:rsid w:val="00924C4F"/>
    <w:rsid w:val="0092775B"/>
    <w:rsid w:val="0093413A"/>
    <w:rsid w:val="00934DE5"/>
    <w:rsid w:val="00935881"/>
    <w:rsid w:val="009406D2"/>
    <w:rsid w:val="00940BB9"/>
    <w:rsid w:val="00942A92"/>
    <w:rsid w:val="009560C1"/>
    <w:rsid w:val="009577A8"/>
    <w:rsid w:val="00966112"/>
    <w:rsid w:val="009679E5"/>
    <w:rsid w:val="00971345"/>
    <w:rsid w:val="00973A99"/>
    <w:rsid w:val="00974874"/>
    <w:rsid w:val="009751DC"/>
    <w:rsid w:val="009752DC"/>
    <w:rsid w:val="0097547F"/>
    <w:rsid w:val="00975DC3"/>
    <w:rsid w:val="00977987"/>
    <w:rsid w:val="00980E3B"/>
    <w:rsid w:val="00982106"/>
    <w:rsid w:val="00986420"/>
    <w:rsid w:val="00992553"/>
    <w:rsid w:val="009A2F60"/>
    <w:rsid w:val="009A40EA"/>
    <w:rsid w:val="009A4744"/>
    <w:rsid w:val="009A7CDC"/>
    <w:rsid w:val="009B1AD8"/>
    <w:rsid w:val="009B3305"/>
    <w:rsid w:val="009B4921"/>
    <w:rsid w:val="009B56BC"/>
    <w:rsid w:val="009C06F8"/>
    <w:rsid w:val="009C2675"/>
    <w:rsid w:val="009C2995"/>
    <w:rsid w:val="009C40DA"/>
    <w:rsid w:val="009C5F4B"/>
    <w:rsid w:val="009D5B52"/>
    <w:rsid w:val="009D779F"/>
    <w:rsid w:val="009E3A1C"/>
    <w:rsid w:val="009F05F2"/>
    <w:rsid w:val="009F07B1"/>
    <w:rsid w:val="009F10A2"/>
    <w:rsid w:val="00A033BF"/>
    <w:rsid w:val="00A065F4"/>
    <w:rsid w:val="00A07C2B"/>
    <w:rsid w:val="00A1593C"/>
    <w:rsid w:val="00A16154"/>
    <w:rsid w:val="00A25205"/>
    <w:rsid w:val="00A30BD0"/>
    <w:rsid w:val="00A313D3"/>
    <w:rsid w:val="00A333FB"/>
    <w:rsid w:val="00A35369"/>
    <w:rsid w:val="00A3644E"/>
    <w:rsid w:val="00A37651"/>
    <w:rsid w:val="00A41C88"/>
    <w:rsid w:val="00A43D2C"/>
    <w:rsid w:val="00A470BB"/>
    <w:rsid w:val="00A5345B"/>
    <w:rsid w:val="00A6056D"/>
    <w:rsid w:val="00A60CE5"/>
    <w:rsid w:val="00A62069"/>
    <w:rsid w:val="00A640CC"/>
    <w:rsid w:val="00A6636E"/>
    <w:rsid w:val="00A70C5E"/>
    <w:rsid w:val="00A712B8"/>
    <w:rsid w:val="00A712C6"/>
    <w:rsid w:val="00A76704"/>
    <w:rsid w:val="00A77698"/>
    <w:rsid w:val="00A777B7"/>
    <w:rsid w:val="00A81042"/>
    <w:rsid w:val="00A81F2D"/>
    <w:rsid w:val="00A82F77"/>
    <w:rsid w:val="00A82F9D"/>
    <w:rsid w:val="00A90C12"/>
    <w:rsid w:val="00A96F0A"/>
    <w:rsid w:val="00AA3649"/>
    <w:rsid w:val="00AB407C"/>
    <w:rsid w:val="00AB7376"/>
    <w:rsid w:val="00AC6DC8"/>
    <w:rsid w:val="00AD6DAF"/>
    <w:rsid w:val="00AD7F55"/>
    <w:rsid w:val="00AE1BA2"/>
    <w:rsid w:val="00AE3085"/>
    <w:rsid w:val="00AE3848"/>
    <w:rsid w:val="00AE57A3"/>
    <w:rsid w:val="00AF0606"/>
    <w:rsid w:val="00AF071B"/>
    <w:rsid w:val="00AF37D8"/>
    <w:rsid w:val="00AF4AEF"/>
    <w:rsid w:val="00AF7C72"/>
    <w:rsid w:val="00B11EE0"/>
    <w:rsid w:val="00B128FD"/>
    <w:rsid w:val="00B2025B"/>
    <w:rsid w:val="00B2500C"/>
    <w:rsid w:val="00B27F52"/>
    <w:rsid w:val="00B300C4"/>
    <w:rsid w:val="00B31D5A"/>
    <w:rsid w:val="00B32937"/>
    <w:rsid w:val="00B42BB6"/>
    <w:rsid w:val="00B43689"/>
    <w:rsid w:val="00B465D6"/>
    <w:rsid w:val="00B467E6"/>
    <w:rsid w:val="00B46BD0"/>
    <w:rsid w:val="00B50494"/>
    <w:rsid w:val="00B52510"/>
    <w:rsid w:val="00B535F2"/>
    <w:rsid w:val="00B615C7"/>
    <w:rsid w:val="00B74282"/>
    <w:rsid w:val="00B748D2"/>
    <w:rsid w:val="00B75635"/>
    <w:rsid w:val="00B75BE6"/>
    <w:rsid w:val="00B760B1"/>
    <w:rsid w:val="00B769C3"/>
    <w:rsid w:val="00B77259"/>
    <w:rsid w:val="00B811DE"/>
    <w:rsid w:val="00B8181A"/>
    <w:rsid w:val="00B8261E"/>
    <w:rsid w:val="00B85905"/>
    <w:rsid w:val="00B93312"/>
    <w:rsid w:val="00B935D9"/>
    <w:rsid w:val="00B94592"/>
    <w:rsid w:val="00BA11C5"/>
    <w:rsid w:val="00BA41A7"/>
    <w:rsid w:val="00BA4EB5"/>
    <w:rsid w:val="00BA584D"/>
    <w:rsid w:val="00BA6649"/>
    <w:rsid w:val="00BB0FDB"/>
    <w:rsid w:val="00BB347B"/>
    <w:rsid w:val="00BB4C6A"/>
    <w:rsid w:val="00BB5424"/>
    <w:rsid w:val="00BC1D7E"/>
    <w:rsid w:val="00BC2833"/>
    <w:rsid w:val="00BD03DC"/>
    <w:rsid w:val="00BD10E1"/>
    <w:rsid w:val="00BD1ED4"/>
    <w:rsid w:val="00BD4E9A"/>
    <w:rsid w:val="00BD6F6D"/>
    <w:rsid w:val="00BE0EBB"/>
    <w:rsid w:val="00BE1628"/>
    <w:rsid w:val="00BE25DC"/>
    <w:rsid w:val="00BE72A5"/>
    <w:rsid w:val="00BF03DE"/>
    <w:rsid w:val="00BF0F5C"/>
    <w:rsid w:val="00BF19DA"/>
    <w:rsid w:val="00BF2CEC"/>
    <w:rsid w:val="00BF30BC"/>
    <w:rsid w:val="00BF4506"/>
    <w:rsid w:val="00BF70B0"/>
    <w:rsid w:val="00BF7733"/>
    <w:rsid w:val="00C142D6"/>
    <w:rsid w:val="00C144BC"/>
    <w:rsid w:val="00C20AFD"/>
    <w:rsid w:val="00C21FFE"/>
    <w:rsid w:val="00C2259A"/>
    <w:rsid w:val="00C242F2"/>
    <w:rsid w:val="00C251AD"/>
    <w:rsid w:val="00C25C2B"/>
    <w:rsid w:val="00C3056B"/>
    <w:rsid w:val="00C310A2"/>
    <w:rsid w:val="00C33407"/>
    <w:rsid w:val="00C3628A"/>
    <w:rsid w:val="00C4015D"/>
    <w:rsid w:val="00C40E5D"/>
    <w:rsid w:val="00C421AD"/>
    <w:rsid w:val="00C4228E"/>
    <w:rsid w:val="00C4300F"/>
    <w:rsid w:val="00C46EF7"/>
    <w:rsid w:val="00C520F1"/>
    <w:rsid w:val="00C54279"/>
    <w:rsid w:val="00C54364"/>
    <w:rsid w:val="00C60F15"/>
    <w:rsid w:val="00C62002"/>
    <w:rsid w:val="00C63F9F"/>
    <w:rsid w:val="00C64A3D"/>
    <w:rsid w:val="00C654FA"/>
    <w:rsid w:val="00C66297"/>
    <w:rsid w:val="00C74D6D"/>
    <w:rsid w:val="00C7785F"/>
    <w:rsid w:val="00C817B6"/>
    <w:rsid w:val="00C829B3"/>
    <w:rsid w:val="00C84CB8"/>
    <w:rsid w:val="00C86A9B"/>
    <w:rsid w:val="00C92897"/>
    <w:rsid w:val="00C930F0"/>
    <w:rsid w:val="00C96323"/>
    <w:rsid w:val="00C97CD7"/>
    <w:rsid w:val="00CB0F7E"/>
    <w:rsid w:val="00CB3A53"/>
    <w:rsid w:val="00CC69A5"/>
    <w:rsid w:val="00CD18DB"/>
    <w:rsid w:val="00CD754E"/>
    <w:rsid w:val="00CE10DA"/>
    <w:rsid w:val="00CE17BF"/>
    <w:rsid w:val="00CE2E92"/>
    <w:rsid w:val="00CE654B"/>
    <w:rsid w:val="00CF2E07"/>
    <w:rsid w:val="00CF3942"/>
    <w:rsid w:val="00CF4C6C"/>
    <w:rsid w:val="00CF57B3"/>
    <w:rsid w:val="00D05225"/>
    <w:rsid w:val="00D07A7F"/>
    <w:rsid w:val="00D129CF"/>
    <w:rsid w:val="00D165D2"/>
    <w:rsid w:val="00D224BE"/>
    <w:rsid w:val="00D24AFE"/>
    <w:rsid w:val="00D2642C"/>
    <w:rsid w:val="00D3075D"/>
    <w:rsid w:val="00D313CF"/>
    <w:rsid w:val="00D32AEC"/>
    <w:rsid w:val="00D333AA"/>
    <w:rsid w:val="00D35567"/>
    <w:rsid w:val="00D415F5"/>
    <w:rsid w:val="00D418FB"/>
    <w:rsid w:val="00D46695"/>
    <w:rsid w:val="00D46DAB"/>
    <w:rsid w:val="00D50B3E"/>
    <w:rsid w:val="00D55961"/>
    <w:rsid w:val="00D577C0"/>
    <w:rsid w:val="00D60C11"/>
    <w:rsid w:val="00D60EE3"/>
    <w:rsid w:val="00D61633"/>
    <w:rsid w:val="00D62ED7"/>
    <w:rsid w:val="00D63746"/>
    <w:rsid w:val="00D67640"/>
    <w:rsid w:val="00D72572"/>
    <w:rsid w:val="00D72A07"/>
    <w:rsid w:val="00D81FE9"/>
    <w:rsid w:val="00D8292A"/>
    <w:rsid w:val="00D84239"/>
    <w:rsid w:val="00D863CD"/>
    <w:rsid w:val="00D8641B"/>
    <w:rsid w:val="00D90774"/>
    <w:rsid w:val="00D91247"/>
    <w:rsid w:val="00D95388"/>
    <w:rsid w:val="00D96E15"/>
    <w:rsid w:val="00DA639C"/>
    <w:rsid w:val="00DA6A5D"/>
    <w:rsid w:val="00DA6A8C"/>
    <w:rsid w:val="00DA7381"/>
    <w:rsid w:val="00DB1FE1"/>
    <w:rsid w:val="00DB3AFA"/>
    <w:rsid w:val="00DB3E3C"/>
    <w:rsid w:val="00DB6976"/>
    <w:rsid w:val="00DB6C40"/>
    <w:rsid w:val="00DC3B81"/>
    <w:rsid w:val="00DC3E2D"/>
    <w:rsid w:val="00DD14FA"/>
    <w:rsid w:val="00DD310A"/>
    <w:rsid w:val="00DD3173"/>
    <w:rsid w:val="00DE3533"/>
    <w:rsid w:val="00DE534A"/>
    <w:rsid w:val="00DE7067"/>
    <w:rsid w:val="00DE7850"/>
    <w:rsid w:val="00DE79ED"/>
    <w:rsid w:val="00DE7E62"/>
    <w:rsid w:val="00DF237A"/>
    <w:rsid w:val="00DF3E65"/>
    <w:rsid w:val="00DF56EC"/>
    <w:rsid w:val="00DF5BFC"/>
    <w:rsid w:val="00E05BB2"/>
    <w:rsid w:val="00E07C6C"/>
    <w:rsid w:val="00E120CF"/>
    <w:rsid w:val="00E13506"/>
    <w:rsid w:val="00E13751"/>
    <w:rsid w:val="00E139B6"/>
    <w:rsid w:val="00E1646D"/>
    <w:rsid w:val="00E172A1"/>
    <w:rsid w:val="00E241F5"/>
    <w:rsid w:val="00E27EF9"/>
    <w:rsid w:val="00E363F0"/>
    <w:rsid w:val="00E36451"/>
    <w:rsid w:val="00E40C84"/>
    <w:rsid w:val="00E411BD"/>
    <w:rsid w:val="00E423BF"/>
    <w:rsid w:val="00E42699"/>
    <w:rsid w:val="00E430EA"/>
    <w:rsid w:val="00E43345"/>
    <w:rsid w:val="00E4351A"/>
    <w:rsid w:val="00E44B62"/>
    <w:rsid w:val="00E506FB"/>
    <w:rsid w:val="00E541EA"/>
    <w:rsid w:val="00E56426"/>
    <w:rsid w:val="00E56B9E"/>
    <w:rsid w:val="00E62725"/>
    <w:rsid w:val="00E67709"/>
    <w:rsid w:val="00E73481"/>
    <w:rsid w:val="00E73ACA"/>
    <w:rsid w:val="00E8047E"/>
    <w:rsid w:val="00E8576B"/>
    <w:rsid w:val="00E903C1"/>
    <w:rsid w:val="00E97290"/>
    <w:rsid w:val="00EA2FC2"/>
    <w:rsid w:val="00EA6D5D"/>
    <w:rsid w:val="00EA7590"/>
    <w:rsid w:val="00EB0C3E"/>
    <w:rsid w:val="00EC012C"/>
    <w:rsid w:val="00EC2C4D"/>
    <w:rsid w:val="00EC7B88"/>
    <w:rsid w:val="00EC7D84"/>
    <w:rsid w:val="00ED14CA"/>
    <w:rsid w:val="00ED6F27"/>
    <w:rsid w:val="00ED75F0"/>
    <w:rsid w:val="00EE5920"/>
    <w:rsid w:val="00EE65CF"/>
    <w:rsid w:val="00EF0987"/>
    <w:rsid w:val="00EF353E"/>
    <w:rsid w:val="00EF7CED"/>
    <w:rsid w:val="00EF7EB3"/>
    <w:rsid w:val="00F0198D"/>
    <w:rsid w:val="00F01E13"/>
    <w:rsid w:val="00F02BAF"/>
    <w:rsid w:val="00F03DA3"/>
    <w:rsid w:val="00F07F0E"/>
    <w:rsid w:val="00F10108"/>
    <w:rsid w:val="00F11A5B"/>
    <w:rsid w:val="00F1734D"/>
    <w:rsid w:val="00F215B9"/>
    <w:rsid w:val="00F222F0"/>
    <w:rsid w:val="00F24D2F"/>
    <w:rsid w:val="00F2697E"/>
    <w:rsid w:val="00F31961"/>
    <w:rsid w:val="00F32F14"/>
    <w:rsid w:val="00F36025"/>
    <w:rsid w:val="00F41C6F"/>
    <w:rsid w:val="00F431F9"/>
    <w:rsid w:val="00F44519"/>
    <w:rsid w:val="00F47702"/>
    <w:rsid w:val="00F47B69"/>
    <w:rsid w:val="00F54A4D"/>
    <w:rsid w:val="00F5602B"/>
    <w:rsid w:val="00F5608E"/>
    <w:rsid w:val="00F6175E"/>
    <w:rsid w:val="00F61F16"/>
    <w:rsid w:val="00F623B8"/>
    <w:rsid w:val="00F637A6"/>
    <w:rsid w:val="00F63B7F"/>
    <w:rsid w:val="00F66FEE"/>
    <w:rsid w:val="00F708E8"/>
    <w:rsid w:val="00F71A0F"/>
    <w:rsid w:val="00F757ED"/>
    <w:rsid w:val="00F77541"/>
    <w:rsid w:val="00F81C34"/>
    <w:rsid w:val="00F87391"/>
    <w:rsid w:val="00F87DB6"/>
    <w:rsid w:val="00F91CD8"/>
    <w:rsid w:val="00F94E80"/>
    <w:rsid w:val="00FA0FC6"/>
    <w:rsid w:val="00FA151A"/>
    <w:rsid w:val="00FA2B29"/>
    <w:rsid w:val="00FA30D7"/>
    <w:rsid w:val="00FA5164"/>
    <w:rsid w:val="00FA5671"/>
    <w:rsid w:val="00FA5F5C"/>
    <w:rsid w:val="00FA6612"/>
    <w:rsid w:val="00FA7F8A"/>
    <w:rsid w:val="00FB1B28"/>
    <w:rsid w:val="00FB3C2D"/>
    <w:rsid w:val="00FB5C1F"/>
    <w:rsid w:val="00FB79DD"/>
    <w:rsid w:val="00FC4787"/>
    <w:rsid w:val="00FC4B37"/>
    <w:rsid w:val="00FD0461"/>
    <w:rsid w:val="00FD0963"/>
    <w:rsid w:val="00FD1184"/>
    <w:rsid w:val="00FD37DA"/>
    <w:rsid w:val="00FE2FA7"/>
    <w:rsid w:val="00FE3B0D"/>
    <w:rsid w:val="00FE591C"/>
    <w:rsid w:val="00FE676A"/>
    <w:rsid w:val="00FE6F62"/>
    <w:rsid w:val="00FF0DA9"/>
    <w:rsid w:val="00FF19FC"/>
    <w:rsid w:val="00FF1F34"/>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F58A9"/>
  <w15:docId w15:val="{9B0852A9-22BA-4F3E-9AA6-110EF71E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customStyle="1" w:styleId="Mencinsinresolver1">
    <w:name w:val="Mención sin resolver1"/>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character" w:customStyle="1" w:styleId="tw4winMark">
    <w:name w:val="tw4winMark"/>
    <w:basedOn w:val="Fontepargpadro"/>
    <w:rsid w:val="00F54A4D"/>
    <w:rPr>
      <w:rFonts w:ascii="Courier New" w:hAnsi="Courier New" w:cs="Courier New"/>
      <w:b w:val="0"/>
      <w:i w:val="0"/>
      <w:dstrike w:val="0"/>
      <w:noProof/>
      <w:vanish/>
      <w:color w:val="800080"/>
      <w:sz w:val="18"/>
      <w:szCs w:val="18"/>
      <w:effect w:val="none"/>
      <w:vertAlign w:val="subscript"/>
      <w:lang w:val="pt-BR"/>
    </w:rPr>
  </w:style>
  <w:style w:type="paragraph" w:styleId="Reviso">
    <w:name w:val="Revision"/>
    <w:hidden/>
    <w:uiPriority w:val="99"/>
    <w:semiHidden/>
    <w:rsid w:val="004D0AAF"/>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2B4DC458E52244BCFB0697C2454E67" ma:contentTypeVersion="4" ma:contentTypeDescription="Create a new document." ma:contentTypeScope="" ma:versionID="0ed51cb85d1cb94961641d4265b3c28a">
  <xsd:schema xmlns:xsd="http://www.w3.org/2001/XMLSchema" xmlns:xs="http://www.w3.org/2001/XMLSchema" xmlns:p="http://schemas.microsoft.com/office/2006/metadata/properties" xmlns:ns2="3a078605-0223-4d47-ad88-a3adb89f9d5a" xmlns:ns3="caa88bda-fdb9-4ca7-9e26-a2ea0134c2bc" targetNamespace="http://schemas.microsoft.com/office/2006/metadata/properties" ma:root="true" ma:fieldsID="2e5bbb8f5bde903e4cf57f581b4516b5" ns2:_="" ns3:_="">
    <xsd:import namespace="3a078605-0223-4d47-ad88-a3adb89f9d5a"/>
    <xsd:import namespace="caa88bda-fdb9-4ca7-9e26-a2ea0134c2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78605-0223-4d47-ad88-a3adb89f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8bda-fdb9-4ca7-9e26-a2ea0134c2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F29C88E9-2ECE-4133-BB53-FC35B610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78605-0223-4d47-ad88-a3adb89f9d5a"/>
    <ds:schemaRef ds:uri="caa88bda-fdb9-4ca7-9e26-a2ea0134c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8365</Characters>
  <Application>Microsoft Office Word</Application>
  <DocSecurity>0</DocSecurity>
  <Lines>69</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 Evonik</vt:lpstr>
      <vt:lpstr>Pressemitteilung Evonik</vt:lpstr>
    </vt:vector>
  </TitlesOfParts>
  <Company>Via Pública Comunicação</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1Trim 2023</dc:subject>
  <dc:creator>Taís Augusto</dc:creator>
  <dc:description>Maio 2023</dc:description>
  <cp:lastModifiedBy>Taís Augusto</cp:lastModifiedBy>
  <cp:revision>2</cp:revision>
  <cp:lastPrinted>2023-05-03T09:53:00Z</cp:lastPrinted>
  <dcterms:created xsi:type="dcterms:W3CDTF">2023-05-11T16:55:00Z</dcterms:created>
  <dcterms:modified xsi:type="dcterms:W3CDTF">2023-05-11T16:55:00Z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0x010100EA2B4DC458E52244BCFB0697C2454E67</vt:lpwstr>
  </property>
  <property fmtid="{D5CDD505-2E9C-101B-9397-08002B2CF9AE}" pid="3" name="GrammarlyDocumentId">
    <vt:lpwstr>df2a02883c9dea0e535fa20941158634a014b1fba5fcc277cf1087fe9f185e93</vt:lpwstr>
  </property>
  <property fmtid="{D5CDD505-2E9C-101B-9397-08002B2CF9AE}" pid="4" name="MSIP_Label_29871acb-3e8e-4cf1-928b-53cb657a6025_ActionId">
    <vt:lpwstr>39b3b1ca-ba2c-49bb-94bc-0b4c794d204b</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2021-03-04T06:14:36Z</vt:lpwstr>
  </property>
  <property fmtid="{D5CDD505-2E9C-101B-9397-08002B2CF9AE}" pid="10" name="MSIP_Label_29871acb-3e8e-4cf1-928b-53cb657a6025_SiteId">
    <vt:lpwstr>acf01cd9-ddd4-4522-a2c3-ebcadef31fbb</vt:lpwstr>
  </property>
</Properties>
</file>