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02EF" w14:textId="46FF52EC" w:rsidR="000E2897" w:rsidRPr="00D3234F" w:rsidRDefault="000E2897" w:rsidP="002952A9">
      <w:pPr>
        <w:pStyle w:val="Ttulo"/>
        <w:rPr>
          <w:lang w:val="pt-BR"/>
        </w:rPr>
      </w:pPr>
      <w:bookmarkStart w:id="0" w:name="_Int_q3zN2eWu"/>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E2897" w:rsidRPr="00D919B4" w14:paraId="17499013" w14:textId="77777777" w:rsidTr="00251EF9">
        <w:trPr>
          <w:trHeight w:val="851"/>
        </w:trPr>
        <w:tc>
          <w:tcPr>
            <w:tcW w:w="2552" w:type="dxa"/>
            <w:shd w:val="clear" w:color="auto" w:fill="auto"/>
          </w:tcPr>
          <w:p w14:paraId="69648BA0" w14:textId="57A98ADA" w:rsidR="000E2897" w:rsidRPr="008D6C5B" w:rsidRDefault="000E2897" w:rsidP="00251EF9">
            <w:pPr>
              <w:pStyle w:val="M7"/>
              <w:framePr w:wrap="auto" w:vAnchor="margin" w:hAnchor="text" w:xAlign="left" w:yAlign="inline"/>
              <w:suppressOverlap w:val="0"/>
              <w:rPr>
                <w:b w:val="0"/>
                <w:sz w:val="18"/>
                <w:szCs w:val="18"/>
                <w:lang w:val="pt-BR"/>
              </w:rPr>
            </w:pPr>
            <w:r>
              <w:rPr>
                <w:b w:val="0"/>
                <w:sz w:val="18"/>
                <w:szCs w:val="18"/>
                <w:lang w:val="pt-BR"/>
              </w:rPr>
              <w:t>0</w:t>
            </w:r>
            <w:r w:rsidR="00C85F63">
              <w:rPr>
                <w:b w:val="0"/>
                <w:sz w:val="18"/>
                <w:szCs w:val="18"/>
                <w:lang w:val="pt-BR"/>
              </w:rPr>
              <w:t>7</w:t>
            </w:r>
            <w:r w:rsidRPr="008D6C5B">
              <w:rPr>
                <w:b w:val="0"/>
                <w:sz w:val="18"/>
                <w:szCs w:val="18"/>
                <w:lang w:val="pt-BR"/>
              </w:rPr>
              <w:t xml:space="preserve"> de</w:t>
            </w:r>
            <w:r>
              <w:rPr>
                <w:b w:val="0"/>
                <w:sz w:val="18"/>
                <w:szCs w:val="18"/>
                <w:lang w:val="pt-BR"/>
              </w:rPr>
              <w:t xml:space="preserve"> </w:t>
            </w:r>
            <w:proofErr w:type="spellStart"/>
            <w:r>
              <w:rPr>
                <w:b w:val="0"/>
                <w:sz w:val="18"/>
                <w:szCs w:val="18"/>
                <w:lang w:val="pt-BR"/>
              </w:rPr>
              <w:t>mar</w:t>
            </w:r>
            <w:r w:rsidR="00FE4ADA">
              <w:rPr>
                <w:b w:val="0"/>
                <w:sz w:val="18"/>
                <w:szCs w:val="18"/>
                <w:lang w:val="pt-BR"/>
              </w:rPr>
              <w:t>zo</w:t>
            </w:r>
            <w:proofErr w:type="spellEnd"/>
            <w:r>
              <w:rPr>
                <w:b w:val="0"/>
                <w:sz w:val="18"/>
                <w:szCs w:val="18"/>
                <w:lang w:val="pt-BR"/>
              </w:rPr>
              <w:t xml:space="preserve"> </w:t>
            </w:r>
            <w:r w:rsidRPr="008D6C5B">
              <w:rPr>
                <w:b w:val="0"/>
                <w:sz w:val="18"/>
                <w:szCs w:val="18"/>
                <w:lang w:val="pt-BR"/>
              </w:rPr>
              <w:t>de 20</w:t>
            </w:r>
            <w:r>
              <w:rPr>
                <w:b w:val="0"/>
                <w:sz w:val="18"/>
                <w:szCs w:val="18"/>
                <w:lang w:val="pt-BR"/>
              </w:rPr>
              <w:t>2</w:t>
            </w:r>
            <w:r w:rsidR="00E32E6C">
              <w:rPr>
                <w:b w:val="0"/>
                <w:sz w:val="18"/>
                <w:szCs w:val="18"/>
                <w:lang w:val="pt-BR"/>
              </w:rPr>
              <w:t>4</w:t>
            </w:r>
          </w:p>
          <w:p w14:paraId="514D5C41" w14:textId="77777777" w:rsidR="000E2897" w:rsidRPr="008D6C5B" w:rsidRDefault="000E2897" w:rsidP="00251EF9">
            <w:pPr>
              <w:pStyle w:val="M7"/>
              <w:framePr w:wrap="auto" w:vAnchor="margin" w:hAnchor="text" w:xAlign="left" w:yAlign="inline"/>
              <w:suppressOverlap w:val="0"/>
              <w:rPr>
                <w:lang w:val="pt-BR"/>
              </w:rPr>
            </w:pPr>
          </w:p>
          <w:p w14:paraId="1FD90F5E" w14:textId="77777777" w:rsidR="000E2897" w:rsidRPr="008D6C5B" w:rsidRDefault="000E2897" w:rsidP="00251EF9">
            <w:pPr>
              <w:pStyle w:val="M7"/>
              <w:framePr w:wrap="auto" w:vAnchor="margin" w:hAnchor="text" w:xAlign="left" w:yAlign="inline"/>
              <w:suppressOverlap w:val="0"/>
              <w:rPr>
                <w:lang w:val="pt-BR"/>
              </w:rPr>
            </w:pPr>
          </w:p>
          <w:p w14:paraId="652F563F" w14:textId="77777777" w:rsidR="000E2897" w:rsidRPr="008D6C5B" w:rsidRDefault="000E2897" w:rsidP="00251EF9">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640CAB91" w14:textId="77777777" w:rsidR="000E2897" w:rsidRPr="008D6C5B" w:rsidRDefault="000E2897" w:rsidP="00251EF9">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551EBD1B" w14:textId="77777777" w:rsidR="000E2897" w:rsidRPr="00D919B4" w:rsidRDefault="000E2897" w:rsidP="00251EF9">
            <w:pPr>
              <w:pStyle w:val="M10"/>
              <w:framePr w:wrap="auto" w:vAnchor="margin" w:hAnchor="text" w:xAlign="left" w:yAlign="inline"/>
              <w:suppressOverlap w:val="0"/>
              <w:rPr>
                <w:lang w:val="pt-BR"/>
              </w:rPr>
            </w:pPr>
            <w:r w:rsidRPr="008D6C5B">
              <w:rPr>
                <w:rFonts w:eastAsia="Lucida Sans Unicode" w:cs="Lucida Sans Unicode"/>
                <w:szCs w:val="13"/>
                <w:bdr w:val="nil"/>
                <w:lang w:val="pt-BR"/>
              </w:rPr>
              <w:t xml:space="preserve">regina.barbara@evonik.com </w:t>
            </w:r>
          </w:p>
        </w:tc>
      </w:tr>
      <w:tr w:rsidR="000E2897" w:rsidRPr="00D919B4" w14:paraId="47F9F722" w14:textId="77777777" w:rsidTr="00251EF9">
        <w:trPr>
          <w:trHeight w:val="851"/>
        </w:trPr>
        <w:tc>
          <w:tcPr>
            <w:tcW w:w="2552" w:type="dxa"/>
            <w:shd w:val="clear" w:color="auto" w:fill="auto"/>
          </w:tcPr>
          <w:p w14:paraId="7C28E584" w14:textId="77777777" w:rsidR="000E2897" w:rsidRPr="00D919B4" w:rsidRDefault="000E2897" w:rsidP="00251EF9">
            <w:pPr>
              <w:pStyle w:val="M10"/>
              <w:framePr w:wrap="auto" w:vAnchor="margin" w:hAnchor="text" w:xAlign="left" w:yAlign="inline"/>
              <w:suppressOverlap w:val="0"/>
              <w:rPr>
                <w:lang w:val="pt-BR"/>
              </w:rPr>
            </w:pPr>
          </w:p>
        </w:tc>
      </w:tr>
    </w:tbl>
    <w:p w14:paraId="2A58203D" w14:textId="3C40CB54" w:rsidR="00FE4ADA" w:rsidRPr="00FE4ADA" w:rsidRDefault="00FE4ADA" w:rsidP="00FE4ADA">
      <w:pPr>
        <w:pStyle w:val="Ttulo"/>
        <w:rPr>
          <w:sz w:val="28"/>
          <w:szCs w:val="28"/>
          <w:lang w:val="es-419"/>
        </w:rPr>
      </w:pPr>
      <w:bookmarkStart w:id="1" w:name="RANGE!B37:N47"/>
      <w:bookmarkEnd w:id="0"/>
      <w:bookmarkEnd w:id="1"/>
      <w:r w:rsidRPr="00FE4ADA">
        <w:rPr>
          <w:sz w:val="28"/>
          <w:szCs w:val="28"/>
          <w:lang w:val="es-419"/>
        </w:rPr>
        <w:t xml:space="preserve">Evonik cumple </w:t>
      </w:r>
      <w:r w:rsidR="00C85F63">
        <w:rPr>
          <w:sz w:val="28"/>
          <w:szCs w:val="28"/>
          <w:lang w:val="es-419"/>
        </w:rPr>
        <w:t>previsión</w:t>
      </w:r>
      <w:r w:rsidRPr="00FE4ADA">
        <w:rPr>
          <w:sz w:val="28"/>
          <w:szCs w:val="28"/>
          <w:lang w:val="es-419"/>
        </w:rPr>
        <w:t xml:space="preserve"> para 2023 y espera mayores beneficios en 2024</w:t>
      </w:r>
    </w:p>
    <w:p w14:paraId="11D988B9" w14:textId="77777777" w:rsidR="00FE4ADA" w:rsidRPr="00DF2967" w:rsidRDefault="00FE4ADA" w:rsidP="00FE4ADA">
      <w:pPr>
        <w:pStyle w:val="Ttulo"/>
        <w:rPr>
          <w:lang w:val="es-419"/>
        </w:rPr>
      </w:pPr>
    </w:p>
    <w:p w14:paraId="615EDC66" w14:textId="7AA9383D" w:rsidR="00FE4ADA" w:rsidRPr="00DF2967" w:rsidRDefault="00FE4ADA" w:rsidP="00FE4ADA">
      <w:pPr>
        <w:numPr>
          <w:ilvl w:val="0"/>
          <w:numId w:val="32"/>
        </w:numPr>
        <w:tabs>
          <w:tab w:val="clear" w:pos="1425"/>
          <w:tab w:val="num" w:pos="340"/>
        </w:tabs>
        <w:ind w:left="340" w:right="85" w:hanging="340"/>
        <w:rPr>
          <w:rFonts w:cs="Lucida Sans Unicode"/>
          <w:sz w:val="24"/>
          <w:lang w:val="es-419"/>
        </w:rPr>
      </w:pPr>
      <w:bookmarkStart w:id="2" w:name="_Int_QOJLMmQ5"/>
      <w:r w:rsidRPr="00DF2967">
        <w:rPr>
          <w:rFonts w:cs="Lucida Sans Unicode"/>
          <w:sz w:val="24"/>
          <w:lang w:val="es-419"/>
        </w:rPr>
        <w:t>EBITDA ajustado</w:t>
      </w:r>
      <w:bookmarkEnd w:id="2"/>
      <w:r w:rsidRPr="00DF2967">
        <w:rPr>
          <w:rFonts w:cs="Lucida Sans Unicode"/>
          <w:sz w:val="24"/>
          <w:lang w:val="es-419"/>
        </w:rPr>
        <w:t xml:space="preserve"> de 1.660 millones de euros</w:t>
      </w:r>
      <w:r w:rsidR="00C85F63">
        <w:rPr>
          <w:rFonts w:cs="Lucida Sans Unicode"/>
          <w:sz w:val="24"/>
          <w:lang w:val="es-419"/>
        </w:rPr>
        <w:t xml:space="preserve"> y </w:t>
      </w:r>
      <w:r w:rsidRPr="00DF2967">
        <w:rPr>
          <w:rFonts w:cs="Lucida Sans Unicode"/>
          <w:sz w:val="24"/>
          <w:lang w:val="es-419"/>
        </w:rPr>
        <w:t>ventas de 15.300</w:t>
      </w:r>
      <w:bookmarkStart w:id="3" w:name="_Int_p1MT1cay"/>
      <w:r w:rsidRPr="00DF2967">
        <w:rPr>
          <w:rFonts w:cs="Lucida Sans Unicode"/>
          <w:sz w:val="24"/>
          <w:lang w:val="es-419"/>
        </w:rPr>
        <w:t xml:space="preserve"> millones de euros</w:t>
      </w:r>
      <w:bookmarkEnd w:id="3"/>
      <w:r w:rsidR="00C85F63">
        <w:rPr>
          <w:rFonts w:cs="Lucida Sans Unicode"/>
          <w:sz w:val="24"/>
          <w:lang w:val="es-419"/>
        </w:rPr>
        <w:t xml:space="preserve"> en 2023</w:t>
      </w:r>
    </w:p>
    <w:p w14:paraId="0F3A21EE" w14:textId="77777777" w:rsidR="00FE4ADA" w:rsidRPr="00DF2967" w:rsidRDefault="00FE4ADA" w:rsidP="00FE4ADA">
      <w:pPr>
        <w:numPr>
          <w:ilvl w:val="0"/>
          <w:numId w:val="32"/>
        </w:numPr>
        <w:tabs>
          <w:tab w:val="clear" w:pos="1425"/>
          <w:tab w:val="num" w:pos="340"/>
        </w:tabs>
        <w:ind w:left="340" w:right="85" w:hanging="340"/>
        <w:rPr>
          <w:b/>
          <w:bCs/>
          <w:lang w:val="es-419"/>
        </w:rPr>
      </w:pPr>
      <w:r w:rsidRPr="00DF2967">
        <w:rPr>
          <w:rFonts w:cs="Lucida Sans Unicode"/>
          <w:sz w:val="24"/>
          <w:lang w:val="es-419"/>
        </w:rPr>
        <w:t>Perspectivas para 2024: EBITDA ajustado entre 1.700 y 2.000 millones de euros</w:t>
      </w:r>
    </w:p>
    <w:p w14:paraId="44345804" w14:textId="755AE621" w:rsidR="00FE4ADA" w:rsidRPr="00DF2967" w:rsidRDefault="00C85F63" w:rsidP="00FE4ADA">
      <w:pPr>
        <w:numPr>
          <w:ilvl w:val="0"/>
          <w:numId w:val="32"/>
        </w:numPr>
        <w:tabs>
          <w:tab w:val="clear" w:pos="1425"/>
          <w:tab w:val="num" w:pos="340"/>
        </w:tabs>
        <w:ind w:left="340" w:right="85" w:hanging="340"/>
        <w:rPr>
          <w:b/>
          <w:bCs/>
          <w:lang w:val="es-419"/>
        </w:rPr>
      </w:pPr>
      <w:r>
        <w:rPr>
          <w:rFonts w:cs="Lucida Sans Unicode"/>
          <w:sz w:val="24"/>
          <w:lang w:val="es-419"/>
        </w:rPr>
        <w:t>O</w:t>
      </w:r>
      <w:r w:rsidR="00FE4ADA" w:rsidRPr="00DF2967">
        <w:rPr>
          <w:rFonts w:cs="Lucida Sans Unicode"/>
          <w:sz w:val="24"/>
          <w:lang w:val="es-419"/>
        </w:rPr>
        <w:t>bjetivo</w:t>
      </w:r>
      <w:r>
        <w:rPr>
          <w:rFonts w:cs="Lucida Sans Unicode"/>
          <w:sz w:val="24"/>
          <w:lang w:val="es-419"/>
        </w:rPr>
        <w:t>s establecidos</w:t>
      </w:r>
      <w:r w:rsidR="00FE4ADA" w:rsidRPr="00DF2967">
        <w:rPr>
          <w:rFonts w:cs="Lucida Sans Unicode"/>
          <w:sz w:val="24"/>
          <w:lang w:val="es-419"/>
        </w:rPr>
        <w:t xml:space="preserve"> para el programa "Evonik </w:t>
      </w:r>
      <w:proofErr w:type="spellStart"/>
      <w:r w:rsidR="00FE4ADA" w:rsidRPr="00DF2967">
        <w:rPr>
          <w:rFonts w:cs="Lucida Sans Unicode"/>
          <w:sz w:val="24"/>
          <w:lang w:val="es-419"/>
        </w:rPr>
        <w:t>Tailor</w:t>
      </w:r>
      <w:proofErr w:type="spellEnd"/>
      <w:r w:rsidR="00FE4ADA" w:rsidRPr="00DF2967">
        <w:rPr>
          <w:rFonts w:cs="Lucida Sans Unicode"/>
          <w:sz w:val="24"/>
          <w:lang w:val="es-419"/>
        </w:rPr>
        <w:t xml:space="preserve"> </w:t>
      </w:r>
      <w:proofErr w:type="spellStart"/>
      <w:r w:rsidR="00FE4ADA" w:rsidRPr="00DF2967">
        <w:rPr>
          <w:rFonts w:cs="Lucida Sans Unicode"/>
          <w:sz w:val="24"/>
          <w:lang w:val="es-419"/>
        </w:rPr>
        <w:t>Made</w:t>
      </w:r>
      <w:proofErr w:type="spellEnd"/>
      <w:r w:rsidR="00FE4ADA" w:rsidRPr="00DF2967">
        <w:rPr>
          <w:rFonts w:cs="Lucida Sans Unicode"/>
          <w:sz w:val="24"/>
          <w:lang w:val="es-419"/>
        </w:rPr>
        <w:t xml:space="preserve">": </w:t>
      </w:r>
      <w:r>
        <w:rPr>
          <w:rFonts w:cs="Lucida Sans Unicode"/>
          <w:sz w:val="24"/>
          <w:lang w:val="es-419"/>
        </w:rPr>
        <w:t>m</w:t>
      </w:r>
      <w:r w:rsidR="00FE4ADA" w:rsidRPr="00DF2967">
        <w:rPr>
          <w:rFonts w:cs="Lucida Sans Unicode"/>
          <w:sz w:val="24"/>
          <w:lang w:val="es-419"/>
        </w:rPr>
        <w:t xml:space="preserve">enos niveles de gestión, decisiones más rápidas </w:t>
      </w:r>
      <w:bookmarkStart w:id="4" w:name="_Int_oBVwZTAc"/>
      <w:bookmarkEnd w:id="4"/>
    </w:p>
    <w:p w14:paraId="27215FE8" w14:textId="77777777" w:rsidR="00FE4ADA" w:rsidRDefault="00FE4ADA" w:rsidP="00C85F63">
      <w:pPr>
        <w:ind w:right="85"/>
        <w:rPr>
          <w:b/>
          <w:bCs/>
          <w:lang w:val="es-419"/>
        </w:rPr>
      </w:pPr>
    </w:p>
    <w:p w14:paraId="46690193" w14:textId="53AC2D54" w:rsidR="00FE4ADA" w:rsidRPr="00DF2967" w:rsidRDefault="00FE4ADA" w:rsidP="00FE4ADA">
      <w:pPr>
        <w:rPr>
          <w:lang w:val="es-419"/>
        </w:rPr>
      </w:pPr>
      <w:bookmarkStart w:id="5" w:name="SNWID_6c28a25f61a34939b81e1e62de012fa8"/>
      <w:r w:rsidRPr="00DF2967">
        <w:rPr>
          <w:lang w:val="es-419"/>
        </w:rPr>
        <w:t>Evonik cumplió la previsión para 2023</w:t>
      </w:r>
      <w:r w:rsidR="00C85F63">
        <w:rPr>
          <w:lang w:val="es-419"/>
        </w:rPr>
        <w:t>,</w:t>
      </w:r>
      <w:r w:rsidRPr="00DF2967">
        <w:rPr>
          <w:lang w:val="es-419"/>
        </w:rPr>
        <w:t xml:space="preserve"> a pesar de un entorno continuamente difícil. El EBITDA ajustado de la empresa de especialidades químicas ascendió a 1.660 millones de euros, dentro del</w:t>
      </w:r>
      <w:r w:rsidR="00420C4D">
        <w:rPr>
          <w:lang w:val="es-419"/>
        </w:rPr>
        <w:t xml:space="preserve"> rango </w:t>
      </w:r>
      <w:r w:rsidRPr="00DF2967">
        <w:rPr>
          <w:lang w:val="es-419"/>
        </w:rPr>
        <w:t>previst</w:t>
      </w:r>
      <w:r w:rsidR="00420C4D">
        <w:rPr>
          <w:lang w:val="es-419"/>
        </w:rPr>
        <w:t>o</w:t>
      </w:r>
      <w:r w:rsidRPr="00DF2967">
        <w:rPr>
          <w:lang w:val="es-419"/>
        </w:rPr>
        <w:t xml:space="preserve"> de entre 1.600 y 1.800 millones de euros. Las ventas del Grupo cayeron un 17%, hasta 15.300 millones de euros, también dentro del</w:t>
      </w:r>
      <w:r w:rsidR="00420C4D">
        <w:rPr>
          <w:lang w:val="es-419"/>
        </w:rPr>
        <w:t xml:space="preserve"> rango </w:t>
      </w:r>
      <w:r w:rsidRPr="00DF2967">
        <w:rPr>
          <w:lang w:val="es-419"/>
        </w:rPr>
        <w:t>previst</w:t>
      </w:r>
      <w:r w:rsidR="00420C4D">
        <w:rPr>
          <w:lang w:val="es-419"/>
        </w:rPr>
        <w:t>o</w:t>
      </w:r>
      <w:r w:rsidRPr="00DF2967">
        <w:rPr>
          <w:lang w:val="es-419"/>
        </w:rPr>
        <w:t xml:space="preserve"> de entre 14.000 y 16.000 millones de euros.</w:t>
      </w:r>
    </w:p>
    <w:p w14:paraId="456E4A61" w14:textId="77777777" w:rsidR="00FE4ADA" w:rsidRPr="00DF2967" w:rsidRDefault="00FE4ADA" w:rsidP="00FE4ADA">
      <w:pPr>
        <w:rPr>
          <w:lang w:val="es-419"/>
        </w:rPr>
      </w:pPr>
    </w:p>
    <w:p w14:paraId="42ED3B38" w14:textId="1870B0E1" w:rsidR="00C85F63" w:rsidRDefault="00FE4ADA" w:rsidP="00FE4ADA">
      <w:pPr>
        <w:rPr>
          <w:lang w:val="es-419"/>
        </w:rPr>
      </w:pPr>
      <w:r w:rsidRPr="00DF2967">
        <w:rPr>
          <w:lang w:val="es-419"/>
        </w:rPr>
        <w:t>"Las numerosas crisis en todo el mundo han hecho mella en nuestros resultados", afirm</w:t>
      </w:r>
      <w:r w:rsidR="00420C4D">
        <w:rPr>
          <w:lang w:val="es-419"/>
        </w:rPr>
        <w:t>ó</w:t>
      </w:r>
      <w:r w:rsidRPr="00DF2967">
        <w:rPr>
          <w:lang w:val="es-419"/>
        </w:rPr>
        <w:t xml:space="preserve"> Christian </w:t>
      </w:r>
      <w:proofErr w:type="spellStart"/>
      <w:r w:rsidRPr="00DF2967">
        <w:rPr>
          <w:lang w:val="es-419"/>
        </w:rPr>
        <w:t>Kullmann</w:t>
      </w:r>
      <w:proofErr w:type="spellEnd"/>
      <w:r w:rsidRPr="00DF2967">
        <w:rPr>
          <w:lang w:val="es-419"/>
        </w:rPr>
        <w:t xml:space="preserve">, </w:t>
      </w:r>
      <w:proofErr w:type="gramStart"/>
      <w:r w:rsidRPr="00DF2967">
        <w:rPr>
          <w:lang w:val="es-419"/>
        </w:rPr>
        <w:t>Presidente</w:t>
      </w:r>
      <w:proofErr w:type="gramEnd"/>
      <w:r w:rsidRPr="00DF2967">
        <w:rPr>
          <w:lang w:val="es-419"/>
        </w:rPr>
        <w:t xml:space="preserve"> del Comité Ejecutivo. </w:t>
      </w:r>
      <w:r w:rsidR="00C85F63" w:rsidRPr="00C85F63">
        <w:rPr>
          <w:lang w:val="es-419"/>
        </w:rPr>
        <w:t>"Afrontamos los desafíos con el esfuerzo de todos nuestros empleados. Sin embargo, las condiciones generales no serán más fáciles, por lo que continuaremos con la reestructuración fundamental del Grupo".</w:t>
      </w:r>
    </w:p>
    <w:p w14:paraId="2916C969" w14:textId="77777777" w:rsidR="00C85F63" w:rsidRPr="00DF2967" w:rsidRDefault="00C85F63" w:rsidP="00FE4ADA">
      <w:pPr>
        <w:rPr>
          <w:lang w:val="es-419"/>
        </w:rPr>
      </w:pPr>
    </w:p>
    <w:p w14:paraId="12E85B18" w14:textId="1DA9945C" w:rsidR="00FE4ADA" w:rsidRPr="00DF2967" w:rsidRDefault="00420C4D" w:rsidP="00FE4ADA">
      <w:pPr>
        <w:rPr>
          <w:lang w:val="es-419"/>
        </w:rPr>
      </w:pPr>
      <w:r>
        <w:rPr>
          <w:lang w:val="es-419"/>
        </w:rPr>
        <w:t xml:space="preserve">Poner el foco en </w:t>
      </w:r>
      <w:r w:rsidR="00FE4ADA" w:rsidRPr="00DF2967">
        <w:rPr>
          <w:lang w:val="es-419"/>
        </w:rPr>
        <w:t xml:space="preserve">la gestión de la liquidez </w:t>
      </w:r>
      <w:r>
        <w:rPr>
          <w:lang w:val="es-419"/>
        </w:rPr>
        <w:t xml:space="preserve">fue </w:t>
      </w:r>
      <w:r w:rsidR="00FE4ADA" w:rsidRPr="00DF2967">
        <w:rPr>
          <w:lang w:val="es-419"/>
        </w:rPr>
        <w:t>muy fructífer</w:t>
      </w:r>
      <w:r>
        <w:rPr>
          <w:lang w:val="es-419"/>
        </w:rPr>
        <w:t>o</w:t>
      </w:r>
      <w:r w:rsidR="00FE4ADA" w:rsidRPr="00DF2967">
        <w:rPr>
          <w:lang w:val="es-419"/>
        </w:rPr>
        <w:t>. El flujo de caja libre en 2023 ascendió a 801 millones de euros</w:t>
      </w:r>
      <w:r w:rsidR="00FE4ADA" w:rsidRPr="00DF2967">
        <w:rPr>
          <w:rFonts w:cs="Lucida Sans Unicode"/>
          <w:lang w:val="es-419"/>
        </w:rPr>
        <w:t xml:space="preserve">, </w:t>
      </w:r>
      <w:r w:rsidR="00FE4ADA" w:rsidRPr="00DF2967">
        <w:rPr>
          <w:lang w:val="es-419"/>
        </w:rPr>
        <w:t>incluso más que el año anterior</w:t>
      </w:r>
      <w:r w:rsidR="00FE4ADA" w:rsidRPr="00DF2967">
        <w:rPr>
          <w:rFonts w:cs="Lucida Sans Unicode"/>
          <w:lang w:val="es-419"/>
        </w:rPr>
        <w:t xml:space="preserve">, </w:t>
      </w:r>
      <w:r w:rsidR="00FE4ADA" w:rsidRPr="00DF2967">
        <w:rPr>
          <w:lang w:val="es-419"/>
        </w:rPr>
        <w:t xml:space="preserve">gracias a una gestión prudente del capital </w:t>
      </w:r>
      <w:r>
        <w:rPr>
          <w:lang w:val="es-419"/>
        </w:rPr>
        <w:t xml:space="preserve">neto </w:t>
      </w:r>
      <w:r w:rsidR="00FE4ADA" w:rsidRPr="00DF2967">
        <w:rPr>
          <w:lang w:val="es-419"/>
        </w:rPr>
        <w:t xml:space="preserve">circulante y a una estricta disciplina de inversión. El índice de conversión de efectivo, la relación entre el flujo de caja libre y el EBITDA ajustado, alcanzó un sólido 48%. En 2022 fue del 32%. Los pagos por inversiones en </w:t>
      </w:r>
      <w:r>
        <w:rPr>
          <w:lang w:val="es-419"/>
        </w:rPr>
        <w:t xml:space="preserve">material </w:t>
      </w:r>
      <w:r w:rsidR="00FE4ADA" w:rsidRPr="00DF2967">
        <w:rPr>
          <w:lang w:val="es-419"/>
        </w:rPr>
        <w:t>inmovilizado se redujeron a 793 millones de euros en 2023, frente a 865 millones de euros en 2022. Evonik también alcanzó su objetivo de ahorro para 2023 de 250 millones de euros mediante medidas para salvaguardar los beneficios.</w:t>
      </w:r>
    </w:p>
    <w:p w14:paraId="76FB733E" w14:textId="77777777" w:rsidR="00FE4ADA" w:rsidRPr="00DF2967" w:rsidRDefault="00FE4ADA" w:rsidP="00FE4ADA">
      <w:pPr>
        <w:rPr>
          <w:lang w:val="es-419"/>
        </w:rPr>
      </w:pPr>
    </w:p>
    <w:p w14:paraId="27811553" w14:textId="4D7C669B" w:rsidR="00FE4ADA" w:rsidRPr="00DF2967" w:rsidRDefault="00FE4ADA" w:rsidP="00FE4ADA">
      <w:pPr>
        <w:rPr>
          <w:lang w:val="es-419"/>
        </w:rPr>
      </w:pPr>
      <w:r w:rsidRPr="00DF2967">
        <w:rPr>
          <w:lang w:val="es-419"/>
        </w:rPr>
        <w:t xml:space="preserve">"En tiempos difíciles, lo primero es mantener </w:t>
      </w:r>
      <w:r w:rsidR="00420C4D">
        <w:rPr>
          <w:lang w:val="es-419"/>
        </w:rPr>
        <w:t>la caja</w:t>
      </w:r>
      <w:r w:rsidRPr="00DF2967">
        <w:rPr>
          <w:lang w:val="es-419"/>
        </w:rPr>
        <w:t>", afirm</w:t>
      </w:r>
      <w:r w:rsidR="00420C4D">
        <w:rPr>
          <w:lang w:val="es-419"/>
        </w:rPr>
        <w:t>ó</w:t>
      </w:r>
      <w:r w:rsidRPr="00DF2967">
        <w:rPr>
          <w:lang w:val="es-419"/>
        </w:rPr>
        <w:t xml:space="preserve"> </w:t>
      </w:r>
      <w:proofErr w:type="spellStart"/>
      <w:r w:rsidRPr="00DF2967">
        <w:rPr>
          <w:lang w:val="es-419"/>
        </w:rPr>
        <w:t>Maike</w:t>
      </w:r>
      <w:proofErr w:type="spellEnd"/>
      <w:r w:rsidRPr="00DF2967">
        <w:rPr>
          <w:lang w:val="es-419"/>
        </w:rPr>
        <w:t xml:space="preserve"> </w:t>
      </w:r>
      <w:proofErr w:type="spellStart"/>
      <w:r w:rsidRPr="00DF2967">
        <w:rPr>
          <w:lang w:val="es-419"/>
        </w:rPr>
        <w:t>Schuh</w:t>
      </w:r>
      <w:proofErr w:type="spellEnd"/>
      <w:r w:rsidRPr="00DF2967">
        <w:rPr>
          <w:lang w:val="es-419"/>
        </w:rPr>
        <w:t xml:space="preserve">, </w:t>
      </w:r>
      <w:proofErr w:type="gramStart"/>
      <w:r w:rsidRPr="00DF2967">
        <w:rPr>
          <w:lang w:val="es-419"/>
        </w:rPr>
        <w:t>Directora</w:t>
      </w:r>
      <w:proofErr w:type="gramEnd"/>
      <w:r w:rsidRPr="00DF2967">
        <w:rPr>
          <w:lang w:val="es-419"/>
        </w:rPr>
        <w:t xml:space="preserve"> Financiera de Evonik. "Hemos conservado </w:t>
      </w:r>
      <w:r w:rsidRPr="00DF2967">
        <w:rPr>
          <w:lang w:val="es-419"/>
        </w:rPr>
        <w:lastRenderedPageBreak/>
        <w:t xml:space="preserve">nuestra capacidad de actuación. </w:t>
      </w:r>
      <w:r w:rsidR="00420C4D">
        <w:rPr>
          <w:lang w:val="es-419"/>
        </w:rPr>
        <w:t xml:space="preserve">Por momentos </w:t>
      </w:r>
      <w:r w:rsidR="000F061A" w:rsidRPr="000F061A">
        <w:rPr>
          <w:lang w:val="es-419"/>
        </w:rPr>
        <w:t>fue un desafío</w:t>
      </w:r>
      <w:r w:rsidRPr="00DF2967">
        <w:rPr>
          <w:lang w:val="es-419"/>
        </w:rPr>
        <w:t>, pero también fue un éxito. Por tanto, continuaremos con estas medidas en el año en curso".</w:t>
      </w:r>
    </w:p>
    <w:p w14:paraId="6685EACD" w14:textId="77777777" w:rsidR="000F061A" w:rsidRPr="00DF2967" w:rsidRDefault="000F061A" w:rsidP="00FE4ADA">
      <w:pPr>
        <w:rPr>
          <w:lang w:val="es-419"/>
        </w:rPr>
      </w:pPr>
    </w:p>
    <w:p w14:paraId="2D3E8489" w14:textId="37A23A4E" w:rsidR="00FE4ADA" w:rsidRPr="00DF2967" w:rsidRDefault="00FE4ADA" w:rsidP="00FE4ADA">
      <w:pPr>
        <w:rPr>
          <w:lang w:val="es-419"/>
        </w:rPr>
      </w:pPr>
      <w:r w:rsidRPr="00DF2967">
        <w:rPr>
          <w:lang w:val="es-419"/>
        </w:rPr>
        <w:t xml:space="preserve">El Consejo Ejecutivo propondrá a la Junta General de Accionistas del 4 de junio un dividendo anual sin cambios de 1,17 euros por acción. Esto corresponde a una rentabilidad por dividendo muy atractiva de alrededor del 7%. "La continuidad de los dividendos es crucial para nuestros inversores a largo plazo", afirma </w:t>
      </w:r>
      <w:proofErr w:type="spellStart"/>
      <w:r w:rsidRPr="00DF2967">
        <w:rPr>
          <w:lang w:val="es-419"/>
        </w:rPr>
        <w:t>Schuh</w:t>
      </w:r>
      <w:proofErr w:type="spellEnd"/>
      <w:r w:rsidRPr="00DF2967">
        <w:rPr>
          <w:lang w:val="es-419"/>
        </w:rPr>
        <w:t>. "Nuestro flujo de caja libre nos permite mantenernos fieles a nuestra reputación de valores con los mejores dividendos</w:t>
      </w:r>
      <w:r w:rsidR="00420C4D">
        <w:rPr>
          <w:lang w:val="es-419"/>
        </w:rPr>
        <w:t>,</w:t>
      </w:r>
      <w:r w:rsidRPr="00DF2967">
        <w:rPr>
          <w:lang w:val="es-419"/>
        </w:rPr>
        <w:t xml:space="preserve"> incluso en un entorno difícil".</w:t>
      </w:r>
    </w:p>
    <w:p w14:paraId="526F57DB" w14:textId="77777777" w:rsidR="00FE4ADA" w:rsidRPr="00DF2967" w:rsidRDefault="00FE4ADA" w:rsidP="00FE4ADA">
      <w:pPr>
        <w:rPr>
          <w:lang w:val="es-419"/>
        </w:rPr>
      </w:pPr>
    </w:p>
    <w:p w14:paraId="148A4F78" w14:textId="5A9691FF" w:rsidR="00FE4ADA" w:rsidRPr="00DF2967" w:rsidRDefault="00FE4ADA" w:rsidP="00FE4ADA">
      <w:pPr>
        <w:rPr>
          <w:lang w:val="es-419"/>
        </w:rPr>
      </w:pPr>
      <w:r w:rsidRPr="00DF2967">
        <w:rPr>
          <w:lang w:val="es-419"/>
        </w:rPr>
        <w:t>Los volúmenes vendidos reflejaron las condiciones desfavorables</w:t>
      </w:r>
      <w:r w:rsidR="00420C4D">
        <w:rPr>
          <w:lang w:val="es-419"/>
        </w:rPr>
        <w:t>: c</w:t>
      </w:r>
      <w:r w:rsidRPr="00DF2967">
        <w:rPr>
          <w:lang w:val="es-419"/>
        </w:rPr>
        <w:t>ayeron un 8% en 2023. Los precios de venta bajaron un 3%. Evonik registró una pérdida neta de 465 millones de euros debido a las pérdidas de valor excepcionalmente elevadas y a las cargas derivadas de las medidas estructurales, la mayoría de las cuales se produjeron antes del 30 de septiembre. El año anterior, Evonik registró un beneficio neto de 540 millones de euros.</w:t>
      </w:r>
    </w:p>
    <w:p w14:paraId="19175915" w14:textId="77777777" w:rsidR="00FE4ADA" w:rsidRPr="00DF2967" w:rsidRDefault="00FE4ADA" w:rsidP="00FE4ADA">
      <w:pPr>
        <w:rPr>
          <w:lang w:val="es-419"/>
        </w:rPr>
      </w:pPr>
    </w:p>
    <w:p w14:paraId="2FC12DBB" w14:textId="5D6BD467" w:rsidR="00FE4ADA" w:rsidRPr="00DF2967" w:rsidRDefault="00FE4ADA" w:rsidP="00FE4ADA">
      <w:pPr>
        <w:rPr>
          <w:lang w:val="es-419"/>
        </w:rPr>
      </w:pPr>
      <w:r w:rsidRPr="00DF2967">
        <w:rPr>
          <w:lang w:val="es-419"/>
        </w:rPr>
        <w:t xml:space="preserve">Evonik no espera una recuperación económica durante 2024. Por lo tanto, los gastos de capital se limitarán a unos 750 millones de euros. La empresa prevé un aumento del EBITDA ajustado de entre 1.700 y 2.000 millones de euros, con unas ventas de entre 15.000 y 17.000 millones de euros. El índice de conversión de efectivo debería situarse en torno al 40%. </w:t>
      </w:r>
    </w:p>
    <w:p w14:paraId="21043421" w14:textId="77777777" w:rsidR="00FE4ADA" w:rsidRPr="00DF2967" w:rsidRDefault="00FE4ADA" w:rsidP="00FE4ADA">
      <w:pPr>
        <w:rPr>
          <w:lang w:val="es-419"/>
        </w:rPr>
      </w:pPr>
    </w:p>
    <w:p w14:paraId="39509D9F" w14:textId="42FC10E2" w:rsidR="00FE4ADA" w:rsidRPr="00DF2967" w:rsidRDefault="00FE4ADA" w:rsidP="00FE4ADA">
      <w:pPr>
        <w:rPr>
          <w:lang w:val="es-419"/>
        </w:rPr>
      </w:pPr>
      <w:r w:rsidRPr="00DF2967">
        <w:rPr>
          <w:lang w:val="es-419"/>
        </w:rPr>
        <w:t xml:space="preserve">"No debemos engañarnos, aunque haya leves indicios de recuperación: </w:t>
      </w:r>
      <w:r w:rsidR="00420C4D">
        <w:rPr>
          <w:lang w:val="es-419"/>
        </w:rPr>
        <w:t>l</w:t>
      </w:r>
      <w:r w:rsidRPr="00DF2967">
        <w:rPr>
          <w:lang w:val="es-419"/>
        </w:rPr>
        <w:t xml:space="preserve">o que estamos experimentando actualmente no son fluctuaciones cíclicas, sino cambios </w:t>
      </w:r>
      <w:r w:rsidR="000F061A">
        <w:rPr>
          <w:lang w:val="es-419"/>
        </w:rPr>
        <w:t>significativo</w:t>
      </w:r>
      <w:r w:rsidRPr="00DF2967">
        <w:rPr>
          <w:lang w:val="es-419"/>
        </w:rPr>
        <w:t>s y consecuentes de nuestro entorno económico", afirm</w:t>
      </w:r>
      <w:r w:rsidR="00420C4D">
        <w:rPr>
          <w:lang w:val="es-419"/>
        </w:rPr>
        <w:t>a</w:t>
      </w:r>
      <w:r w:rsidRPr="00DF2967">
        <w:rPr>
          <w:lang w:val="es-419"/>
        </w:rPr>
        <w:t xml:space="preserve"> </w:t>
      </w:r>
      <w:proofErr w:type="spellStart"/>
      <w:r w:rsidRPr="00DF2967">
        <w:rPr>
          <w:lang w:val="es-419"/>
        </w:rPr>
        <w:t>Kullmann</w:t>
      </w:r>
      <w:bookmarkStart w:id="6" w:name="_Hlk159600886"/>
      <w:proofErr w:type="spellEnd"/>
      <w:r>
        <w:rPr>
          <w:lang w:val="es-419"/>
        </w:rPr>
        <w:t>.</w:t>
      </w:r>
      <w:r w:rsidRPr="00DF2967">
        <w:rPr>
          <w:lang w:val="es-419"/>
        </w:rPr>
        <w:t xml:space="preserve"> Estamos afrontando este reto con el programa 'Evonik </w:t>
      </w:r>
      <w:proofErr w:type="spellStart"/>
      <w:r w:rsidRPr="00DF2967">
        <w:rPr>
          <w:lang w:val="es-419"/>
        </w:rPr>
        <w:t>Tailor</w:t>
      </w:r>
      <w:proofErr w:type="spellEnd"/>
      <w:r w:rsidRPr="00DF2967">
        <w:rPr>
          <w:lang w:val="es-419"/>
        </w:rPr>
        <w:t xml:space="preserve"> </w:t>
      </w:r>
      <w:proofErr w:type="spellStart"/>
      <w:r w:rsidRPr="00DF2967">
        <w:rPr>
          <w:lang w:val="es-419"/>
        </w:rPr>
        <w:t>Made</w:t>
      </w:r>
      <w:proofErr w:type="spellEnd"/>
      <w:r w:rsidRPr="00DF2967">
        <w:rPr>
          <w:lang w:val="es-419"/>
        </w:rPr>
        <w:t>', que cambiará nuestra estructura organizativa para bien</w:t>
      </w:r>
      <w:bookmarkEnd w:id="6"/>
      <w:r w:rsidRPr="00DF2967">
        <w:rPr>
          <w:lang w:val="es-419"/>
        </w:rPr>
        <w:t>."</w:t>
      </w:r>
    </w:p>
    <w:p w14:paraId="64BBA91D" w14:textId="77777777" w:rsidR="00FE4ADA" w:rsidRDefault="00FE4ADA" w:rsidP="00FE4ADA">
      <w:pPr>
        <w:rPr>
          <w:lang w:val="es-419"/>
        </w:rPr>
      </w:pPr>
    </w:p>
    <w:p w14:paraId="0E539AE6" w14:textId="248C1ACC" w:rsidR="00FE4ADA" w:rsidRPr="00DF2967" w:rsidRDefault="00FE4ADA" w:rsidP="00FE4ADA">
      <w:pPr>
        <w:rPr>
          <w:lang w:val="es-419"/>
        </w:rPr>
      </w:pPr>
      <w:r w:rsidRPr="00DF2967">
        <w:rPr>
          <w:lang w:val="es-419"/>
        </w:rPr>
        <w:t xml:space="preserve">La primera fase de "Evonik </w:t>
      </w:r>
      <w:proofErr w:type="spellStart"/>
      <w:r w:rsidRPr="00DF2967">
        <w:rPr>
          <w:lang w:val="es-419"/>
        </w:rPr>
        <w:t>Tailor</w:t>
      </w:r>
      <w:proofErr w:type="spellEnd"/>
      <w:r w:rsidRPr="00DF2967">
        <w:rPr>
          <w:lang w:val="es-419"/>
        </w:rPr>
        <w:t xml:space="preserve"> </w:t>
      </w:r>
      <w:proofErr w:type="spellStart"/>
      <w:r w:rsidRPr="00DF2967">
        <w:rPr>
          <w:lang w:val="es-419"/>
        </w:rPr>
        <w:t>Made</w:t>
      </w:r>
      <w:proofErr w:type="spellEnd"/>
      <w:r w:rsidRPr="00DF2967">
        <w:rPr>
          <w:lang w:val="es-419"/>
        </w:rPr>
        <w:t xml:space="preserve">" </w:t>
      </w:r>
      <w:r w:rsidR="00420C4D">
        <w:rPr>
          <w:lang w:val="es-419"/>
        </w:rPr>
        <w:t xml:space="preserve">ya </w:t>
      </w:r>
      <w:r w:rsidRPr="00DF2967">
        <w:rPr>
          <w:lang w:val="es-419"/>
        </w:rPr>
        <w:t>conclu</w:t>
      </w:r>
      <w:r w:rsidR="00420C4D">
        <w:rPr>
          <w:lang w:val="es-419"/>
        </w:rPr>
        <w:t>yó</w:t>
      </w:r>
      <w:r w:rsidRPr="00DF2967">
        <w:rPr>
          <w:lang w:val="es-419"/>
        </w:rPr>
        <w:t xml:space="preserve">. Todas las estructuras y procesos de la empresa </w:t>
      </w:r>
      <w:r w:rsidR="00420C4D">
        <w:rPr>
          <w:lang w:val="es-419"/>
        </w:rPr>
        <w:t>fueron</w:t>
      </w:r>
      <w:r w:rsidRPr="00DF2967">
        <w:rPr>
          <w:lang w:val="es-419"/>
        </w:rPr>
        <w:t xml:space="preserve"> analizados exhaustivamente en los últimos meses. Basándose en este análisis, Evonik diseñará y establecerá una nueva estructura organizativa para finales de 2026. Evonik pretende prescindir de </w:t>
      </w:r>
      <w:r w:rsidRPr="00DF2967">
        <w:rPr>
          <w:lang w:val="es-419"/>
        </w:rPr>
        <w:lastRenderedPageBreak/>
        <w:t xml:space="preserve">actividades administrativas que no apoyen directamente sus negocios. Al mismo tiempo, las tareas clave se agruparán de forma coherente en la nueva estructura. El número de niveles jerárquicos por debajo del Comité Ejecutivo se reducirá a un máximo de seis, mientras que los procedimientos de revisión y aprobación se acelerarán significativamente. En todo el Grupo, los directivos dirigirán a una media de siete subordinados directos, frente a la actual amplitud de control de uno a cuatro. </w:t>
      </w:r>
    </w:p>
    <w:p w14:paraId="386A2978" w14:textId="77777777" w:rsidR="00FE4ADA" w:rsidRPr="00DF2967" w:rsidRDefault="00FE4ADA" w:rsidP="00FE4ADA">
      <w:pPr>
        <w:rPr>
          <w:lang w:val="es-419"/>
        </w:rPr>
      </w:pPr>
    </w:p>
    <w:p w14:paraId="5BC5B81C" w14:textId="7EB9D2E7" w:rsidR="00FE4ADA" w:rsidRPr="00DF2967" w:rsidRDefault="00FE4ADA" w:rsidP="00FE4ADA">
      <w:pPr>
        <w:rPr>
          <w:lang w:val="es-419"/>
        </w:rPr>
      </w:pPr>
      <w:r w:rsidRPr="00DF2967">
        <w:rPr>
          <w:lang w:val="es-419"/>
        </w:rPr>
        <w:t>Como resultado, Evonik será más ágil, más rápida y tendrá una estructura de cost</w:t>
      </w:r>
      <w:r w:rsidR="00420C4D">
        <w:rPr>
          <w:lang w:val="es-419"/>
        </w:rPr>
        <w:t>o</w:t>
      </w:r>
      <w:r w:rsidRPr="00DF2967">
        <w:rPr>
          <w:lang w:val="es-419"/>
        </w:rPr>
        <w:t xml:space="preserve">s significativamente reducida. Se suprimirán hasta 2.000 puestos de trabajo en todo el mundo, incluido un número </w:t>
      </w:r>
      <w:r w:rsidR="000F061A">
        <w:rPr>
          <w:lang w:val="es-419"/>
        </w:rPr>
        <w:t>superior a la media d</w:t>
      </w:r>
      <w:r w:rsidRPr="00DF2967">
        <w:rPr>
          <w:lang w:val="es-419"/>
        </w:rPr>
        <w:t>e puestos directivos. La mayoría de estos ajustes, unos 1.500 puestos de trabajo, se harán en Alemania. Evonik prevé una reducción de cost</w:t>
      </w:r>
      <w:r w:rsidR="00420C4D">
        <w:rPr>
          <w:lang w:val="es-419"/>
        </w:rPr>
        <w:t>o</w:t>
      </w:r>
      <w:r w:rsidRPr="00DF2967">
        <w:rPr>
          <w:lang w:val="es-419"/>
        </w:rPr>
        <w:t>s de unos 400 millones de euros anuales tras la finalización del programa en 2026. Alrededor del 80% de este ahorro se derivará de reducciones de personal, el resto provendrá de menores cost</w:t>
      </w:r>
      <w:r w:rsidR="00420C4D">
        <w:rPr>
          <w:lang w:val="es-419"/>
        </w:rPr>
        <w:t>o</w:t>
      </w:r>
      <w:r w:rsidRPr="00DF2967">
        <w:rPr>
          <w:lang w:val="es-419"/>
        </w:rPr>
        <w:t xml:space="preserve">s de material. Los primeros efectos de "Evonik </w:t>
      </w:r>
      <w:proofErr w:type="spellStart"/>
      <w:r w:rsidRPr="00DF2967">
        <w:rPr>
          <w:lang w:val="es-419"/>
        </w:rPr>
        <w:t>Tailor</w:t>
      </w:r>
      <w:proofErr w:type="spellEnd"/>
      <w:r w:rsidRPr="00DF2967">
        <w:rPr>
          <w:lang w:val="es-419"/>
        </w:rPr>
        <w:t xml:space="preserve"> </w:t>
      </w:r>
      <w:proofErr w:type="spellStart"/>
      <w:r w:rsidRPr="00DF2967">
        <w:rPr>
          <w:lang w:val="es-419"/>
        </w:rPr>
        <w:t>Made</w:t>
      </w:r>
      <w:proofErr w:type="spellEnd"/>
      <w:r w:rsidRPr="00DF2967">
        <w:rPr>
          <w:lang w:val="es-419"/>
        </w:rPr>
        <w:t xml:space="preserve">" deberían materializarse ya en el año en curso. </w:t>
      </w:r>
    </w:p>
    <w:p w14:paraId="27F28AB8" w14:textId="77777777" w:rsidR="000F061A" w:rsidRPr="00DF2967" w:rsidRDefault="000F061A" w:rsidP="00FE4ADA">
      <w:pPr>
        <w:rPr>
          <w:lang w:val="es-419"/>
        </w:rPr>
      </w:pPr>
    </w:p>
    <w:p w14:paraId="48020E6A" w14:textId="20B7C8E1" w:rsidR="00FE4ADA" w:rsidRPr="00DF2967" w:rsidRDefault="00FE4ADA" w:rsidP="00FE4ADA">
      <w:pPr>
        <w:rPr>
          <w:lang w:val="es-419"/>
        </w:rPr>
      </w:pPr>
      <w:r w:rsidRPr="00DF2967">
        <w:rPr>
          <w:lang w:val="es-419"/>
        </w:rPr>
        <w:t xml:space="preserve">"Hemos elegido nuestro propio camino, hecho a medida para Evonik, sin consultores externos, para lograr los mejores resultados posibles", afirma Thomas Wessel, </w:t>
      </w:r>
      <w:proofErr w:type="gramStart"/>
      <w:r w:rsidRPr="00DF2967">
        <w:rPr>
          <w:lang w:val="es-419"/>
        </w:rPr>
        <w:t>Jefe</w:t>
      </w:r>
      <w:proofErr w:type="gramEnd"/>
      <w:r w:rsidRPr="00DF2967">
        <w:rPr>
          <w:lang w:val="es-419"/>
        </w:rPr>
        <w:t xml:space="preserve"> de Recursos Humanos y Director Laboral. "Está claro que nuestra empresa tendrá un aspecto muy diferente dentro de dos años</w:t>
      </w:r>
      <w:r w:rsidRPr="00DF2967">
        <w:rPr>
          <w:rFonts w:cs="Lucida Sans Unicode"/>
          <w:lang w:val="es-419"/>
        </w:rPr>
        <w:t xml:space="preserve"> ─ </w:t>
      </w:r>
      <w:r w:rsidRPr="00DF2967">
        <w:rPr>
          <w:lang w:val="es-419"/>
        </w:rPr>
        <w:t>mucho más dinámica y eficiente. Lo conseguiremos de la manera justa por la que Evonik es conocida: centrados en objetivos conjuntos y respetuosos en nuestro trato"</w:t>
      </w:r>
      <w:r>
        <w:rPr>
          <w:lang w:val="es-419"/>
        </w:rPr>
        <w:t>.</w:t>
      </w:r>
    </w:p>
    <w:p w14:paraId="11EFE17C" w14:textId="77777777" w:rsidR="00FE4ADA" w:rsidRPr="00DF2967" w:rsidRDefault="00FE4ADA" w:rsidP="00FE4ADA">
      <w:pPr>
        <w:rPr>
          <w:lang w:val="es-419"/>
        </w:rPr>
      </w:pPr>
    </w:p>
    <w:p w14:paraId="3AAA17E1" w14:textId="77777777" w:rsidR="00FE4ADA" w:rsidRPr="00DF2967" w:rsidRDefault="00FE4ADA" w:rsidP="00FE4ADA">
      <w:pPr>
        <w:rPr>
          <w:lang w:val="es-419"/>
        </w:rPr>
      </w:pPr>
      <w:r w:rsidRPr="00DF2967">
        <w:rPr>
          <w:lang w:val="es-419"/>
        </w:rPr>
        <w:t xml:space="preserve">En las próximas semanas, el Comité Ejecutivo y los órganos de cogestión negociarán cómo se ejecutarán los recortes de empleo previstos de forma socialmente responsable. </w:t>
      </w:r>
    </w:p>
    <w:p w14:paraId="2A62F7AB" w14:textId="77777777" w:rsidR="00FE4ADA" w:rsidRPr="00DF2967" w:rsidRDefault="00FE4ADA" w:rsidP="00FE4ADA">
      <w:pPr>
        <w:rPr>
          <w:lang w:val="es-419"/>
        </w:rPr>
      </w:pPr>
    </w:p>
    <w:p w14:paraId="31C4284C" w14:textId="77777777" w:rsidR="00FE4ADA" w:rsidRPr="00DF2967" w:rsidRDefault="00FE4ADA" w:rsidP="00FE4ADA">
      <w:pPr>
        <w:rPr>
          <w:rStyle w:val="Forte"/>
          <w:rFonts w:cs="Lucida Sans Unicode"/>
          <w:szCs w:val="22"/>
          <w:lang w:val="es-419"/>
        </w:rPr>
      </w:pPr>
    </w:p>
    <w:p w14:paraId="4D4AC8E5" w14:textId="77777777" w:rsidR="00FE4ADA" w:rsidRPr="00DF2967" w:rsidRDefault="00FE4ADA" w:rsidP="00FE4ADA">
      <w:pPr>
        <w:rPr>
          <w:rStyle w:val="Forte"/>
          <w:rFonts w:cs="Lucida Sans Unicode"/>
          <w:szCs w:val="22"/>
          <w:lang w:val="es-419"/>
        </w:rPr>
      </w:pPr>
      <w:r w:rsidRPr="00DF2967">
        <w:rPr>
          <w:rStyle w:val="Forte"/>
          <w:rFonts w:cs="Lucida Sans Unicode"/>
          <w:szCs w:val="22"/>
          <w:lang w:val="es-419"/>
        </w:rPr>
        <w:t>Desarrollo de las divisiones químicas</w:t>
      </w:r>
    </w:p>
    <w:p w14:paraId="4909D880" w14:textId="77777777" w:rsidR="00FE4ADA" w:rsidRPr="00DF2967" w:rsidRDefault="00FE4ADA" w:rsidP="00FE4ADA">
      <w:pPr>
        <w:rPr>
          <w:rStyle w:val="Forte"/>
          <w:rFonts w:cs="Lucida Sans Unicode"/>
          <w:sz w:val="21"/>
          <w:szCs w:val="21"/>
          <w:lang w:val="es-419"/>
        </w:rPr>
      </w:pPr>
    </w:p>
    <w:p w14:paraId="19C38224" w14:textId="24B41D46" w:rsidR="00FE4ADA" w:rsidRPr="00DF2967" w:rsidRDefault="00B83810" w:rsidP="00FE4ADA">
      <w:pPr>
        <w:rPr>
          <w:lang w:val="es-419"/>
        </w:rPr>
      </w:pPr>
      <w:proofErr w:type="spellStart"/>
      <w:r>
        <w:rPr>
          <w:b/>
          <w:bCs/>
          <w:lang w:val="pt-BR"/>
        </w:rPr>
        <w:t>Specialty</w:t>
      </w:r>
      <w:proofErr w:type="spellEnd"/>
      <w:r>
        <w:rPr>
          <w:b/>
          <w:bCs/>
          <w:lang w:val="pt-BR"/>
        </w:rPr>
        <w:t xml:space="preserve"> </w:t>
      </w:r>
      <w:proofErr w:type="spellStart"/>
      <w:r>
        <w:rPr>
          <w:b/>
          <w:bCs/>
          <w:lang w:val="pt-BR"/>
        </w:rPr>
        <w:t>Additives</w:t>
      </w:r>
      <w:proofErr w:type="spellEnd"/>
      <w:r w:rsidR="00FE4ADA" w:rsidRPr="00DF2967">
        <w:rPr>
          <w:lang w:val="es-419"/>
        </w:rPr>
        <w:t>:</w:t>
      </w:r>
    </w:p>
    <w:p w14:paraId="7C64582C" w14:textId="381D0540" w:rsidR="00FE4ADA" w:rsidRPr="00DF2967" w:rsidRDefault="00FE4ADA" w:rsidP="00FE4ADA">
      <w:pPr>
        <w:rPr>
          <w:lang w:val="es-419"/>
        </w:rPr>
      </w:pPr>
      <w:r w:rsidRPr="00DF2967">
        <w:rPr>
          <w:lang w:val="es-419"/>
        </w:rPr>
        <w:t xml:space="preserve">Los resultados de la división de </w:t>
      </w:r>
      <w:proofErr w:type="spellStart"/>
      <w:r w:rsidR="00B83810" w:rsidRPr="00B83810">
        <w:rPr>
          <w:lang w:val="pt-BR"/>
        </w:rPr>
        <w:t>Specialty</w:t>
      </w:r>
      <w:proofErr w:type="spellEnd"/>
      <w:r w:rsidR="00B83810" w:rsidRPr="00B83810">
        <w:rPr>
          <w:lang w:val="pt-BR"/>
        </w:rPr>
        <w:t xml:space="preserve"> </w:t>
      </w:r>
      <w:proofErr w:type="spellStart"/>
      <w:r w:rsidR="00B83810" w:rsidRPr="00B83810">
        <w:rPr>
          <w:lang w:val="pt-BR"/>
        </w:rPr>
        <w:t>Additives</w:t>
      </w:r>
      <w:proofErr w:type="spellEnd"/>
      <w:r w:rsidR="00B83810" w:rsidRPr="00B83810">
        <w:rPr>
          <w:lang w:val="pt-BR"/>
        </w:rPr>
        <w:t xml:space="preserve"> </w:t>
      </w:r>
      <w:r w:rsidRPr="00B83810">
        <w:rPr>
          <w:lang w:val="es-419"/>
        </w:rPr>
        <w:t>en</w:t>
      </w:r>
      <w:r w:rsidRPr="00DF2967">
        <w:rPr>
          <w:lang w:val="es-419"/>
        </w:rPr>
        <w:t xml:space="preserve"> 2023 se vieron afectados por la debilidad de la demanda y una notable </w:t>
      </w:r>
      <w:r w:rsidRPr="00DF2967">
        <w:rPr>
          <w:lang w:val="es-419"/>
        </w:rPr>
        <w:lastRenderedPageBreak/>
        <w:t>reducción de las existencias de los clientes. Esto provocó una infrautilización de la capacidad de las plantas y la consiguiente presión sobre los márgenes. Las ventas cayeron un 16%, hasta 3.520 millones de euros, debido sobre todo a unos volúmenes notablemente inferiores y a los efectos negativos de las divisas. Los precios se mantuvieron estables. La demanda de productos para las industrias de la construcción y revestimientos disminuyó en todas las regiones. Las ventas de aditivos para espumas de poliuretano y bienes de consumo duraderos disminuyeron por los menores volúmenes y un ligero descenso de los precios. Los aditivos para el sector del automóvil sufrieron un descenso del volumen de ventas, mientras que los precios se mantuvieron estables. El EBITDA ajustado de la división cayó un 29%, hasta 673 millones de euros. El margen de EBITDA ajustado cayó del 22,6% del año anterior al 19,1% en 2023.</w:t>
      </w:r>
    </w:p>
    <w:p w14:paraId="3097798F" w14:textId="77777777" w:rsidR="00FE4ADA" w:rsidRPr="00DF2967" w:rsidRDefault="00FE4ADA" w:rsidP="00FE4ADA">
      <w:pPr>
        <w:rPr>
          <w:lang w:val="es-419"/>
        </w:rPr>
      </w:pPr>
    </w:p>
    <w:p w14:paraId="3E1F3A3E" w14:textId="2F455557" w:rsidR="00FE4ADA" w:rsidRPr="00DF2967" w:rsidRDefault="00B83810" w:rsidP="00FE4ADA">
      <w:pPr>
        <w:rPr>
          <w:lang w:val="es-419"/>
        </w:rPr>
      </w:pPr>
      <w:proofErr w:type="spellStart"/>
      <w:r>
        <w:rPr>
          <w:b/>
          <w:bCs/>
          <w:lang w:val="pt-BR"/>
        </w:rPr>
        <w:t>Nutrition</w:t>
      </w:r>
      <w:proofErr w:type="spellEnd"/>
      <w:r>
        <w:rPr>
          <w:b/>
          <w:bCs/>
          <w:lang w:val="pt-BR"/>
        </w:rPr>
        <w:t xml:space="preserve"> &amp; </w:t>
      </w:r>
      <w:proofErr w:type="spellStart"/>
      <w:r>
        <w:rPr>
          <w:b/>
          <w:bCs/>
          <w:lang w:val="pt-BR"/>
        </w:rPr>
        <w:t>Care</w:t>
      </w:r>
      <w:proofErr w:type="spellEnd"/>
      <w:r w:rsidR="00FE4ADA" w:rsidRPr="00DF2967">
        <w:rPr>
          <w:lang w:val="es-419"/>
        </w:rPr>
        <w:t xml:space="preserve">: </w:t>
      </w:r>
    </w:p>
    <w:p w14:paraId="4F0A2773" w14:textId="4A08A54F" w:rsidR="00FE4ADA" w:rsidRPr="00DF2967" w:rsidRDefault="00FE4ADA" w:rsidP="00FE4ADA">
      <w:pPr>
        <w:rPr>
          <w:lang w:val="es-419"/>
        </w:rPr>
      </w:pPr>
      <w:r w:rsidRPr="00DF2967">
        <w:rPr>
          <w:lang w:val="es-419"/>
        </w:rPr>
        <w:t xml:space="preserve">En la división </w:t>
      </w:r>
      <w:proofErr w:type="spellStart"/>
      <w:r w:rsidRPr="00DF2967">
        <w:rPr>
          <w:lang w:val="es-419"/>
        </w:rPr>
        <w:t>Nutrition</w:t>
      </w:r>
      <w:proofErr w:type="spellEnd"/>
      <w:r w:rsidRPr="00DF2967">
        <w:rPr>
          <w:lang w:val="es-419"/>
        </w:rPr>
        <w:t xml:space="preserve"> &amp; Care, las ventas cayeron un 15%, hasta 3.610 millones de euros, debido principalmente a la bajada de precios en el negocio de </w:t>
      </w:r>
      <w:r w:rsidR="00B83810">
        <w:rPr>
          <w:lang w:val="es-419"/>
        </w:rPr>
        <w:t>n</w:t>
      </w:r>
      <w:r w:rsidRPr="00DF2967">
        <w:rPr>
          <w:lang w:val="es-419"/>
        </w:rPr>
        <w:t xml:space="preserve">utrición </w:t>
      </w:r>
      <w:r w:rsidR="00B83810">
        <w:rPr>
          <w:lang w:val="es-419"/>
        </w:rPr>
        <w:t>a</w:t>
      </w:r>
      <w:r w:rsidRPr="00DF2967">
        <w:rPr>
          <w:lang w:val="es-419"/>
        </w:rPr>
        <w:t xml:space="preserve">nimal y a los efectos negativos de las divisas. </w:t>
      </w:r>
      <w:r w:rsidR="00B83810">
        <w:rPr>
          <w:lang w:val="pt-BR"/>
        </w:rPr>
        <w:t xml:space="preserve">Animal </w:t>
      </w:r>
      <w:proofErr w:type="spellStart"/>
      <w:r w:rsidR="00B83810">
        <w:rPr>
          <w:lang w:val="pt-BR"/>
        </w:rPr>
        <w:t>Nutrition</w:t>
      </w:r>
      <w:proofErr w:type="spellEnd"/>
      <w:r w:rsidR="00B83810">
        <w:rPr>
          <w:lang w:val="pt-BR"/>
        </w:rPr>
        <w:t xml:space="preserve"> </w:t>
      </w:r>
      <w:r w:rsidRPr="00DF2967">
        <w:rPr>
          <w:lang w:val="es-419"/>
        </w:rPr>
        <w:t xml:space="preserve">registró precios significativamente más bajos en aminoácidos esenciales, pero la tendencia a la baja se frenó en el segundo semestre. El volumen de ventas aumentó ligeramente. En conjunto, las ventas de </w:t>
      </w:r>
      <w:r w:rsidR="00B83810">
        <w:rPr>
          <w:lang w:val="pt-BR"/>
        </w:rPr>
        <w:t xml:space="preserve">Animal </w:t>
      </w:r>
      <w:proofErr w:type="spellStart"/>
      <w:r w:rsidR="00B83810">
        <w:rPr>
          <w:lang w:val="pt-BR"/>
        </w:rPr>
        <w:t>Nutrition</w:t>
      </w:r>
      <w:proofErr w:type="spellEnd"/>
      <w:r w:rsidR="00B83810">
        <w:rPr>
          <w:lang w:val="pt-BR"/>
        </w:rPr>
        <w:t xml:space="preserve"> </w:t>
      </w:r>
      <w:r w:rsidRPr="00DF2967">
        <w:rPr>
          <w:lang w:val="es-419"/>
        </w:rPr>
        <w:t xml:space="preserve">se mantuvieron significativamente por debajo del año anterior. En </w:t>
      </w:r>
      <w:r w:rsidR="00B83810">
        <w:rPr>
          <w:lang w:val="pt-BR"/>
        </w:rPr>
        <w:t xml:space="preserve">Health &amp; </w:t>
      </w:r>
      <w:proofErr w:type="spellStart"/>
      <w:r w:rsidR="00B83810">
        <w:rPr>
          <w:lang w:val="pt-BR"/>
        </w:rPr>
        <w:t>Care</w:t>
      </w:r>
      <w:proofErr w:type="spellEnd"/>
      <w:r w:rsidRPr="00DF2967">
        <w:rPr>
          <w:lang w:val="es-419"/>
        </w:rPr>
        <w:t xml:space="preserve">, los ingresos disminuyeron debido a los menores volúmenes, pese a una ligera mejora de los precios. Los ingredientes cosméticos activos tuvieron un buen </w:t>
      </w:r>
      <w:r w:rsidR="00B83810">
        <w:rPr>
          <w:lang w:val="es-419"/>
        </w:rPr>
        <w:t>c</w:t>
      </w:r>
      <w:r w:rsidRPr="00DF2967">
        <w:rPr>
          <w:lang w:val="es-419"/>
        </w:rPr>
        <w:t>omportamiento, mientras que disminuyó la demanda de lípidos farmacéuticos para su uso en vacunas basadas en ARNm. El EBITDA ajustado de la división cayó un 43%, hasta 389 millones de euros. Con un 10,8%, el margen EBITDA ajustado se situó por debajo del nivel del mismo periodo del año anterior (16,0%). En respuesta a los débiles resultados, Evonik ajustó el modelo operativo de aminoácidos a principios de año, lo que ya produjo notables efectos positivos en 2023. El ahorro total de unos 200 millones de euros debería materializarse en 2025.</w:t>
      </w:r>
    </w:p>
    <w:p w14:paraId="53985931" w14:textId="77777777" w:rsidR="00FE4ADA" w:rsidRPr="00DF2967" w:rsidRDefault="00FE4ADA" w:rsidP="00FE4ADA">
      <w:pPr>
        <w:rPr>
          <w:lang w:val="es-419"/>
        </w:rPr>
      </w:pPr>
    </w:p>
    <w:p w14:paraId="5F2870F3" w14:textId="6917A8D1" w:rsidR="00B83810" w:rsidRDefault="00B83810" w:rsidP="00FE4ADA">
      <w:pPr>
        <w:rPr>
          <w:lang w:val="pt-BR"/>
        </w:rPr>
      </w:pPr>
      <w:proofErr w:type="spellStart"/>
      <w:r>
        <w:rPr>
          <w:b/>
          <w:bCs/>
          <w:lang w:val="pt-BR"/>
        </w:rPr>
        <w:t>Smart</w:t>
      </w:r>
      <w:proofErr w:type="spellEnd"/>
      <w:r>
        <w:rPr>
          <w:b/>
          <w:bCs/>
          <w:lang w:val="pt-BR"/>
        </w:rPr>
        <w:t xml:space="preserve"> </w:t>
      </w:r>
      <w:proofErr w:type="spellStart"/>
      <w:r>
        <w:rPr>
          <w:b/>
          <w:bCs/>
          <w:lang w:val="pt-BR"/>
        </w:rPr>
        <w:t>Materials</w:t>
      </w:r>
      <w:proofErr w:type="spellEnd"/>
      <w:r>
        <w:rPr>
          <w:b/>
          <w:bCs/>
          <w:lang w:val="pt-BR"/>
        </w:rPr>
        <w:t>:</w:t>
      </w:r>
      <w:r>
        <w:rPr>
          <w:lang w:val="pt-BR"/>
        </w:rPr>
        <w:t xml:space="preserve"> </w:t>
      </w:r>
    </w:p>
    <w:p w14:paraId="762D9B10" w14:textId="3D882C2D" w:rsidR="00FE4ADA" w:rsidRPr="00DF2967" w:rsidRDefault="00FE4ADA" w:rsidP="00FE4ADA">
      <w:pPr>
        <w:rPr>
          <w:lang w:val="es-419"/>
        </w:rPr>
      </w:pPr>
      <w:r w:rsidRPr="00DF2967">
        <w:rPr>
          <w:lang w:val="es-419"/>
        </w:rPr>
        <w:lastRenderedPageBreak/>
        <w:t>Las ventas de la división</w:t>
      </w:r>
      <w:r w:rsidRPr="00B83810">
        <w:rPr>
          <w:lang w:val="es-419"/>
        </w:rPr>
        <w:t xml:space="preserve"> </w:t>
      </w:r>
      <w:proofErr w:type="spellStart"/>
      <w:r w:rsidR="00B83810" w:rsidRPr="00B83810">
        <w:rPr>
          <w:lang w:val="pt-BR"/>
        </w:rPr>
        <w:t>Smart</w:t>
      </w:r>
      <w:proofErr w:type="spellEnd"/>
      <w:r w:rsidR="00B83810" w:rsidRPr="00B83810">
        <w:rPr>
          <w:lang w:val="pt-BR"/>
        </w:rPr>
        <w:t xml:space="preserve"> </w:t>
      </w:r>
      <w:proofErr w:type="spellStart"/>
      <w:r w:rsidR="00B83810" w:rsidRPr="00B83810">
        <w:rPr>
          <w:lang w:val="pt-BR"/>
        </w:rPr>
        <w:t>Materials</w:t>
      </w:r>
      <w:proofErr w:type="spellEnd"/>
      <w:r w:rsidR="00B83810" w:rsidRPr="00B83810">
        <w:rPr>
          <w:lang w:val="pt-BR"/>
        </w:rPr>
        <w:t xml:space="preserve"> </w:t>
      </w:r>
      <w:r w:rsidRPr="00DF2967">
        <w:rPr>
          <w:lang w:val="es-419"/>
        </w:rPr>
        <w:t>cayeron un 15%, hasta 4.460 millones de euros, debido a una notable caída de la demanda y a los efectos negativos de las divisas. Los precios se mantuvieron estables. Los productos inorgánicos registraron ventas notablemente inferiores debido al descenso de la demanda en casi todos los segmentos del mercado. Aunque las aplicaciones especiales del peróxido de hidrógeno respetuosas con el medio ambiente evolucionaron positivamente, las instalaciones de producción en Asia se paralizaron temporalmente debido a la escasa demanda. Mientras que las sílices para la industria del automóvil registraron una tendencia estable, la demanda fue más débil en otros mercados finales. Los polímeros de alto rendimiento registraron precios y volúmenes más elevados, gracias a las nuevas capacidades de producción. El EBITDA ajustado de la división disminuyó un 27%, hasta 540 millones de euros. Los beneficios también se vieron afectados negativamente por una parada programada de mantenimiento del plástico de alto rendimiento poliamida 12. Con un 12,1%, el margen de EBITDA ajustado fue inferior al del año anterior (14,2%).</w:t>
      </w:r>
    </w:p>
    <w:p w14:paraId="4EA2B131" w14:textId="77777777" w:rsidR="00FE4ADA" w:rsidRPr="00DF2967" w:rsidRDefault="00FE4ADA" w:rsidP="00FE4ADA">
      <w:pPr>
        <w:rPr>
          <w:lang w:val="es-419"/>
        </w:rPr>
      </w:pPr>
    </w:p>
    <w:p w14:paraId="527492B8" w14:textId="236CB621" w:rsidR="00FE4ADA" w:rsidRPr="00DF2967" w:rsidRDefault="00B83810" w:rsidP="00FE4ADA">
      <w:pPr>
        <w:rPr>
          <w:lang w:val="es-419"/>
        </w:rPr>
      </w:pPr>
      <w:r>
        <w:rPr>
          <w:b/>
          <w:bCs/>
          <w:lang w:val="pt-BR"/>
        </w:rPr>
        <w:t xml:space="preserve">Performance </w:t>
      </w:r>
      <w:proofErr w:type="spellStart"/>
      <w:r>
        <w:rPr>
          <w:b/>
          <w:bCs/>
          <w:lang w:val="pt-BR"/>
        </w:rPr>
        <w:t>Materials</w:t>
      </w:r>
      <w:proofErr w:type="spellEnd"/>
      <w:r w:rsidR="00FE4ADA" w:rsidRPr="00DF2967">
        <w:rPr>
          <w:lang w:val="es-419"/>
        </w:rPr>
        <w:t xml:space="preserve">: </w:t>
      </w:r>
    </w:p>
    <w:p w14:paraId="5D2D8897" w14:textId="30CA2D00" w:rsidR="00FE4ADA" w:rsidRPr="00DF2967" w:rsidRDefault="00FE4ADA" w:rsidP="00FE4ADA">
      <w:pPr>
        <w:rPr>
          <w:lang w:val="es-419"/>
        </w:rPr>
      </w:pPr>
      <w:r w:rsidRPr="00DF2967">
        <w:rPr>
          <w:lang w:val="es-419"/>
        </w:rPr>
        <w:t xml:space="preserve">Las ventas de la división de </w:t>
      </w:r>
      <w:r w:rsidR="00B83810">
        <w:rPr>
          <w:b/>
          <w:bCs/>
          <w:lang w:val="pt-BR"/>
        </w:rPr>
        <w:t xml:space="preserve">Performance </w:t>
      </w:r>
      <w:proofErr w:type="spellStart"/>
      <w:r w:rsidR="00B83810">
        <w:rPr>
          <w:b/>
          <w:bCs/>
          <w:lang w:val="pt-BR"/>
        </w:rPr>
        <w:t>Materials</w:t>
      </w:r>
      <w:proofErr w:type="spellEnd"/>
      <w:r w:rsidR="00B83810">
        <w:rPr>
          <w:lang w:val="pt-BR"/>
        </w:rPr>
        <w:t xml:space="preserve"> </w:t>
      </w:r>
      <w:r w:rsidRPr="00DF2967">
        <w:rPr>
          <w:lang w:val="es-419"/>
        </w:rPr>
        <w:t xml:space="preserve">cayeron un 22%, hasta 2.550 millones de euros. El año anterior incluía las ventas anuales completas de la planta de </w:t>
      </w:r>
      <w:proofErr w:type="spellStart"/>
      <w:r w:rsidRPr="00DF2967">
        <w:rPr>
          <w:lang w:val="es-419"/>
        </w:rPr>
        <w:t>Luelsdorf</w:t>
      </w:r>
      <w:proofErr w:type="spellEnd"/>
      <w:r w:rsidRPr="00DF2967">
        <w:rPr>
          <w:lang w:val="es-419"/>
        </w:rPr>
        <w:t xml:space="preserve"> (Alemania), que se vendió el 30 de junio de 2023. El negocio con productos de la cadena C</w:t>
      </w:r>
      <w:r w:rsidRPr="00DF2967">
        <w:rPr>
          <w:vertAlign w:val="subscript"/>
          <w:lang w:val="es-419"/>
        </w:rPr>
        <w:t>4</w:t>
      </w:r>
      <w:r w:rsidRPr="00DF2967">
        <w:rPr>
          <w:lang w:val="es-419"/>
        </w:rPr>
        <w:t xml:space="preserve"> registró volúmenes decrecientes y precios significativamente más bajos. En consecuencia, las ventas disminuyeron considerablemente. Las ventas de superabsorbentes también descendieron debido a la menor demanda de Europa. El EBITDA ajustado de la división cayó un 68%, hasta 111 millones de euros. El margen de EBITDA ajustado cayó del 10,8% en 2022 al 4,4% en 2023.</w:t>
      </w:r>
    </w:p>
    <w:bookmarkEnd w:id="5"/>
    <w:p w14:paraId="317C4F2A" w14:textId="77777777" w:rsidR="00FE4ADA" w:rsidRDefault="00FE4ADA"/>
    <w:p w14:paraId="0AF544BB" w14:textId="77777777" w:rsidR="00FE4ADA" w:rsidRPr="00DF2967" w:rsidRDefault="00FE4ADA" w:rsidP="00FE4ADA">
      <w:pPr>
        <w:spacing w:line="240" w:lineRule="auto"/>
        <w:rPr>
          <w:lang w:val="es-419"/>
        </w:rPr>
      </w:pPr>
    </w:p>
    <w:tbl>
      <w:tblPr>
        <w:tblW w:w="9754" w:type="dxa"/>
        <w:tblLayout w:type="fixed"/>
        <w:tblCellMar>
          <w:left w:w="0" w:type="dxa"/>
          <w:right w:w="0" w:type="dxa"/>
        </w:tblCellMar>
        <w:tblLook w:val="04A0" w:firstRow="1" w:lastRow="0" w:firstColumn="1" w:lastColumn="0" w:noHBand="0" w:noVBand="1"/>
        <w:tblDescription w:val="SNEID_b1e7300309d644548b2e448a0b24ee15"/>
      </w:tblPr>
      <w:tblGrid>
        <w:gridCol w:w="2914"/>
        <w:gridCol w:w="119"/>
        <w:gridCol w:w="1021"/>
        <w:gridCol w:w="119"/>
        <w:gridCol w:w="1021"/>
        <w:gridCol w:w="119"/>
        <w:gridCol w:w="1021"/>
        <w:gridCol w:w="119"/>
        <w:gridCol w:w="1021"/>
        <w:gridCol w:w="119"/>
        <w:gridCol w:w="1021"/>
        <w:gridCol w:w="119"/>
        <w:gridCol w:w="1021"/>
      </w:tblGrid>
      <w:tr w:rsidR="00FE4ADA" w:rsidRPr="0045457D" w14:paraId="70772C0B" w14:textId="77777777" w:rsidTr="00BC3645">
        <w:tc>
          <w:tcPr>
            <w:tcW w:w="9754" w:type="dxa"/>
            <w:gridSpan w:val="13"/>
            <w:vAlign w:val="bottom"/>
          </w:tcPr>
          <w:p w14:paraId="7E5A7CEA" w14:textId="210DAFF8" w:rsidR="00FE4ADA" w:rsidRPr="00DF2967" w:rsidRDefault="00BC3645" w:rsidP="00251EF9">
            <w:pPr>
              <w:pStyle w:val="TTitleText"/>
              <w:rPr>
                <w:lang w:val="es-419"/>
              </w:rPr>
            </w:pPr>
            <w:bookmarkStart w:id="7" w:name="SNEID_b1e7300309d644548b2e448a0b24ee15"/>
            <w:r w:rsidRPr="007F5EDB">
              <w:rPr>
                <w:lang w:val="es-AR"/>
              </w:rPr>
              <w:lastRenderedPageBreak/>
              <w:t>Resumen del Estado de resultados</w:t>
            </w:r>
          </w:p>
        </w:tc>
      </w:tr>
      <w:tr w:rsidR="00FE4ADA" w:rsidRPr="0045457D" w14:paraId="34CF90B4" w14:textId="77777777" w:rsidTr="00BC3645">
        <w:tc>
          <w:tcPr>
            <w:tcW w:w="2914" w:type="dxa"/>
            <w:tcBorders>
              <w:top w:val="single" w:sz="8" w:space="0" w:color="000000"/>
            </w:tcBorders>
            <w:vAlign w:val="bottom"/>
          </w:tcPr>
          <w:p w14:paraId="26E198C2" w14:textId="77777777" w:rsidR="00FE4ADA" w:rsidRPr="00DF2967" w:rsidRDefault="00FE4ADA" w:rsidP="00251EF9">
            <w:pPr>
              <w:pStyle w:val="TDummy"/>
              <w:keepNext/>
              <w:rPr>
                <w:lang w:val="es-419"/>
              </w:rPr>
            </w:pPr>
          </w:p>
        </w:tc>
        <w:tc>
          <w:tcPr>
            <w:tcW w:w="119" w:type="dxa"/>
            <w:tcBorders>
              <w:top w:val="single" w:sz="8" w:space="0" w:color="000000"/>
            </w:tcBorders>
            <w:vAlign w:val="bottom"/>
          </w:tcPr>
          <w:p w14:paraId="37AE2092" w14:textId="77777777" w:rsidR="00FE4ADA" w:rsidRPr="00DF2967" w:rsidRDefault="00FE4ADA" w:rsidP="00251EF9">
            <w:pPr>
              <w:pStyle w:val="TDummy"/>
              <w:keepNext/>
              <w:rPr>
                <w:lang w:val="es-419"/>
              </w:rPr>
            </w:pPr>
          </w:p>
        </w:tc>
        <w:tc>
          <w:tcPr>
            <w:tcW w:w="1021" w:type="dxa"/>
            <w:tcBorders>
              <w:top w:val="single" w:sz="8" w:space="0" w:color="000000"/>
            </w:tcBorders>
            <w:vAlign w:val="bottom"/>
          </w:tcPr>
          <w:p w14:paraId="2E244F91" w14:textId="77777777" w:rsidR="00FE4ADA" w:rsidRPr="00DF2967" w:rsidRDefault="00FE4ADA" w:rsidP="00251EF9">
            <w:pPr>
              <w:pStyle w:val="TDummy"/>
              <w:keepNext/>
              <w:rPr>
                <w:lang w:val="es-419"/>
              </w:rPr>
            </w:pPr>
          </w:p>
        </w:tc>
        <w:tc>
          <w:tcPr>
            <w:tcW w:w="119" w:type="dxa"/>
            <w:tcBorders>
              <w:top w:val="single" w:sz="8" w:space="0" w:color="000000"/>
            </w:tcBorders>
            <w:vAlign w:val="bottom"/>
          </w:tcPr>
          <w:p w14:paraId="420D2EF0" w14:textId="77777777" w:rsidR="00FE4ADA" w:rsidRPr="00DF2967" w:rsidRDefault="00FE4ADA" w:rsidP="00251EF9">
            <w:pPr>
              <w:pStyle w:val="TDummy"/>
              <w:keepNext/>
              <w:rPr>
                <w:lang w:val="es-419"/>
              </w:rPr>
            </w:pPr>
          </w:p>
        </w:tc>
        <w:tc>
          <w:tcPr>
            <w:tcW w:w="1021" w:type="dxa"/>
            <w:tcBorders>
              <w:top w:val="single" w:sz="8" w:space="0" w:color="000000"/>
            </w:tcBorders>
            <w:vAlign w:val="bottom"/>
          </w:tcPr>
          <w:p w14:paraId="0ECE8F0C" w14:textId="77777777" w:rsidR="00FE4ADA" w:rsidRPr="00DF2967" w:rsidRDefault="00FE4ADA" w:rsidP="00251EF9">
            <w:pPr>
              <w:pStyle w:val="TDummy"/>
              <w:keepNext/>
              <w:rPr>
                <w:lang w:val="es-419"/>
              </w:rPr>
            </w:pPr>
          </w:p>
        </w:tc>
        <w:tc>
          <w:tcPr>
            <w:tcW w:w="119" w:type="dxa"/>
            <w:tcBorders>
              <w:top w:val="single" w:sz="8" w:space="0" w:color="000000"/>
            </w:tcBorders>
            <w:vAlign w:val="bottom"/>
          </w:tcPr>
          <w:p w14:paraId="25527B61" w14:textId="77777777" w:rsidR="00FE4ADA" w:rsidRPr="00DF2967" w:rsidRDefault="00FE4ADA" w:rsidP="00251EF9">
            <w:pPr>
              <w:pStyle w:val="TDummy"/>
              <w:keepNext/>
              <w:rPr>
                <w:lang w:val="es-419"/>
              </w:rPr>
            </w:pPr>
          </w:p>
        </w:tc>
        <w:tc>
          <w:tcPr>
            <w:tcW w:w="1021" w:type="dxa"/>
            <w:tcBorders>
              <w:top w:val="single" w:sz="8" w:space="0" w:color="000000"/>
            </w:tcBorders>
            <w:vAlign w:val="bottom"/>
          </w:tcPr>
          <w:p w14:paraId="6853FEAB" w14:textId="77777777" w:rsidR="00FE4ADA" w:rsidRPr="00DF2967" w:rsidRDefault="00FE4ADA" w:rsidP="00251EF9">
            <w:pPr>
              <w:pStyle w:val="TDummy"/>
              <w:keepNext/>
              <w:rPr>
                <w:lang w:val="es-419"/>
              </w:rPr>
            </w:pPr>
          </w:p>
        </w:tc>
        <w:tc>
          <w:tcPr>
            <w:tcW w:w="119" w:type="dxa"/>
            <w:tcBorders>
              <w:top w:val="single" w:sz="8" w:space="0" w:color="000000"/>
            </w:tcBorders>
            <w:vAlign w:val="bottom"/>
          </w:tcPr>
          <w:p w14:paraId="795DDC6E" w14:textId="77777777" w:rsidR="00FE4ADA" w:rsidRPr="00DF2967" w:rsidRDefault="00FE4ADA" w:rsidP="00251EF9">
            <w:pPr>
              <w:pStyle w:val="TDummy"/>
              <w:keepNext/>
              <w:rPr>
                <w:lang w:val="es-419"/>
              </w:rPr>
            </w:pPr>
          </w:p>
        </w:tc>
        <w:tc>
          <w:tcPr>
            <w:tcW w:w="1021" w:type="dxa"/>
            <w:tcBorders>
              <w:top w:val="single" w:sz="8" w:space="0" w:color="000000"/>
            </w:tcBorders>
            <w:vAlign w:val="bottom"/>
          </w:tcPr>
          <w:p w14:paraId="20DE60E6" w14:textId="77777777" w:rsidR="00FE4ADA" w:rsidRPr="00DF2967" w:rsidRDefault="00FE4ADA" w:rsidP="00251EF9">
            <w:pPr>
              <w:pStyle w:val="TDummy"/>
              <w:keepNext/>
              <w:rPr>
                <w:lang w:val="es-419"/>
              </w:rPr>
            </w:pPr>
          </w:p>
        </w:tc>
        <w:tc>
          <w:tcPr>
            <w:tcW w:w="119" w:type="dxa"/>
            <w:tcBorders>
              <w:top w:val="single" w:sz="8" w:space="0" w:color="000000"/>
            </w:tcBorders>
            <w:vAlign w:val="bottom"/>
          </w:tcPr>
          <w:p w14:paraId="0E3811A1" w14:textId="77777777" w:rsidR="00FE4ADA" w:rsidRPr="00DF2967" w:rsidRDefault="00FE4ADA" w:rsidP="00251EF9">
            <w:pPr>
              <w:pStyle w:val="TDummy"/>
              <w:keepNext/>
              <w:rPr>
                <w:lang w:val="es-419"/>
              </w:rPr>
            </w:pPr>
          </w:p>
        </w:tc>
        <w:tc>
          <w:tcPr>
            <w:tcW w:w="1021" w:type="dxa"/>
            <w:tcBorders>
              <w:top w:val="single" w:sz="8" w:space="0" w:color="000000"/>
            </w:tcBorders>
            <w:vAlign w:val="bottom"/>
          </w:tcPr>
          <w:p w14:paraId="1808F833" w14:textId="77777777" w:rsidR="00FE4ADA" w:rsidRPr="00DF2967" w:rsidRDefault="00FE4ADA" w:rsidP="00251EF9">
            <w:pPr>
              <w:pStyle w:val="TDummy"/>
              <w:keepNext/>
              <w:rPr>
                <w:lang w:val="es-419"/>
              </w:rPr>
            </w:pPr>
          </w:p>
        </w:tc>
        <w:tc>
          <w:tcPr>
            <w:tcW w:w="119" w:type="dxa"/>
            <w:tcBorders>
              <w:top w:val="single" w:sz="8" w:space="0" w:color="000000"/>
            </w:tcBorders>
            <w:vAlign w:val="bottom"/>
          </w:tcPr>
          <w:p w14:paraId="2B268489" w14:textId="77777777" w:rsidR="00FE4ADA" w:rsidRPr="00DF2967" w:rsidRDefault="00FE4ADA" w:rsidP="00251EF9">
            <w:pPr>
              <w:pStyle w:val="TDummy"/>
              <w:keepNext/>
              <w:rPr>
                <w:lang w:val="es-419"/>
              </w:rPr>
            </w:pPr>
          </w:p>
        </w:tc>
        <w:tc>
          <w:tcPr>
            <w:tcW w:w="1021" w:type="dxa"/>
            <w:tcBorders>
              <w:top w:val="single" w:sz="8" w:space="0" w:color="000000"/>
            </w:tcBorders>
            <w:vAlign w:val="bottom"/>
          </w:tcPr>
          <w:p w14:paraId="7FB74499" w14:textId="77777777" w:rsidR="00FE4ADA" w:rsidRPr="00DF2967" w:rsidRDefault="00FE4ADA" w:rsidP="00251EF9">
            <w:pPr>
              <w:pStyle w:val="TDummy"/>
              <w:keepNext/>
              <w:rPr>
                <w:lang w:val="es-419"/>
              </w:rPr>
            </w:pPr>
          </w:p>
        </w:tc>
      </w:tr>
      <w:tr w:rsidR="00FE4ADA" w14:paraId="6E57BCDC" w14:textId="77777777" w:rsidTr="00BC3645">
        <w:tc>
          <w:tcPr>
            <w:tcW w:w="2914" w:type="dxa"/>
            <w:shd w:val="clear" w:color="000000" w:fill="FFFFFF"/>
            <w:vAlign w:val="bottom"/>
          </w:tcPr>
          <w:p w14:paraId="19EF0B41" w14:textId="77777777" w:rsidR="00FE4ADA" w:rsidRPr="00DF2967" w:rsidRDefault="00FE4ADA" w:rsidP="00251EF9">
            <w:pPr>
              <w:pStyle w:val="THeadfirstNumber"/>
              <w:rPr>
                <w:lang w:val="es-419"/>
              </w:rPr>
            </w:pPr>
          </w:p>
        </w:tc>
        <w:tc>
          <w:tcPr>
            <w:tcW w:w="119" w:type="dxa"/>
            <w:vAlign w:val="bottom"/>
          </w:tcPr>
          <w:p w14:paraId="028F897E" w14:textId="77777777" w:rsidR="00FE4ADA" w:rsidRPr="00DF2967" w:rsidRDefault="00FE4ADA" w:rsidP="00251EF9">
            <w:pPr>
              <w:pStyle w:val="THeadfirstNumber"/>
              <w:rPr>
                <w:lang w:val="es-419"/>
              </w:rPr>
            </w:pPr>
          </w:p>
        </w:tc>
        <w:tc>
          <w:tcPr>
            <w:tcW w:w="3301" w:type="dxa"/>
            <w:gridSpan w:val="5"/>
            <w:tcBorders>
              <w:bottom w:val="single" w:sz="4" w:space="0" w:color="A59C94"/>
            </w:tcBorders>
            <w:shd w:val="clear" w:color="000000" w:fill="FFFFFF"/>
            <w:vAlign w:val="bottom"/>
          </w:tcPr>
          <w:p w14:paraId="579A682F" w14:textId="77777777" w:rsidR="00FE4ADA" w:rsidRDefault="00FE4ADA" w:rsidP="00251EF9">
            <w:pPr>
              <w:pStyle w:val="THeadfirstNumber"/>
            </w:pPr>
            <w:r>
              <w:t>4º trimestre</w:t>
            </w:r>
          </w:p>
        </w:tc>
        <w:tc>
          <w:tcPr>
            <w:tcW w:w="119" w:type="dxa"/>
            <w:vAlign w:val="bottom"/>
          </w:tcPr>
          <w:p w14:paraId="599BC2DE" w14:textId="77777777" w:rsidR="00FE4ADA" w:rsidRDefault="00FE4ADA" w:rsidP="00251EF9">
            <w:pPr>
              <w:pStyle w:val="THeadfirstNumber"/>
            </w:pPr>
          </w:p>
        </w:tc>
        <w:tc>
          <w:tcPr>
            <w:tcW w:w="3301" w:type="dxa"/>
            <w:gridSpan w:val="5"/>
            <w:tcBorders>
              <w:bottom w:val="single" w:sz="4" w:space="0" w:color="A59C94"/>
            </w:tcBorders>
            <w:shd w:val="clear" w:color="000000" w:fill="FFFFFF"/>
            <w:vAlign w:val="bottom"/>
          </w:tcPr>
          <w:p w14:paraId="478FAFCA" w14:textId="4AF07EB5" w:rsidR="00FE4ADA" w:rsidRDefault="00FE4ADA" w:rsidP="00251EF9">
            <w:pPr>
              <w:pStyle w:val="THeadfirstNumber"/>
            </w:pPr>
            <w:r>
              <w:t>A</w:t>
            </w:r>
            <w:r w:rsidR="00BC3645">
              <w:t>nuall</w:t>
            </w:r>
          </w:p>
        </w:tc>
      </w:tr>
      <w:tr w:rsidR="00FE4ADA" w14:paraId="3D296B8F" w14:textId="77777777" w:rsidTr="00BC3645">
        <w:tc>
          <w:tcPr>
            <w:tcW w:w="2914" w:type="dxa"/>
            <w:tcBorders>
              <w:bottom w:val="single" w:sz="4" w:space="0" w:color="000000"/>
            </w:tcBorders>
            <w:shd w:val="clear" w:color="000000" w:fill="FFFFFF"/>
            <w:vAlign w:val="bottom"/>
          </w:tcPr>
          <w:p w14:paraId="36F53404" w14:textId="77777777" w:rsidR="00FE4ADA" w:rsidRDefault="00FE4ADA" w:rsidP="00251EF9">
            <w:pPr>
              <w:pStyle w:val="THeadlastText"/>
            </w:pPr>
            <w:r>
              <w:t>en millones de euros</w:t>
            </w:r>
          </w:p>
        </w:tc>
        <w:tc>
          <w:tcPr>
            <w:tcW w:w="119" w:type="dxa"/>
            <w:vAlign w:val="bottom"/>
          </w:tcPr>
          <w:p w14:paraId="77D94D19"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666FBB81" w14:textId="77777777" w:rsidR="00FE4ADA" w:rsidRDefault="00FE4ADA" w:rsidP="00251EF9">
            <w:pPr>
              <w:pStyle w:val="THeadlastNumber"/>
            </w:pPr>
            <w:r>
              <w:t>2022</w:t>
            </w:r>
          </w:p>
        </w:tc>
        <w:tc>
          <w:tcPr>
            <w:tcW w:w="119" w:type="dxa"/>
            <w:vAlign w:val="bottom"/>
          </w:tcPr>
          <w:p w14:paraId="677934C7"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2FEAAC3B" w14:textId="77777777" w:rsidR="00FE4ADA" w:rsidRDefault="00FE4ADA" w:rsidP="00251EF9">
            <w:pPr>
              <w:pStyle w:val="THeadlastNumberbold"/>
            </w:pPr>
            <w:r>
              <w:t>2023</w:t>
            </w:r>
          </w:p>
        </w:tc>
        <w:tc>
          <w:tcPr>
            <w:tcW w:w="119" w:type="dxa"/>
            <w:vAlign w:val="bottom"/>
          </w:tcPr>
          <w:p w14:paraId="58DE2986"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5DEBEE91" w14:textId="09F04069" w:rsidR="00FE4ADA" w:rsidRDefault="00BC3645" w:rsidP="00251EF9">
            <w:pPr>
              <w:pStyle w:val="THeaddifferenceNumber"/>
              <w:keepNext/>
            </w:pPr>
            <w:r w:rsidRPr="007F5EDB">
              <w:rPr>
                <w:lang w:val="es-AR"/>
              </w:rPr>
              <w:t>Cambio</w:t>
            </w:r>
            <w:r w:rsidR="00FE4ADA">
              <w:t xml:space="preserve"> en</w:t>
            </w:r>
            <w:r>
              <w:t xml:space="preserve"> %</w:t>
            </w:r>
          </w:p>
        </w:tc>
        <w:tc>
          <w:tcPr>
            <w:tcW w:w="119" w:type="dxa"/>
            <w:vAlign w:val="bottom"/>
          </w:tcPr>
          <w:p w14:paraId="3F2C184D"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19AD23D5" w14:textId="77777777" w:rsidR="00FE4ADA" w:rsidRDefault="00FE4ADA" w:rsidP="00251EF9">
            <w:pPr>
              <w:pStyle w:val="THeadlastNumber"/>
            </w:pPr>
            <w:r>
              <w:t>2022</w:t>
            </w:r>
          </w:p>
        </w:tc>
        <w:tc>
          <w:tcPr>
            <w:tcW w:w="119" w:type="dxa"/>
            <w:vAlign w:val="bottom"/>
          </w:tcPr>
          <w:p w14:paraId="22445E66"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33E6357D" w14:textId="77777777" w:rsidR="00FE4ADA" w:rsidRDefault="00FE4ADA" w:rsidP="00251EF9">
            <w:pPr>
              <w:pStyle w:val="THeadlastNumberbold"/>
            </w:pPr>
            <w:r>
              <w:t>2023</w:t>
            </w:r>
          </w:p>
        </w:tc>
        <w:tc>
          <w:tcPr>
            <w:tcW w:w="119" w:type="dxa"/>
            <w:vAlign w:val="bottom"/>
          </w:tcPr>
          <w:p w14:paraId="219ECC5C"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6412B7FE" w14:textId="1CFCF418" w:rsidR="00FE4ADA" w:rsidRDefault="00BC3645" w:rsidP="00251EF9">
            <w:pPr>
              <w:pStyle w:val="THeaddifferenceNumber"/>
              <w:keepNext/>
            </w:pPr>
            <w:r w:rsidRPr="007F5EDB">
              <w:rPr>
                <w:lang w:val="es-AR"/>
              </w:rPr>
              <w:t>Cambio</w:t>
            </w:r>
            <w:r w:rsidR="00FE4ADA">
              <w:t xml:space="preserve"> en</w:t>
            </w:r>
            <w:r>
              <w:t xml:space="preserve"> %</w:t>
            </w:r>
          </w:p>
        </w:tc>
      </w:tr>
      <w:tr w:rsidR="00FE4ADA" w14:paraId="25BA3C72" w14:textId="77777777" w:rsidTr="00BC3645">
        <w:tc>
          <w:tcPr>
            <w:tcW w:w="2914" w:type="dxa"/>
            <w:tcBorders>
              <w:top w:val="single" w:sz="4" w:space="0" w:color="000000"/>
              <w:bottom w:val="single" w:sz="4" w:space="0" w:color="A59C94"/>
            </w:tcBorders>
            <w:vAlign w:val="bottom"/>
          </w:tcPr>
          <w:p w14:paraId="79101015" w14:textId="77777777" w:rsidR="00FE4ADA" w:rsidRDefault="00FE4ADA" w:rsidP="00251EF9">
            <w:pPr>
              <w:pStyle w:val="TBodysubtotalText"/>
              <w:keepNext/>
            </w:pPr>
            <w:r>
              <w:t>Ventas</w:t>
            </w:r>
          </w:p>
        </w:tc>
        <w:tc>
          <w:tcPr>
            <w:tcW w:w="119" w:type="dxa"/>
            <w:vAlign w:val="bottom"/>
          </w:tcPr>
          <w:p w14:paraId="7845EC3D" w14:textId="77777777" w:rsidR="00FE4ADA" w:rsidRDefault="00FE4ADA" w:rsidP="00251EF9">
            <w:pPr>
              <w:pStyle w:val="TBodysubtotalNumber"/>
              <w:keepNext/>
            </w:pPr>
          </w:p>
        </w:tc>
        <w:tc>
          <w:tcPr>
            <w:tcW w:w="1021" w:type="dxa"/>
            <w:tcBorders>
              <w:top w:val="single" w:sz="4" w:space="0" w:color="000000"/>
              <w:bottom w:val="single" w:sz="4" w:space="0" w:color="A59C94"/>
            </w:tcBorders>
            <w:vAlign w:val="bottom"/>
          </w:tcPr>
          <w:p w14:paraId="2D84CEAE" w14:textId="77777777" w:rsidR="00FE4ADA" w:rsidRDefault="00FE4ADA" w:rsidP="00251EF9">
            <w:pPr>
              <w:pStyle w:val="TBodysubtotalNumber"/>
              <w:keepNext/>
            </w:pPr>
            <w:r>
              <w:t>4,340</w:t>
            </w:r>
          </w:p>
        </w:tc>
        <w:tc>
          <w:tcPr>
            <w:tcW w:w="119" w:type="dxa"/>
            <w:vAlign w:val="bottom"/>
          </w:tcPr>
          <w:p w14:paraId="5AF9C00D" w14:textId="77777777" w:rsidR="00FE4ADA" w:rsidRDefault="00FE4ADA" w:rsidP="00251EF9">
            <w:pPr>
              <w:pStyle w:val="TBodysubtotalNumber"/>
              <w:keepNext/>
            </w:pPr>
          </w:p>
        </w:tc>
        <w:tc>
          <w:tcPr>
            <w:tcW w:w="1021" w:type="dxa"/>
            <w:tcBorders>
              <w:top w:val="single" w:sz="4" w:space="0" w:color="000000"/>
              <w:bottom w:val="single" w:sz="4" w:space="0" w:color="A59C94"/>
            </w:tcBorders>
            <w:shd w:val="clear" w:color="000000" w:fill="DAD5C9"/>
            <w:vAlign w:val="bottom"/>
          </w:tcPr>
          <w:p w14:paraId="3A49A091" w14:textId="77777777" w:rsidR="00FE4ADA" w:rsidRDefault="00FE4ADA" w:rsidP="00251EF9">
            <w:pPr>
              <w:pStyle w:val="TBodysubtotalNumber"/>
              <w:keepNext/>
            </w:pPr>
            <w:r>
              <w:t>3,604</w:t>
            </w:r>
          </w:p>
        </w:tc>
        <w:tc>
          <w:tcPr>
            <w:tcW w:w="119" w:type="dxa"/>
            <w:vAlign w:val="bottom"/>
          </w:tcPr>
          <w:p w14:paraId="35A1BF75" w14:textId="77777777" w:rsidR="00FE4ADA" w:rsidRDefault="00FE4ADA" w:rsidP="00251EF9">
            <w:pPr>
              <w:pStyle w:val="TBodysubtotalNumber"/>
              <w:keepNext/>
            </w:pPr>
          </w:p>
        </w:tc>
        <w:tc>
          <w:tcPr>
            <w:tcW w:w="1021" w:type="dxa"/>
            <w:tcBorders>
              <w:top w:val="single" w:sz="4" w:space="0" w:color="000000"/>
              <w:bottom w:val="single" w:sz="4" w:space="0" w:color="A59C94"/>
            </w:tcBorders>
            <w:vAlign w:val="bottom"/>
          </w:tcPr>
          <w:p w14:paraId="193AAABF" w14:textId="77777777" w:rsidR="00FE4ADA" w:rsidRDefault="00FE4ADA" w:rsidP="00251EF9">
            <w:pPr>
              <w:pStyle w:val="TBodysubtotalNumber"/>
              <w:keepNext/>
            </w:pPr>
            <w:r>
              <w:t>-17</w:t>
            </w:r>
          </w:p>
        </w:tc>
        <w:tc>
          <w:tcPr>
            <w:tcW w:w="119" w:type="dxa"/>
            <w:vAlign w:val="bottom"/>
          </w:tcPr>
          <w:p w14:paraId="7AB5208C" w14:textId="77777777" w:rsidR="00FE4ADA" w:rsidRDefault="00FE4ADA" w:rsidP="00251EF9">
            <w:pPr>
              <w:pStyle w:val="TBodysubtotalNumber"/>
              <w:keepNext/>
            </w:pPr>
          </w:p>
        </w:tc>
        <w:tc>
          <w:tcPr>
            <w:tcW w:w="1021" w:type="dxa"/>
            <w:tcBorders>
              <w:top w:val="single" w:sz="4" w:space="0" w:color="000000"/>
              <w:bottom w:val="single" w:sz="4" w:space="0" w:color="A59C94"/>
            </w:tcBorders>
            <w:vAlign w:val="bottom"/>
          </w:tcPr>
          <w:p w14:paraId="11AE9FC9" w14:textId="77777777" w:rsidR="00FE4ADA" w:rsidRDefault="00FE4ADA" w:rsidP="00251EF9">
            <w:pPr>
              <w:pStyle w:val="TBodysubtotalNumber"/>
              <w:keepNext/>
            </w:pPr>
            <w:r>
              <w:t>18,488</w:t>
            </w:r>
          </w:p>
        </w:tc>
        <w:tc>
          <w:tcPr>
            <w:tcW w:w="119" w:type="dxa"/>
            <w:vAlign w:val="bottom"/>
          </w:tcPr>
          <w:p w14:paraId="73349E7C" w14:textId="77777777" w:rsidR="00FE4ADA" w:rsidRDefault="00FE4ADA" w:rsidP="00251EF9">
            <w:pPr>
              <w:pStyle w:val="TBodysubtotalNumber"/>
              <w:keepNext/>
            </w:pPr>
          </w:p>
        </w:tc>
        <w:tc>
          <w:tcPr>
            <w:tcW w:w="1021" w:type="dxa"/>
            <w:tcBorders>
              <w:top w:val="single" w:sz="4" w:space="0" w:color="000000"/>
              <w:bottom w:val="single" w:sz="4" w:space="0" w:color="A59C94"/>
            </w:tcBorders>
            <w:shd w:val="clear" w:color="000000" w:fill="DAD5C9"/>
            <w:vAlign w:val="bottom"/>
          </w:tcPr>
          <w:p w14:paraId="44B0EB4A" w14:textId="77777777" w:rsidR="00FE4ADA" w:rsidRDefault="00FE4ADA" w:rsidP="00251EF9">
            <w:pPr>
              <w:pStyle w:val="TBodysubtotalNumber"/>
              <w:keepNext/>
            </w:pPr>
            <w:r>
              <w:t>15,267</w:t>
            </w:r>
          </w:p>
        </w:tc>
        <w:tc>
          <w:tcPr>
            <w:tcW w:w="119" w:type="dxa"/>
            <w:vAlign w:val="bottom"/>
          </w:tcPr>
          <w:p w14:paraId="523F539E" w14:textId="77777777" w:rsidR="00FE4ADA" w:rsidRDefault="00FE4ADA" w:rsidP="00251EF9">
            <w:pPr>
              <w:pStyle w:val="TBodysubtotalNumber"/>
              <w:keepNext/>
            </w:pPr>
          </w:p>
        </w:tc>
        <w:tc>
          <w:tcPr>
            <w:tcW w:w="1021" w:type="dxa"/>
            <w:tcBorders>
              <w:top w:val="single" w:sz="4" w:space="0" w:color="000000"/>
              <w:bottom w:val="single" w:sz="4" w:space="0" w:color="A59C94"/>
            </w:tcBorders>
            <w:vAlign w:val="bottom"/>
          </w:tcPr>
          <w:p w14:paraId="6277B727" w14:textId="77777777" w:rsidR="00FE4ADA" w:rsidRDefault="00FE4ADA" w:rsidP="00251EF9">
            <w:pPr>
              <w:pStyle w:val="TBodysubtotalNumber"/>
              <w:keepNext/>
            </w:pPr>
            <w:r>
              <w:t>-17</w:t>
            </w:r>
          </w:p>
        </w:tc>
      </w:tr>
      <w:tr w:rsidR="00FE4ADA" w14:paraId="4F2D982D" w14:textId="77777777" w:rsidTr="00BC3645">
        <w:tc>
          <w:tcPr>
            <w:tcW w:w="2914" w:type="dxa"/>
            <w:tcBorders>
              <w:top w:val="single" w:sz="4" w:space="0" w:color="A59C94"/>
              <w:bottom w:val="single" w:sz="4" w:space="0" w:color="A59C94"/>
            </w:tcBorders>
            <w:vAlign w:val="bottom"/>
          </w:tcPr>
          <w:p w14:paraId="74AD9CC1" w14:textId="77777777" w:rsidR="00FE4ADA" w:rsidRDefault="00FE4ADA" w:rsidP="00251EF9">
            <w:pPr>
              <w:pStyle w:val="TBodysubtotalText"/>
              <w:keepNext/>
            </w:pPr>
            <w:r>
              <w:t>EBITDA ajustado</w:t>
            </w:r>
          </w:p>
        </w:tc>
        <w:tc>
          <w:tcPr>
            <w:tcW w:w="119" w:type="dxa"/>
            <w:vAlign w:val="bottom"/>
          </w:tcPr>
          <w:p w14:paraId="436392EC" w14:textId="77777777" w:rsidR="00FE4ADA" w:rsidRDefault="00FE4ADA" w:rsidP="00251EF9">
            <w:pPr>
              <w:pStyle w:val="TBodysubtotalNumber"/>
              <w:keepNext/>
            </w:pPr>
          </w:p>
        </w:tc>
        <w:tc>
          <w:tcPr>
            <w:tcW w:w="1021" w:type="dxa"/>
            <w:tcBorders>
              <w:top w:val="single" w:sz="4" w:space="0" w:color="A59C94"/>
              <w:bottom w:val="single" w:sz="4" w:space="0" w:color="A59C94"/>
            </w:tcBorders>
            <w:vAlign w:val="bottom"/>
          </w:tcPr>
          <w:p w14:paraId="5E08367C" w14:textId="77777777" w:rsidR="00FE4ADA" w:rsidRDefault="00FE4ADA" w:rsidP="00251EF9">
            <w:pPr>
              <w:pStyle w:val="TBodysubtotalNumber"/>
              <w:keepNext/>
            </w:pPr>
            <w:r>
              <w:t>413</w:t>
            </w:r>
          </w:p>
        </w:tc>
        <w:tc>
          <w:tcPr>
            <w:tcW w:w="119" w:type="dxa"/>
            <w:vAlign w:val="bottom"/>
          </w:tcPr>
          <w:p w14:paraId="7C1F0936" w14:textId="77777777" w:rsidR="00FE4ADA" w:rsidRDefault="00FE4ADA" w:rsidP="00251EF9">
            <w:pPr>
              <w:pStyle w:val="TBodysubtotalNumber"/>
              <w:keepNext/>
            </w:pPr>
          </w:p>
        </w:tc>
        <w:tc>
          <w:tcPr>
            <w:tcW w:w="1021" w:type="dxa"/>
            <w:tcBorders>
              <w:top w:val="single" w:sz="4" w:space="0" w:color="A59C94"/>
              <w:bottom w:val="single" w:sz="4" w:space="0" w:color="A59C94"/>
            </w:tcBorders>
            <w:shd w:val="clear" w:color="000000" w:fill="DAD5C9"/>
            <w:vAlign w:val="bottom"/>
          </w:tcPr>
          <w:p w14:paraId="4DB15879" w14:textId="77777777" w:rsidR="00FE4ADA" w:rsidRDefault="00FE4ADA" w:rsidP="00251EF9">
            <w:pPr>
              <w:pStyle w:val="TBodysubtotalNumber"/>
              <w:keepNext/>
            </w:pPr>
            <w:r>
              <w:t>312</w:t>
            </w:r>
          </w:p>
        </w:tc>
        <w:tc>
          <w:tcPr>
            <w:tcW w:w="119" w:type="dxa"/>
            <w:vAlign w:val="bottom"/>
          </w:tcPr>
          <w:p w14:paraId="279BFD8A" w14:textId="77777777" w:rsidR="00FE4ADA" w:rsidRDefault="00FE4ADA" w:rsidP="00251EF9">
            <w:pPr>
              <w:pStyle w:val="TBodysubtotalNumber"/>
              <w:keepNext/>
            </w:pPr>
          </w:p>
        </w:tc>
        <w:tc>
          <w:tcPr>
            <w:tcW w:w="1021" w:type="dxa"/>
            <w:tcBorders>
              <w:top w:val="single" w:sz="4" w:space="0" w:color="A59C94"/>
              <w:bottom w:val="single" w:sz="4" w:space="0" w:color="A59C94"/>
            </w:tcBorders>
            <w:vAlign w:val="bottom"/>
          </w:tcPr>
          <w:p w14:paraId="265A59F9" w14:textId="77777777" w:rsidR="00FE4ADA" w:rsidRDefault="00FE4ADA" w:rsidP="00251EF9">
            <w:pPr>
              <w:pStyle w:val="TBodysubtotalNumber"/>
              <w:keepNext/>
            </w:pPr>
            <w:r>
              <w:t>-24</w:t>
            </w:r>
          </w:p>
        </w:tc>
        <w:tc>
          <w:tcPr>
            <w:tcW w:w="119" w:type="dxa"/>
            <w:vAlign w:val="bottom"/>
          </w:tcPr>
          <w:p w14:paraId="733A59D4" w14:textId="77777777" w:rsidR="00FE4ADA" w:rsidRDefault="00FE4ADA" w:rsidP="00251EF9">
            <w:pPr>
              <w:pStyle w:val="TBodysubtotalNumber"/>
              <w:keepNext/>
            </w:pPr>
          </w:p>
        </w:tc>
        <w:tc>
          <w:tcPr>
            <w:tcW w:w="1021" w:type="dxa"/>
            <w:tcBorders>
              <w:top w:val="single" w:sz="4" w:space="0" w:color="A59C94"/>
              <w:bottom w:val="single" w:sz="4" w:space="0" w:color="A59C94"/>
            </w:tcBorders>
            <w:vAlign w:val="bottom"/>
          </w:tcPr>
          <w:p w14:paraId="209518F2" w14:textId="77777777" w:rsidR="00FE4ADA" w:rsidRDefault="00FE4ADA" w:rsidP="00251EF9">
            <w:pPr>
              <w:pStyle w:val="TBodysubtotalNumber"/>
              <w:keepNext/>
            </w:pPr>
            <w:r>
              <w:t>2,490</w:t>
            </w:r>
          </w:p>
        </w:tc>
        <w:tc>
          <w:tcPr>
            <w:tcW w:w="119" w:type="dxa"/>
            <w:vAlign w:val="bottom"/>
          </w:tcPr>
          <w:p w14:paraId="12EACA5E" w14:textId="77777777" w:rsidR="00FE4ADA" w:rsidRDefault="00FE4ADA" w:rsidP="00251EF9">
            <w:pPr>
              <w:pStyle w:val="TBodysubtotalNumber"/>
              <w:keepNext/>
            </w:pPr>
          </w:p>
        </w:tc>
        <w:tc>
          <w:tcPr>
            <w:tcW w:w="1021" w:type="dxa"/>
            <w:tcBorders>
              <w:top w:val="single" w:sz="4" w:space="0" w:color="A59C94"/>
              <w:bottom w:val="single" w:sz="4" w:space="0" w:color="A59C94"/>
            </w:tcBorders>
            <w:shd w:val="clear" w:color="000000" w:fill="DAD5C9"/>
            <w:vAlign w:val="bottom"/>
          </w:tcPr>
          <w:p w14:paraId="54623271" w14:textId="77777777" w:rsidR="00FE4ADA" w:rsidRDefault="00FE4ADA" w:rsidP="00251EF9">
            <w:pPr>
              <w:pStyle w:val="TBodysubtotalNumber"/>
              <w:keepNext/>
            </w:pPr>
            <w:r>
              <w:t>1,656</w:t>
            </w:r>
          </w:p>
        </w:tc>
        <w:tc>
          <w:tcPr>
            <w:tcW w:w="119" w:type="dxa"/>
            <w:vAlign w:val="bottom"/>
          </w:tcPr>
          <w:p w14:paraId="5635FF07" w14:textId="77777777" w:rsidR="00FE4ADA" w:rsidRDefault="00FE4ADA" w:rsidP="00251EF9">
            <w:pPr>
              <w:pStyle w:val="TBodysubtotalNumber"/>
              <w:keepNext/>
            </w:pPr>
          </w:p>
        </w:tc>
        <w:tc>
          <w:tcPr>
            <w:tcW w:w="1021" w:type="dxa"/>
            <w:tcBorders>
              <w:top w:val="single" w:sz="4" w:space="0" w:color="A59C94"/>
              <w:bottom w:val="single" w:sz="4" w:space="0" w:color="A59C94"/>
            </w:tcBorders>
            <w:vAlign w:val="bottom"/>
          </w:tcPr>
          <w:p w14:paraId="7085918C" w14:textId="77777777" w:rsidR="00FE4ADA" w:rsidRDefault="00FE4ADA" w:rsidP="00251EF9">
            <w:pPr>
              <w:pStyle w:val="TBodysubtotalNumber"/>
              <w:keepNext/>
            </w:pPr>
            <w:r>
              <w:t>-33</w:t>
            </w:r>
          </w:p>
        </w:tc>
      </w:tr>
      <w:tr w:rsidR="00FE4ADA" w14:paraId="3E453A01" w14:textId="77777777" w:rsidTr="00BC3645">
        <w:tc>
          <w:tcPr>
            <w:tcW w:w="2914" w:type="dxa"/>
            <w:tcBorders>
              <w:top w:val="single" w:sz="4" w:space="0" w:color="A59C94"/>
              <w:bottom w:val="single" w:sz="4" w:space="0" w:color="A59C94"/>
            </w:tcBorders>
            <w:vAlign w:val="bottom"/>
          </w:tcPr>
          <w:p w14:paraId="2333DAFA" w14:textId="77777777" w:rsidR="00FE4ADA" w:rsidRDefault="00FE4ADA" w:rsidP="00251EF9">
            <w:pPr>
              <w:pStyle w:val="TBodysubtotalText"/>
              <w:keepNext/>
            </w:pPr>
            <w:r>
              <w:t>EBIT ajustado</w:t>
            </w:r>
          </w:p>
        </w:tc>
        <w:tc>
          <w:tcPr>
            <w:tcW w:w="119" w:type="dxa"/>
            <w:vAlign w:val="bottom"/>
          </w:tcPr>
          <w:p w14:paraId="1764807D" w14:textId="77777777" w:rsidR="00FE4ADA" w:rsidRDefault="00FE4ADA" w:rsidP="00251EF9">
            <w:pPr>
              <w:pStyle w:val="TBodysubtotalNumber"/>
              <w:keepNext/>
            </w:pPr>
          </w:p>
        </w:tc>
        <w:tc>
          <w:tcPr>
            <w:tcW w:w="1021" w:type="dxa"/>
            <w:tcBorders>
              <w:top w:val="single" w:sz="4" w:space="0" w:color="A59C94"/>
              <w:bottom w:val="single" w:sz="4" w:space="0" w:color="A59C94"/>
            </w:tcBorders>
            <w:vAlign w:val="bottom"/>
          </w:tcPr>
          <w:p w14:paraId="05A202D2" w14:textId="77777777" w:rsidR="00FE4ADA" w:rsidRDefault="00FE4ADA" w:rsidP="00251EF9">
            <w:pPr>
              <w:pStyle w:val="TBodysubtotalNumber"/>
              <w:keepNext/>
            </w:pPr>
            <w:r>
              <w:t>80</w:t>
            </w:r>
          </w:p>
        </w:tc>
        <w:tc>
          <w:tcPr>
            <w:tcW w:w="119" w:type="dxa"/>
            <w:vAlign w:val="bottom"/>
          </w:tcPr>
          <w:p w14:paraId="3352E9BD" w14:textId="77777777" w:rsidR="00FE4ADA" w:rsidRDefault="00FE4ADA" w:rsidP="00251EF9">
            <w:pPr>
              <w:pStyle w:val="TBodysubtotalNumber"/>
              <w:keepNext/>
            </w:pPr>
          </w:p>
        </w:tc>
        <w:tc>
          <w:tcPr>
            <w:tcW w:w="1021" w:type="dxa"/>
            <w:tcBorders>
              <w:top w:val="single" w:sz="4" w:space="0" w:color="A59C94"/>
              <w:bottom w:val="single" w:sz="4" w:space="0" w:color="A59C94"/>
            </w:tcBorders>
            <w:shd w:val="clear" w:color="000000" w:fill="DAD5C9"/>
            <w:vAlign w:val="bottom"/>
          </w:tcPr>
          <w:p w14:paraId="0EDDBB06" w14:textId="77777777" w:rsidR="00FE4ADA" w:rsidRDefault="00FE4ADA" w:rsidP="00251EF9">
            <w:pPr>
              <w:pStyle w:val="TBodysubtotalNumber"/>
              <w:keepNext/>
            </w:pPr>
            <w:r>
              <w:t>32</w:t>
            </w:r>
          </w:p>
        </w:tc>
        <w:tc>
          <w:tcPr>
            <w:tcW w:w="119" w:type="dxa"/>
            <w:vAlign w:val="bottom"/>
          </w:tcPr>
          <w:p w14:paraId="6B5C93F8" w14:textId="77777777" w:rsidR="00FE4ADA" w:rsidRDefault="00FE4ADA" w:rsidP="00251EF9">
            <w:pPr>
              <w:pStyle w:val="TBodysubtotalNumber"/>
              <w:keepNext/>
            </w:pPr>
          </w:p>
        </w:tc>
        <w:tc>
          <w:tcPr>
            <w:tcW w:w="1021" w:type="dxa"/>
            <w:tcBorders>
              <w:top w:val="single" w:sz="4" w:space="0" w:color="A59C94"/>
              <w:bottom w:val="single" w:sz="4" w:space="0" w:color="A59C94"/>
            </w:tcBorders>
            <w:vAlign w:val="bottom"/>
          </w:tcPr>
          <w:p w14:paraId="59A5732C" w14:textId="77777777" w:rsidR="00FE4ADA" w:rsidRDefault="00FE4ADA" w:rsidP="00251EF9">
            <w:pPr>
              <w:pStyle w:val="TBodysubtotalNumber"/>
              <w:keepNext/>
            </w:pPr>
            <w:r>
              <w:t>-60</w:t>
            </w:r>
          </w:p>
        </w:tc>
        <w:tc>
          <w:tcPr>
            <w:tcW w:w="119" w:type="dxa"/>
            <w:vAlign w:val="bottom"/>
          </w:tcPr>
          <w:p w14:paraId="3B405659" w14:textId="77777777" w:rsidR="00FE4ADA" w:rsidRDefault="00FE4ADA" w:rsidP="00251EF9">
            <w:pPr>
              <w:pStyle w:val="TBodysubtotalNumber"/>
              <w:keepNext/>
            </w:pPr>
          </w:p>
        </w:tc>
        <w:tc>
          <w:tcPr>
            <w:tcW w:w="1021" w:type="dxa"/>
            <w:tcBorders>
              <w:top w:val="single" w:sz="4" w:space="0" w:color="A59C94"/>
              <w:bottom w:val="single" w:sz="4" w:space="0" w:color="A59C94"/>
            </w:tcBorders>
            <w:vAlign w:val="bottom"/>
          </w:tcPr>
          <w:p w14:paraId="2E3D555F" w14:textId="77777777" w:rsidR="00FE4ADA" w:rsidRDefault="00FE4ADA" w:rsidP="00251EF9">
            <w:pPr>
              <w:pStyle w:val="TBodysubtotalNumber"/>
              <w:keepNext/>
            </w:pPr>
            <w:r>
              <w:t>1,350</w:t>
            </w:r>
          </w:p>
        </w:tc>
        <w:tc>
          <w:tcPr>
            <w:tcW w:w="119" w:type="dxa"/>
            <w:vAlign w:val="bottom"/>
          </w:tcPr>
          <w:p w14:paraId="0200EA78" w14:textId="77777777" w:rsidR="00FE4ADA" w:rsidRDefault="00FE4ADA" w:rsidP="00251EF9">
            <w:pPr>
              <w:pStyle w:val="TBodysubtotalNumber"/>
              <w:keepNext/>
            </w:pPr>
          </w:p>
        </w:tc>
        <w:tc>
          <w:tcPr>
            <w:tcW w:w="1021" w:type="dxa"/>
            <w:tcBorders>
              <w:top w:val="single" w:sz="4" w:space="0" w:color="A59C94"/>
              <w:bottom w:val="single" w:sz="4" w:space="0" w:color="A59C94"/>
            </w:tcBorders>
            <w:shd w:val="clear" w:color="000000" w:fill="DAD5C9"/>
            <w:vAlign w:val="bottom"/>
          </w:tcPr>
          <w:p w14:paraId="782F9F9C" w14:textId="77777777" w:rsidR="00FE4ADA" w:rsidRDefault="00FE4ADA" w:rsidP="00251EF9">
            <w:pPr>
              <w:pStyle w:val="TBodysubtotalNumber"/>
              <w:keepNext/>
            </w:pPr>
            <w:bookmarkStart w:id="8" w:name="SNAMD_e6840f7616f847d5a3ccf64c583e88be"/>
            <w:r>
              <w:t>521</w:t>
            </w:r>
            <w:bookmarkEnd w:id="8"/>
          </w:p>
        </w:tc>
        <w:tc>
          <w:tcPr>
            <w:tcW w:w="119" w:type="dxa"/>
            <w:vAlign w:val="bottom"/>
          </w:tcPr>
          <w:p w14:paraId="560B0F58" w14:textId="77777777" w:rsidR="00FE4ADA" w:rsidRDefault="00FE4ADA" w:rsidP="00251EF9">
            <w:pPr>
              <w:pStyle w:val="TBodysubtotalNumber"/>
              <w:keepNext/>
            </w:pPr>
          </w:p>
        </w:tc>
        <w:tc>
          <w:tcPr>
            <w:tcW w:w="1021" w:type="dxa"/>
            <w:tcBorders>
              <w:top w:val="single" w:sz="4" w:space="0" w:color="A59C94"/>
              <w:bottom w:val="single" w:sz="4" w:space="0" w:color="A59C94"/>
            </w:tcBorders>
            <w:vAlign w:val="bottom"/>
          </w:tcPr>
          <w:p w14:paraId="0158947D" w14:textId="77777777" w:rsidR="00FE4ADA" w:rsidRDefault="00FE4ADA" w:rsidP="00251EF9">
            <w:pPr>
              <w:pStyle w:val="TBodysubtotalNumber"/>
              <w:keepNext/>
            </w:pPr>
            <w:r>
              <w:t>-61</w:t>
            </w:r>
          </w:p>
        </w:tc>
      </w:tr>
      <w:tr w:rsidR="00FE4ADA" w14:paraId="2005E08A" w14:textId="77777777" w:rsidTr="00BC3645">
        <w:tc>
          <w:tcPr>
            <w:tcW w:w="2914" w:type="dxa"/>
            <w:tcBorders>
              <w:top w:val="single" w:sz="4" w:space="0" w:color="A59C94"/>
              <w:bottom w:val="single" w:sz="4" w:space="0" w:color="A59C94"/>
            </w:tcBorders>
            <w:vAlign w:val="bottom"/>
          </w:tcPr>
          <w:p w14:paraId="00CF13DB" w14:textId="77777777" w:rsidR="00FE4ADA" w:rsidRDefault="00FE4ADA" w:rsidP="00251EF9">
            <w:pPr>
              <w:pStyle w:val="TBodynormalText"/>
            </w:pPr>
            <w:r>
              <w:t>Ajustes</w:t>
            </w:r>
          </w:p>
        </w:tc>
        <w:tc>
          <w:tcPr>
            <w:tcW w:w="119" w:type="dxa"/>
            <w:vAlign w:val="bottom"/>
          </w:tcPr>
          <w:p w14:paraId="23396F2F" w14:textId="77777777" w:rsidR="00FE4ADA" w:rsidRDefault="00FE4ADA" w:rsidP="00251EF9">
            <w:pPr>
              <w:pStyle w:val="TBodynormalNumber"/>
              <w:keepNext/>
            </w:pPr>
          </w:p>
        </w:tc>
        <w:tc>
          <w:tcPr>
            <w:tcW w:w="1021" w:type="dxa"/>
            <w:tcBorders>
              <w:top w:val="single" w:sz="4" w:space="0" w:color="A59C94"/>
              <w:bottom w:val="single" w:sz="4" w:space="0" w:color="A59C94"/>
            </w:tcBorders>
            <w:vAlign w:val="bottom"/>
          </w:tcPr>
          <w:p w14:paraId="6D6B2182" w14:textId="77777777" w:rsidR="00FE4ADA" w:rsidRDefault="00FE4ADA" w:rsidP="00251EF9">
            <w:pPr>
              <w:pStyle w:val="TBodynormalNumber"/>
              <w:keepNext/>
            </w:pPr>
            <w:r>
              <w:t>-340</w:t>
            </w:r>
          </w:p>
        </w:tc>
        <w:tc>
          <w:tcPr>
            <w:tcW w:w="119" w:type="dxa"/>
            <w:vAlign w:val="bottom"/>
          </w:tcPr>
          <w:p w14:paraId="41F16FDA"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vAlign w:val="bottom"/>
          </w:tcPr>
          <w:p w14:paraId="665CC48D" w14:textId="77777777" w:rsidR="00FE4ADA" w:rsidRDefault="00FE4ADA" w:rsidP="00251EF9">
            <w:pPr>
              <w:pStyle w:val="TBodynormalNumber"/>
              <w:keepNext/>
            </w:pPr>
            <w:r>
              <w:t>-2</w:t>
            </w:r>
          </w:p>
        </w:tc>
        <w:tc>
          <w:tcPr>
            <w:tcW w:w="119" w:type="dxa"/>
            <w:vAlign w:val="bottom"/>
          </w:tcPr>
          <w:p w14:paraId="0FED4492" w14:textId="77777777" w:rsidR="00FE4ADA" w:rsidRDefault="00FE4ADA" w:rsidP="00251EF9">
            <w:pPr>
              <w:pStyle w:val="TBodynormalNumber"/>
              <w:keepNext/>
            </w:pPr>
          </w:p>
        </w:tc>
        <w:tc>
          <w:tcPr>
            <w:tcW w:w="1021" w:type="dxa"/>
            <w:tcBorders>
              <w:top w:val="single" w:sz="4" w:space="0" w:color="A59C94"/>
              <w:bottom w:val="single" w:sz="4" w:space="0" w:color="A59C94"/>
            </w:tcBorders>
            <w:vAlign w:val="bottom"/>
          </w:tcPr>
          <w:p w14:paraId="1C6C455F" w14:textId="77777777" w:rsidR="00FE4ADA" w:rsidRDefault="00FE4ADA" w:rsidP="00251EF9">
            <w:pPr>
              <w:pStyle w:val="TBodynormalNumber"/>
              <w:keepNext/>
            </w:pPr>
          </w:p>
        </w:tc>
        <w:tc>
          <w:tcPr>
            <w:tcW w:w="119" w:type="dxa"/>
            <w:vAlign w:val="bottom"/>
          </w:tcPr>
          <w:p w14:paraId="00AE0710" w14:textId="77777777" w:rsidR="00FE4ADA" w:rsidRDefault="00FE4ADA" w:rsidP="00251EF9">
            <w:pPr>
              <w:pStyle w:val="TBodynormalNumber"/>
              <w:keepNext/>
            </w:pPr>
          </w:p>
        </w:tc>
        <w:tc>
          <w:tcPr>
            <w:tcW w:w="1021" w:type="dxa"/>
            <w:tcBorders>
              <w:top w:val="single" w:sz="4" w:space="0" w:color="A59C94"/>
              <w:bottom w:val="single" w:sz="4" w:space="0" w:color="A59C94"/>
            </w:tcBorders>
            <w:vAlign w:val="bottom"/>
          </w:tcPr>
          <w:p w14:paraId="2F51911C" w14:textId="77777777" w:rsidR="00FE4ADA" w:rsidRDefault="00FE4ADA" w:rsidP="00251EF9">
            <w:pPr>
              <w:pStyle w:val="TBodynormalNumber"/>
              <w:keepNext/>
            </w:pPr>
            <w:r>
              <w:t>-408</w:t>
            </w:r>
          </w:p>
        </w:tc>
        <w:tc>
          <w:tcPr>
            <w:tcW w:w="119" w:type="dxa"/>
            <w:vAlign w:val="bottom"/>
          </w:tcPr>
          <w:p w14:paraId="67389DA9"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vAlign w:val="bottom"/>
          </w:tcPr>
          <w:p w14:paraId="02055479" w14:textId="77777777" w:rsidR="00FE4ADA" w:rsidRDefault="00FE4ADA" w:rsidP="00251EF9">
            <w:pPr>
              <w:pStyle w:val="TBodynormalNumber"/>
              <w:keepNext/>
            </w:pPr>
            <w:r>
              <w:t>-764</w:t>
            </w:r>
          </w:p>
        </w:tc>
        <w:tc>
          <w:tcPr>
            <w:tcW w:w="119" w:type="dxa"/>
            <w:vAlign w:val="bottom"/>
          </w:tcPr>
          <w:p w14:paraId="21864953" w14:textId="77777777" w:rsidR="00FE4ADA" w:rsidRDefault="00FE4ADA" w:rsidP="00251EF9">
            <w:pPr>
              <w:pStyle w:val="TBodynormalNumber"/>
              <w:keepNext/>
            </w:pPr>
          </w:p>
        </w:tc>
        <w:tc>
          <w:tcPr>
            <w:tcW w:w="1021" w:type="dxa"/>
            <w:tcBorders>
              <w:top w:val="single" w:sz="4" w:space="0" w:color="A59C94"/>
              <w:bottom w:val="single" w:sz="4" w:space="0" w:color="A59C94"/>
            </w:tcBorders>
            <w:vAlign w:val="bottom"/>
          </w:tcPr>
          <w:p w14:paraId="37B7C4CE" w14:textId="77777777" w:rsidR="00FE4ADA" w:rsidRDefault="00FE4ADA" w:rsidP="00251EF9">
            <w:pPr>
              <w:pStyle w:val="TBodynormalNumber"/>
              <w:keepNext/>
            </w:pPr>
          </w:p>
        </w:tc>
      </w:tr>
      <w:tr w:rsidR="00FE4ADA" w14:paraId="2E81D6AC" w14:textId="77777777" w:rsidTr="00BC3645">
        <w:tc>
          <w:tcPr>
            <w:tcW w:w="2914" w:type="dxa"/>
            <w:tcBorders>
              <w:top w:val="single" w:sz="4" w:space="0" w:color="A59C94"/>
              <w:bottom w:val="single" w:sz="4" w:space="0" w:color="A59C94"/>
            </w:tcBorders>
            <w:vAlign w:val="bottom"/>
          </w:tcPr>
          <w:p w14:paraId="1C83CF79" w14:textId="77777777" w:rsidR="00FE4ADA" w:rsidRDefault="00FE4ADA" w:rsidP="00251EF9">
            <w:pPr>
              <w:pStyle w:val="TBodynormalText"/>
            </w:pPr>
            <w:r>
              <w:t>Resultado financiero</w:t>
            </w:r>
          </w:p>
        </w:tc>
        <w:tc>
          <w:tcPr>
            <w:tcW w:w="119" w:type="dxa"/>
            <w:vAlign w:val="bottom"/>
          </w:tcPr>
          <w:p w14:paraId="07BB176C" w14:textId="77777777" w:rsidR="00FE4ADA" w:rsidRDefault="00FE4ADA" w:rsidP="00251EF9">
            <w:pPr>
              <w:pStyle w:val="TBodynormalNumber"/>
              <w:keepNext/>
            </w:pPr>
          </w:p>
        </w:tc>
        <w:tc>
          <w:tcPr>
            <w:tcW w:w="1021" w:type="dxa"/>
            <w:tcBorders>
              <w:top w:val="single" w:sz="4" w:space="0" w:color="A59C94"/>
              <w:bottom w:val="single" w:sz="4" w:space="0" w:color="A59C94"/>
            </w:tcBorders>
            <w:vAlign w:val="bottom"/>
          </w:tcPr>
          <w:p w14:paraId="2F7E4222" w14:textId="77777777" w:rsidR="00FE4ADA" w:rsidRDefault="00FE4ADA" w:rsidP="00251EF9">
            <w:pPr>
              <w:pStyle w:val="TBodynormalNumber"/>
              <w:keepNext/>
            </w:pPr>
            <w:r>
              <w:t>9</w:t>
            </w:r>
          </w:p>
        </w:tc>
        <w:tc>
          <w:tcPr>
            <w:tcW w:w="119" w:type="dxa"/>
            <w:vAlign w:val="bottom"/>
          </w:tcPr>
          <w:p w14:paraId="19BBD929"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vAlign w:val="bottom"/>
          </w:tcPr>
          <w:p w14:paraId="5686C652" w14:textId="77777777" w:rsidR="00FE4ADA" w:rsidRDefault="00FE4ADA" w:rsidP="00251EF9">
            <w:pPr>
              <w:pStyle w:val="TBodynormalNumber"/>
              <w:keepNext/>
            </w:pPr>
            <w:r>
              <w:t>-50</w:t>
            </w:r>
          </w:p>
        </w:tc>
        <w:tc>
          <w:tcPr>
            <w:tcW w:w="119" w:type="dxa"/>
            <w:vAlign w:val="bottom"/>
          </w:tcPr>
          <w:p w14:paraId="0B731C1F" w14:textId="77777777" w:rsidR="00FE4ADA" w:rsidRDefault="00FE4ADA" w:rsidP="00251EF9">
            <w:pPr>
              <w:pStyle w:val="TBodynormalNumber"/>
              <w:keepNext/>
            </w:pPr>
          </w:p>
        </w:tc>
        <w:tc>
          <w:tcPr>
            <w:tcW w:w="1021" w:type="dxa"/>
            <w:tcBorders>
              <w:top w:val="single" w:sz="4" w:space="0" w:color="A59C94"/>
              <w:bottom w:val="single" w:sz="4" w:space="0" w:color="A59C94"/>
            </w:tcBorders>
            <w:vAlign w:val="bottom"/>
          </w:tcPr>
          <w:p w14:paraId="5A0A8D0E" w14:textId="77777777" w:rsidR="00FE4ADA" w:rsidRDefault="00FE4ADA" w:rsidP="00251EF9">
            <w:pPr>
              <w:pStyle w:val="TBodynormalNumber"/>
              <w:keepNext/>
            </w:pPr>
          </w:p>
        </w:tc>
        <w:tc>
          <w:tcPr>
            <w:tcW w:w="119" w:type="dxa"/>
            <w:vAlign w:val="bottom"/>
          </w:tcPr>
          <w:p w14:paraId="61D229FA" w14:textId="77777777" w:rsidR="00FE4ADA" w:rsidRDefault="00FE4ADA" w:rsidP="00251EF9">
            <w:pPr>
              <w:pStyle w:val="TBodynormalNumber"/>
              <w:keepNext/>
            </w:pPr>
          </w:p>
        </w:tc>
        <w:tc>
          <w:tcPr>
            <w:tcW w:w="1021" w:type="dxa"/>
            <w:tcBorders>
              <w:top w:val="single" w:sz="4" w:space="0" w:color="A59C94"/>
              <w:bottom w:val="single" w:sz="4" w:space="0" w:color="A59C94"/>
            </w:tcBorders>
            <w:vAlign w:val="bottom"/>
          </w:tcPr>
          <w:p w14:paraId="56A13822" w14:textId="77777777" w:rsidR="00FE4ADA" w:rsidRDefault="00FE4ADA" w:rsidP="00251EF9">
            <w:pPr>
              <w:pStyle w:val="TBodynormalNumber"/>
              <w:keepNext/>
            </w:pPr>
            <w:r>
              <w:t>-19</w:t>
            </w:r>
          </w:p>
        </w:tc>
        <w:tc>
          <w:tcPr>
            <w:tcW w:w="119" w:type="dxa"/>
            <w:vAlign w:val="bottom"/>
          </w:tcPr>
          <w:p w14:paraId="01F341CD"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vAlign w:val="bottom"/>
          </w:tcPr>
          <w:p w14:paraId="6C3019F4" w14:textId="77777777" w:rsidR="00FE4ADA" w:rsidRDefault="00FE4ADA" w:rsidP="00251EF9">
            <w:pPr>
              <w:pStyle w:val="TBodynormalNumber"/>
              <w:keepNext/>
            </w:pPr>
            <w:r>
              <w:t>-108</w:t>
            </w:r>
          </w:p>
        </w:tc>
        <w:tc>
          <w:tcPr>
            <w:tcW w:w="119" w:type="dxa"/>
            <w:vAlign w:val="bottom"/>
          </w:tcPr>
          <w:p w14:paraId="0C60A699" w14:textId="77777777" w:rsidR="00FE4ADA" w:rsidRDefault="00FE4ADA" w:rsidP="00251EF9">
            <w:pPr>
              <w:pStyle w:val="TBodynormalNumber"/>
              <w:keepNext/>
            </w:pPr>
          </w:p>
        </w:tc>
        <w:tc>
          <w:tcPr>
            <w:tcW w:w="1021" w:type="dxa"/>
            <w:tcBorders>
              <w:top w:val="single" w:sz="4" w:space="0" w:color="A59C94"/>
              <w:bottom w:val="single" w:sz="4" w:space="0" w:color="A59C94"/>
            </w:tcBorders>
            <w:vAlign w:val="bottom"/>
          </w:tcPr>
          <w:p w14:paraId="72E3F6D9" w14:textId="77777777" w:rsidR="00FE4ADA" w:rsidRDefault="00FE4ADA" w:rsidP="00251EF9">
            <w:pPr>
              <w:pStyle w:val="TBodynormalNumber"/>
              <w:keepNext/>
            </w:pPr>
          </w:p>
        </w:tc>
      </w:tr>
      <w:tr w:rsidR="00FE4ADA" w14:paraId="18642EFF" w14:textId="77777777" w:rsidTr="00BC3645">
        <w:tc>
          <w:tcPr>
            <w:tcW w:w="2914" w:type="dxa"/>
            <w:tcBorders>
              <w:top w:val="single" w:sz="4" w:space="0" w:color="A59C94"/>
              <w:bottom w:val="single" w:sz="4" w:space="0" w:color="000000"/>
            </w:tcBorders>
            <w:vAlign w:val="bottom"/>
          </w:tcPr>
          <w:p w14:paraId="4615576E" w14:textId="7A6FBFE9" w:rsidR="00FE4ADA" w:rsidRPr="00420C4D" w:rsidRDefault="00BC3645" w:rsidP="00251EF9">
            <w:pPr>
              <w:pStyle w:val="TBodysubtotalText"/>
              <w:keepNext/>
              <w:rPr>
                <w:lang w:val="es-ES"/>
              </w:rPr>
            </w:pPr>
            <w:r w:rsidRPr="00903101">
              <w:rPr>
                <w:lang w:val="es-AR"/>
              </w:rPr>
              <w:t>Ingresos antes de</w:t>
            </w:r>
            <w:r>
              <w:rPr>
                <w:lang w:val="es-AR"/>
              </w:rPr>
              <w:t xml:space="preserve"> IR,</w:t>
            </w:r>
            <w:r w:rsidRPr="00903101">
              <w:rPr>
                <w:lang w:val="es-AR"/>
              </w:rPr>
              <w:t xml:space="preserve"> operaciones continuas</w:t>
            </w:r>
          </w:p>
        </w:tc>
        <w:tc>
          <w:tcPr>
            <w:tcW w:w="119" w:type="dxa"/>
            <w:vAlign w:val="bottom"/>
          </w:tcPr>
          <w:p w14:paraId="3BC7F3B9" w14:textId="77777777" w:rsidR="00FE4ADA" w:rsidRPr="00420C4D" w:rsidRDefault="00FE4ADA" w:rsidP="00251EF9">
            <w:pPr>
              <w:pStyle w:val="TBodysubtotalNumber"/>
              <w:keepNext/>
              <w:rPr>
                <w:lang w:val="es-ES"/>
              </w:rPr>
            </w:pPr>
          </w:p>
        </w:tc>
        <w:tc>
          <w:tcPr>
            <w:tcW w:w="1021" w:type="dxa"/>
            <w:tcBorders>
              <w:top w:val="single" w:sz="4" w:space="0" w:color="A59C94"/>
              <w:bottom w:val="single" w:sz="4" w:space="0" w:color="000000"/>
            </w:tcBorders>
            <w:vAlign w:val="bottom"/>
          </w:tcPr>
          <w:p w14:paraId="00DDD51B" w14:textId="77777777" w:rsidR="00FE4ADA" w:rsidRDefault="00FE4ADA" w:rsidP="00251EF9">
            <w:pPr>
              <w:pStyle w:val="TBodysubtotalNumber"/>
              <w:keepNext/>
            </w:pPr>
            <w:r>
              <w:t>-251</w:t>
            </w:r>
          </w:p>
        </w:tc>
        <w:tc>
          <w:tcPr>
            <w:tcW w:w="119" w:type="dxa"/>
            <w:vAlign w:val="bottom"/>
          </w:tcPr>
          <w:p w14:paraId="59451891" w14:textId="77777777" w:rsidR="00FE4ADA" w:rsidRDefault="00FE4ADA" w:rsidP="00251EF9">
            <w:pPr>
              <w:pStyle w:val="TBodysubtotalNumber"/>
              <w:keepNext/>
            </w:pPr>
          </w:p>
        </w:tc>
        <w:tc>
          <w:tcPr>
            <w:tcW w:w="1021" w:type="dxa"/>
            <w:tcBorders>
              <w:top w:val="single" w:sz="4" w:space="0" w:color="A59C94"/>
              <w:bottom w:val="single" w:sz="4" w:space="0" w:color="000000"/>
            </w:tcBorders>
            <w:shd w:val="clear" w:color="000000" w:fill="DAD5C9"/>
            <w:vAlign w:val="bottom"/>
          </w:tcPr>
          <w:p w14:paraId="4ACC4F83" w14:textId="77777777" w:rsidR="00FE4ADA" w:rsidRDefault="00FE4ADA" w:rsidP="00251EF9">
            <w:pPr>
              <w:pStyle w:val="TBodysubtotalNumber"/>
              <w:keepNext/>
            </w:pPr>
            <w:r>
              <w:t>-20</w:t>
            </w:r>
          </w:p>
        </w:tc>
        <w:tc>
          <w:tcPr>
            <w:tcW w:w="119" w:type="dxa"/>
            <w:vAlign w:val="bottom"/>
          </w:tcPr>
          <w:p w14:paraId="1B133BEB"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4BEE6C5B" w14:textId="77777777" w:rsidR="00FE4ADA" w:rsidRDefault="00FE4ADA" w:rsidP="00251EF9">
            <w:pPr>
              <w:pStyle w:val="TBodysubtotalNumber"/>
              <w:keepNext/>
            </w:pPr>
            <w:r>
              <w:t>-92</w:t>
            </w:r>
          </w:p>
        </w:tc>
        <w:tc>
          <w:tcPr>
            <w:tcW w:w="119" w:type="dxa"/>
            <w:vAlign w:val="bottom"/>
          </w:tcPr>
          <w:p w14:paraId="14BFAB90"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18257840" w14:textId="77777777" w:rsidR="00FE4ADA" w:rsidRDefault="00FE4ADA" w:rsidP="00251EF9">
            <w:pPr>
              <w:pStyle w:val="TBodysubtotalNumber"/>
              <w:keepNext/>
            </w:pPr>
            <w:bookmarkStart w:id="9" w:name="SNAMD_8debda43e8e64deb96213d90d0c4fc36"/>
            <w:r>
              <w:t>923</w:t>
            </w:r>
            <w:bookmarkEnd w:id="9"/>
          </w:p>
        </w:tc>
        <w:tc>
          <w:tcPr>
            <w:tcW w:w="119" w:type="dxa"/>
            <w:vAlign w:val="bottom"/>
          </w:tcPr>
          <w:p w14:paraId="7082E6EB" w14:textId="77777777" w:rsidR="00FE4ADA" w:rsidRDefault="00FE4ADA" w:rsidP="00251EF9">
            <w:pPr>
              <w:pStyle w:val="TBodysubtotalNumber"/>
              <w:keepNext/>
            </w:pPr>
          </w:p>
        </w:tc>
        <w:tc>
          <w:tcPr>
            <w:tcW w:w="1021" w:type="dxa"/>
            <w:tcBorders>
              <w:top w:val="single" w:sz="4" w:space="0" w:color="A59C94"/>
              <w:bottom w:val="single" w:sz="4" w:space="0" w:color="000000"/>
            </w:tcBorders>
            <w:shd w:val="clear" w:color="000000" w:fill="DAD5C9"/>
            <w:vAlign w:val="bottom"/>
          </w:tcPr>
          <w:p w14:paraId="68E1C3FF" w14:textId="77777777" w:rsidR="00FE4ADA" w:rsidRDefault="00FE4ADA" w:rsidP="00251EF9">
            <w:pPr>
              <w:pStyle w:val="TBodysubtotalNumber"/>
              <w:keepNext/>
            </w:pPr>
            <w:bookmarkStart w:id="10" w:name="SNAMD_8d9d9070f7604ab391b61733c6a6d6b2"/>
            <w:r>
              <w:t>-351</w:t>
            </w:r>
            <w:bookmarkEnd w:id="10"/>
          </w:p>
        </w:tc>
        <w:tc>
          <w:tcPr>
            <w:tcW w:w="119" w:type="dxa"/>
            <w:vAlign w:val="bottom"/>
          </w:tcPr>
          <w:p w14:paraId="38290CF1"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19E24455" w14:textId="77777777" w:rsidR="00FE4ADA" w:rsidRDefault="00FE4ADA" w:rsidP="00251EF9">
            <w:pPr>
              <w:pStyle w:val="TBodysubtotalNumber"/>
              <w:keepNext/>
            </w:pPr>
            <w:r>
              <w:t>-138</w:t>
            </w:r>
          </w:p>
        </w:tc>
      </w:tr>
      <w:tr w:rsidR="00FE4ADA" w14:paraId="2EE52135" w14:textId="77777777" w:rsidTr="00BC3645">
        <w:tc>
          <w:tcPr>
            <w:tcW w:w="2914" w:type="dxa"/>
            <w:tcBorders>
              <w:top w:val="single" w:sz="4" w:space="0" w:color="000000"/>
              <w:bottom w:val="single" w:sz="4" w:space="0" w:color="A59C94"/>
            </w:tcBorders>
            <w:vAlign w:val="bottom"/>
          </w:tcPr>
          <w:p w14:paraId="566BB65D" w14:textId="77777777" w:rsidR="00FE4ADA" w:rsidRDefault="00FE4ADA" w:rsidP="00251EF9">
            <w:pPr>
              <w:pStyle w:val="TBodynormalText"/>
            </w:pPr>
            <w:r>
              <w:t>Impuestos sobre la renta</w:t>
            </w:r>
          </w:p>
        </w:tc>
        <w:tc>
          <w:tcPr>
            <w:tcW w:w="119" w:type="dxa"/>
            <w:vAlign w:val="bottom"/>
          </w:tcPr>
          <w:p w14:paraId="7D4003CB" w14:textId="77777777" w:rsidR="00FE4ADA" w:rsidRDefault="00FE4ADA" w:rsidP="00251EF9">
            <w:pPr>
              <w:pStyle w:val="TBodynormalNumber"/>
              <w:keepNext/>
            </w:pPr>
          </w:p>
        </w:tc>
        <w:tc>
          <w:tcPr>
            <w:tcW w:w="1021" w:type="dxa"/>
            <w:tcBorders>
              <w:top w:val="single" w:sz="4" w:space="0" w:color="000000"/>
              <w:bottom w:val="single" w:sz="4" w:space="0" w:color="A59C94"/>
            </w:tcBorders>
            <w:vAlign w:val="bottom"/>
          </w:tcPr>
          <w:p w14:paraId="1BDE862C" w14:textId="77777777" w:rsidR="00FE4ADA" w:rsidRDefault="00FE4ADA" w:rsidP="00251EF9">
            <w:pPr>
              <w:pStyle w:val="TBodynormalNumber"/>
              <w:keepNext/>
            </w:pPr>
            <w:r>
              <w:t>-30</w:t>
            </w:r>
          </w:p>
        </w:tc>
        <w:tc>
          <w:tcPr>
            <w:tcW w:w="119" w:type="dxa"/>
            <w:vAlign w:val="bottom"/>
          </w:tcPr>
          <w:p w14:paraId="42CE108A" w14:textId="77777777" w:rsidR="00FE4ADA" w:rsidRDefault="00FE4ADA" w:rsidP="00251EF9">
            <w:pPr>
              <w:pStyle w:val="TBodynormalNumber"/>
              <w:keepNext/>
            </w:pPr>
          </w:p>
        </w:tc>
        <w:tc>
          <w:tcPr>
            <w:tcW w:w="1021" w:type="dxa"/>
            <w:tcBorders>
              <w:top w:val="single" w:sz="4" w:space="0" w:color="000000"/>
              <w:bottom w:val="single" w:sz="4" w:space="0" w:color="A59C94"/>
            </w:tcBorders>
            <w:shd w:val="clear" w:color="000000" w:fill="DAD5C9"/>
            <w:vAlign w:val="bottom"/>
          </w:tcPr>
          <w:p w14:paraId="765D4DB4" w14:textId="77777777" w:rsidR="00FE4ADA" w:rsidRDefault="00FE4ADA" w:rsidP="00251EF9">
            <w:pPr>
              <w:pStyle w:val="TBodynormalNumber"/>
              <w:keepNext/>
            </w:pPr>
            <w:r>
              <w:t>-124</w:t>
            </w:r>
          </w:p>
        </w:tc>
        <w:tc>
          <w:tcPr>
            <w:tcW w:w="119" w:type="dxa"/>
            <w:vAlign w:val="bottom"/>
          </w:tcPr>
          <w:p w14:paraId="747AEED8" w14:textId="77777777" w:rsidR="00FE4ADA" w:rsidRDefault="00FE4ADA" w:rsidP="00251EF9">
            <w:pPr>
              <w:pStyle w:val="TBodynormalNumber"/>
              <w:keepNext/>
            </w:pPr>
          </w:p>
        </w:tc>
        <w:tc>
          <w:tcPr>
            <w:tcW w:w="1021" w:type="dxa"/>
            <w:tcBorders>
              <w:top w:val="single" w:sz="4" w:space="0" w:color="000000"/>
              <w:bottom w:val="single" w:sz="4" w:space="0" w:color="A59C94"/>
            </w:tcBorders>
            <w:vAlign w:val="bottom"/>
          </w:tcPr>
          <w:p w14:paraId="2B29C96F" w14:textId="77777777" w:rsidR="00FE4ADA" w:rsidRDefault="00FE4ADA" w:rsidP="00251EF9">
            <w:pPr>
              <w:pStyle w:val="TBodynormalNumber"/>
              <w:keepNext/>
            </w:pPr>
          </w:p>
        </w:tc>
        <w:tc>
          <w:tcPr>
            <w:tcW w:w="119" w:type="dxa"/>
            <w:vAlign w:val="bottom"/>
          </w:tcPr>
          <w:p w14:paraId="7D216FA0" w14:textId="77777777" w:rsidR="00FE4ADA" w:rsidRDefault="00FE4ADA" w:rsidP="00251EF9">
            <w:pPr>
              <w:pStyle w:val="TBodynormalNumber"/>
              <w:keepNext/>
            </w:pPr>
          </w:p>
        </w:tc>
        <w:tc>
          <w:tcPr>
            <w:tcW w:w="1021" w:type="dxa"/>
            <w:tcBorders>
              <w:top w:val="single" w:sz="4" w:space="0" w:color="000000"/>
              <w:bottom w:val="single" w:sz="4" w:space="0" w:color="A59C94"/>
            </w:tcBorders>
            <w:vAlign w:val="bottom"/>
          </w:tcPr>
          <w:p w14:paraId="06C45832" w14:textId="77777777" w:rsidR="00FE4ADA" w:rsidRDefault="00FE4ADA" w:rsidP="00251EF9">
            <w:pPr>
              <w:pStyle w:val="TBodynormalNumber"/>
              <w:keepNext/>
            </w:pPr>
            <w:r>
              <w:t>-369</w:t>
            </w:r>
          </w:p>
        </w:tc>
        <w:tc>
          <w:tcPr>
            <w:tcW w:w="119" w:type="dxa"/>
            <w:vAlign w:val="bottom"/>
          </w:tcPr>
          <w:p w14:paraId="35782E70" w14:textId="77777777" w:rsidR="00FE4ADA" w:rsidRDefault="00FE4ADA" w:rsidP="00251EF9">
            <w:pPr>
              <w:pStyle w:val="TBodynormalNumber"/>
              <w:keepNext/>
            </w:pPr>
          </w:p>
        </w:tc>
        <w:tc>
          <w:tcPr>
            <w:tcW w:w="1021" w:type="dxa"/>
            <w:tcBorders>
              <w:top w:val="single" w:sz="4" w:space="0" w:color="000000"/>
              <w:bottom w:val="single" w:sz="4" w:space="0" w:color="A59C94"/>
            </w:tcBorders>
            <w:shd w:val="clear" w:color="000000" w:fill="DAD5C9"/>
            <w:vAlign w:val="bottom"/>
          </w:tcPr>
          <w:p w14:paraId="5E9A41F9" w14:textId="77777777" w:rsidR="00FE4ADA" w:rsidRDefault="00FE4ADA" w:rsidP="00251EF9">
            <w:pPr>
              <w:pStyle w:val="TBodynormalNumber"/>
              <w:keepNext/>
            </w:pPr>
            <w:r>
              <w:t>-101</w:t>
            </w:r>
          </w:p>
        </w:tc>
        <w:tc>
          <w:tcPr>
            <w:tcW w:w="119" w:type="dxa"/>
            <w:vAlign w:val="bottom"/>
          </w:tcPr>
          <w:p w14:paraId="5EE1CBA4" w14:textId="77777777" w:rsidR="00FE4ADA" w:rsidRDefault="00FE4ADA" w:rsidP="00251EF9">
            <w:pPr>
              <w:pStyle w:val="TBodynormalNumber"/>
              <w:keepNext/>
            </w:pPr>
          </w:p>
        </w:tc>
        <w:tc>
          <w:tcPr>
            <w:tcW w:w="1021" w:type="dxa"/>
            <w:tcBorders>
              <w:top w:val="single" w:sz="4" w:space="0" w:color="000000"/>
              <w:bottom w:val="single" w:sz="4" w:space="0" w:color="A59C94"/>
            </w:tcBorders>
            <w:vAlign w:val="bottom"/>
          </w:tcPr>
          <w:p w14:paraId="174E38C8" w14:textId="77777777" w:rsidR="00FE4ADA" w:rsidRDefault="00FE4ADA" w:rsidP="00251EF9">
            <w:pPr>
              <w:pStyle w:val="TBodynormalNumber"/>
              <w:keepNext/>
            </w:pPr>
          </w:p>
        </w:tc>
      </w:tr>
      <w:tr w:rsidR="00FE4ADA" w14:paraId="29FF59C2" w14:textId="77777777" w:rsidTr="00BC3645">
        <w:tc>
          <w:tcPr>
            <w:tcW w:w="2914" w:type="dxa"/>
            <w:tcBorders>
              <w:top w:val="single" w:sz="4" w:space="0" w:color="A59C94"/>
              <w:bottom w:val="single" w:sz="4" w:space="0" w:color="000000"/>
            </w:tcBorders>
            <w:vAlign w:val="bottom"/>
          </w:tcPr>
          <w:p w14:paraId="2737ABD9" w14:textId="5AFD7657" w:rsidR="00FE4ADA" w:rsidRPr="00DF2967" w:rsidRDefault="00BC3645" w:rsidP="00251EF9">
            <w:pPr>
              <w:pStyle w:val="TBodysubtotalText"/>
              <w:keepNext/>
              <w:rPr>
                <w:lang w:val="es-419"/>
              </w:rPr>
            </w:pPr>
            <w:r w:rsidRPr="00A23564">
              <w:rPr>
                <w:lang w:val="es-ES"/>
              </w:rPr>
              <w:t xml:space="preserve">Resultado después de impuestos, </w:t>
            </w:r>
            <w:proofErr w:type="gramStart"/>
            <w:r w:rsidRPr="00A23564">
              <w:rPr>
                <w:lang w:val="es-ES"/>
              </w:rPr>
              <w:t xml:space="preserve">operaciones </w:t>
            </w:r>
            <w:r>
              <w:rPr>
                <w:lang w:val="es-ES"/>
              </w:rPr>
              <w:t xml:space="preserve"> continuas</w:t>
            </w:r>
            <w:proofErr w:type="gramEnd"/>
          </w:p>
        </w:tc>
        <w:tc>
          <w:tcPr>
            <w:tcW w:w="119" w:type="dxa"/>
            <w:vAlign w:val="bottom"/>
          </w:tcPr>
          <w:p w14:paraId="1DC86326" w14:textId="77777777" w:rsidR="00FE4ADA" w:rsidRPr="00DF2967" w:rsidRDefault="00FE4ADA" w:rsidP="00251EF9">
            <w:pPr>
              <w:pStyle w:val="TBodysubtotalNumber"/>
              <w:keepNext/>
              <w:rPr>
                <w:lang w:val="es-419"/>
              </w:rPr>
            </w:pPr>
          </w:p>
        </w:tc>
        <w:tc>
          <w:tcPr>
            <w:tcW w:w="1021" w:type="dxa"/>
            <w:tcBorders>
              <w:top w:val="single" w:sz="4" w:space="0" w:color="A59C94"/>
              <w:bottom w:val="single" w:sz="4" w:space="0" w:color="000000"/>
            </w:tcBorders>
            <w:vAlign w:val="bottom"/>
          </w:tcPr>
          <w:p w14:paraId="2B906EF0" w14:textId="77777777" w:rsidR="00FE4ADA" w:rsidRDefault="00FE4ADA" w:rsidP="00251EF9">
            <w:pPr>
              <w:pStyle w:val="TBodysubtotalNumber"/>
              <w:keepNext/>
            </w:pPr>
            <w:r>
              <w:t>-281</w:t>
            </w:r>
          </w:p>
        </w:tc>
        <w:tc>
          <w:tcPr>
            <w:tcW w:w="119" w:type="dxa"/>
            <w:vAlign w:val="bottom"/>
          </w:tcPr>
          <w:p w14:paraId="5EFCC7A0" w14:textId="77777777" w:rsidR="00FE4ADA" w:rsidRDefault="00FE4ADA" w:rsidP="00251EF9">
            <w:pPr>
              <w:pStyle w:val="TBodysubtotalNumber"/>
              <w:keepNext/>
            </w:pPr>
          </w:p>
        </w:tc>
        <w:tc>
          <w:tcPr>
            <w:tcW w:w="1021" w:type="dxa"/>
            <w:tcBorders>
              <w:top w:val="single" w:sz="4" w:space="0" w:color="A59C94"/>
              <w:bottom w:val="single" w:sz="4" w:space="0" w:color="000000"/>
            </w:tcBorders>
            <w:shd w:val="clear" w:color="000000" w:fill="DAD5C9"/>
            <w:vAlign w:val="bottom"/>
          </w:tcPr>
          <w:p w14:paraId="2283282F" w14:textId="77777777" w:rsidR="00FE4ADA" w:rsidRDefault="00FE4ADA" w:rsidP="00251EF9">
            <w:pPr>
              <w:pStyle w:val="TBodysubtotalNumber"/>
              <w:keepNext/>
            </w:pPr>
            <w:r>
              <w:t>-144</w:t>
            </w:r>
          </w:p>
        </w:tc>
        <w:tc>
          <w:tcPr>
            <w:tcW w:w="119" w:type="dxa"/>
            <w:vAlign w:val="bottom"/>
          </w:tcPr>
          <w:p w14:paraId="1CA94B7F"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25C2185C" w14:textId="77777777" w:rsidR="00FE4ADA" w:rsidRDefault="00FE4ADA" w:rsidP="00251EF9">
            <w:pPr>
              <w:pStyle w:val="TBodysubtotalNumber"/>
              <w:keepNext/>
            </w:pPr>
            <w:r>
              <w:t>-49</w:t>
            </w:r>
          </w:p>
        </w:tc>
        <w:tc>
          <w:tcPr>
            <w:tcW w:w="119" w:type="dxa"/>
            <w:vAlign w:val="bottom"/>
          </w:tcPr>
          <w:p w14:paraId="222D575E"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407D71BD" w14:textId="77777777" w:rsidR="00FE4ADA" w:rsidRDefault="00FE4ADA" w:rsidP="00251EF9">
            <w:pPr>
              <w:pStyle w:val="TBodysubtotalNumber"/>
              <w:keepNext/>
            </w:pPr>
            <w:r>
              <w:t>554</w:t>
            </w:r>
          </w:p>
        </w:tc>
        <w:tc>
          <w:tcPr>
            <w:tcW w:w="119" w:type="dxa"/>
            <w:vAlign w:val="bottom"/>
          </w:tcPr>
          <w:p w14:paraId="2781292B" w14:textId="77777777" w:rsidR="00FE4ADA" w:rsidRDefault="00FE4ADA" w:rsidP="00251EF9">
            <w:pPr>
              <w:pStyle w:val="TBodysubtotalNumber"/>
              <w:keepNext/>
            </w:pPr>
          </w:p>
        </w:tc>
        <w:tc>
          <w:tcPr>
            <w:tcW w:w="1021" w:type="dxa"/>
            <w:tcBorders>
              <w:top w:val="single" w:sz="4" w:space="0" w:color="A59C94"/>
              <w:bottom w:val="single" w:sz="4" w:space="0" w:color="000000"/>
            </w:tcBorders>
            <w:shd w:val="clear" w:color="000000" w:fill="DAD5C9"/>
            <w:vAlign w:val="bottom"/>
          </w:tcPr>
          <w:p w14:paraId="2115115E" w14:textId="77777777" w:rsidR="00FE4ADA" w:rsidRDefault="00FE4ADA" w:rsidP="00251EF9">
            <w:pPr>
              <w:pStyle w:val="TBodysubtotalNumber"/>
              <w:keepNext/>
            </w:pPr>
            <w:r>
              <w:t>-452</w:t>
            </w:r>
          </w:p>
        </w:tc>
        <w:tc>
          <w:tcPr>
            <w:tcW w:w="119" w:type="dxa"/>
            <w:vAlign w:val="bottom"/>
          </w:tcPr>
          <w:p w14:paraId="40480636"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26230EE6" w14:textId="77777777" w:rsidR="00FE4ADA" w:rsidRDefault="00FE4ADA" w:rsidP="00251EF9">
            <w:pPr>
              <w:pStyle w:val="TBodysubtotalNumber"/>
              <w:keepNext/>
            </w:pPr>
            <w:r>
              <w:t>-182</w:t>
            </w:r>
          </w:p>
        </w:tc>
      </w:tr>
      <w:tr w:rsidR="00FE4ADA" w14:paraId="2648E11D" w14:textId="77777777" w:rsidTr="00BC3645">
        <w:tc>
          <w:tcPr>
            <w:tcW w:w="2914" w:type="dxa"/>
            <w:tcBorders>
              <w:top w:val="single" w:sz="4" w:space="0" w:color="000000"/>
              <w:bottom w:val="single" w:sz="4" w:space="0" w:color="A59C94"/>
            </w:tcBorders>
            <w:vAlign w:val="bottom"/>
          </w:tcPr>
          <w:p w14:paraId="442336E7" w14:textId="26DEA231" w:rsidR="00FE4ADA" w:rsidRPr="00DF2967" w:rsidRDefault="00BC3645" w:rsidP="00251EF9">
            <w:pPr>
              <w:pStyle w:val="TBodynormalText"/>
              <w:rPr>
                <w:lang w:val="es-419"/>
              </w:rPr>
            </w:pPr>
            <w:r w:rsidRPr="00A23564">
              <w:rPr>
                <w:lang w:val="es-ES"/>
              </w:rPr>
              <w:t>Resultado después de impuestos, operaciones</w:t>
            </w:r>
            <w:r>
              <w:rPr>
                <w:lang w:val="es-ES"/>
              </w:rPr>
              <w:t xml:space="preserve"> discontinuadas</w:t>
            </w:r>
          </w:p>
        </w:tc>
        <w:tc>
          <w:tcPr>
            <w:tcW w:w="119" w:type="dxa"/>
            <w:vAlign w:val="bottom"/>
          </w:tcPr>
          <w:p w14:paraId="15FE0414" w14:textId="77777777" w:rsidR="00FE4ADA" w:rsidRPr="00DF2967" w:rsidRDefault="00FE4ADA" w:rsidP="00251EF9">
            <w:pPr>
              <w:pStyle w:val="TBodynormalNumber"/>
              <w:keepNext/>
              <w:rPr>
                <w:lang w:val="es-419"/>
              </w:rPr>
            </w:pPr>
          </w:p>
        </w:tc>
        <w:tc>
          <w:tcPr>
            <w:tcW w:w="1021" w:type="dxa"/>
            <w:tcBorders>
              <w:top w:val="single" w:sz="4" w:space="0" w:color="000000"/>
              <w:bottom w:val="single" w:sz="4" w:space="0" w:color="A59C94"/>
            </w:tcBorders>
            <w:vAlign w:val="bottom"/>
          </w:tcPr>
          <w:p w14:paraId="4CEF23AB" w14:textId="77777777" w:rsidR="00FE4ADA" w:rsidRDefault="00FE4ADA" w:rsidP="00251EF9">
            <w:pPr>
              <w:pStyle w:val="TBodynormalNumber"/>
              <w:keepNext/>
            </w:pPr>
            <w:r>
              <w:t>-</w:t>
            </w:r>
          </w:p>
        </w:tc>
        <w:tc>
          <w:tcPr>
            <w:tcW w:w="119" w:type="dxa"/>
            <w:vAlign w:val="bottom"/>
          </w:tcPr>
          <w:p w14:paraId="0D383E00" w14:textId="77777777" w:rsidR="00FE4ADA" w:rsidRDefault="00FE4ADA" w:rsidP="00251EF9">
            <w:pPr>
              <w:pStyle w:val="TBodynormalNumber"/>
              <w:keepNext/>
            </w:pPr>
          </w:p>
        </w:tc>
        <w:tc>
          <w:tcPr>
            <w:tcW w:w="1021" w:type="dxa"/>
            <w:tcBorders>
              <w:top w:val="single" w:sz="4" w:space="0" w:color="000000"/>
              <w:bottom w:val="single" w:sz="4" w:space="0" w:color="A59C94"/>
            </w:tcBorders>
            <w:shd w:val="clear" w:color="000000" w:fill="DAD5C9"/>
            <w:vAlign w:val="bottom"/>
          </w:tcPr>
          <w:p w14:paraId="41AF4889" w14:textId="77777777" w:rsidR="00FE4ADA" w:rsidRDefault="00FE4ADA" w:rsidP="00251EF9">
            <w:pPr>
              <w:pStyle w:val="TBodynormalNumber"/>
              <w:keepNext/>
            </w:pPr>
            <w:r>
              <w:t>-</w:t>
            </w:r>
          </w:p>
        </w:tc>
        <w:tc>
          <w:tcPr>
            <w:tcW w:w="119" w:type="dxa"/>
            <w:vAlign w:val="bottom"/>
          </w:tcPr>
          <w:p w14:paraId="7C7E94FF" w14:textId="77777777" w:rsidR="00FE4ADA" w:rsidRDefault="00FE4ADA" w:rsidP="00251EF9">
            <w:pPr>
              <w:pStyle w:val="TBodynormalNumber"/>
              <w:keepNext/>
            </w:pPr>
          </w:p>
        </w:tc>
        <w:tc>
          <w:tcPr>
            <w:tcW w:w="1021" w:type="dxa"/>
            <w:tcBorders>
              <w:top w:val="single" w:sz="4" w:space="0" w:color="000000"/>
              <w:bottom w:val="single" w:sz="4" w:space="0" w:color="A59C94"/>
            </w:tcBorders>
            <w:vAlign w:val="bottom"/>
          </w:tcPr>
          <w:p w14:paraId="1F26E3B0" w14:textId="77777777" w:rsidR="00FE4ADA" w:rsidRDefault="00FE4ADA" w:rsidP="00251EF9">
            <w:pPr>
              <w:pStyle w:val="TBodynormalNumber"/>
              <w:keepNext/>
            </w:pPr>
          </w:p>
        </w:tc>
        <w:tc>
          <w:tcPr>
            <w:tcW w:w="119" w:type="dxa"/>
            <w:vAlign w:val="bottom"/>
          </w:tcPr>
          <w:p w14:paraId="31F9A3E4" w14:textId="77777777" w:rsidR="00FE4ADA" w:rsidRDefault="00FE4ADA" w:rsidP="00251EF9">
            <w:pPr>
              <w:pStyle w:val="TBodynormalNumber"/>
              <w:keepNext/>
            </w:pPr>
          </w:p>
        </w:tc>
        <w:tc>
          <w:tcPr>
            <w:tcW w:w="1021" w:type="dxa"/>
            <w:tcBorders>
              <w:top w:val="single" w:sz="4" w:space="0" w:color="000000"/>
              <w:bottom w:val="single" w:sz="4" w:space="0" w:color="A59C94"/>
            </w:tcBorders>
            <w:vAlign w:val="bottom"/>
          </w:tcPr>
          <w:p w14:paraId="51112A35" w14:textId="77777777" w:rsidR="00FE4ADA" w:rsidRDefault="00FE4ADA" w:rsidP="00251EF9">
            <w:pPr>
              <w:pStyle w:val="TBodynormalNumber"/>
              <w:keepNext/>
            </w:pPr>
            <w:r>
              <w:t>1</w:t>
            </w:r>
          </w:p>
        </w:tc>
        <w:tc>
          <w:tcPr>
            <w:tcW w:w="119" w:type="dxa"/>
            <w:vAlign w:val="bottom"/>
          </w:tcPr>
          <w:p w14:paraId="1A8D1EEE" w14:textId="77777777" w:rsidR="00FE4ADA" w:rsidRDefault="00FE4ADA" w:rsidP="00251EF9">
            <w:pPr>
              <w:pStyle w:val="TBodynormalNumber"/>
              <w:keepNext/>
            </w:pPr>
          </w:p>
        </w:tc>
        <w:tc>
          <w:tcPr>
            <w:tcW w:w="1021" w:type="dxa"/>
            <w:tcBorders>
              <w:top w:val="single" w:sz="4" w:space="0" w:color="000000"/>
              <w:bottom w:val="single" w:sz="4" w:space="0" w:color="A59C94"/>
            </w:tcBorders>
            <w:shd w:val="clear" w:color="000000" w:fill="DAD5C9"/>
            <w:vAlign w:val="bottom"/>
          </w:tcPr>
          <w:p w14:paraId="32E8449D" w14:textId="77777777" w:rsidR="00FE4ADA" w:rsidRDefault="00FE4ADA" w:rsidP="00251EF9">
            <w:pPr>
              <w:pStyle w:val="TBodynormalNumber"/>
              <w:keepNext/>
            </w:pPr>
            <w:r>
              <w:t>-</w:t>
            </w:r>
          </w:p>
        </w:tc>
        <w:tc>
          <w:tcPr>
            <w:tcW w:w="119" w:type="dxa"/>
            <w:vAlign w:val="bottom"/>
          </w:tcPr>
          <w:p w14:paraId="139CFEB3" w14:textId="77777777" w:rsidR="00FE4ADA" w:rsidRDefault="00FE4ADA" w:rsidP="00251EF9">
            <w:pPr>
              <w:pStyle w:val="TBodynormalNumber"/>
              <w:keepNext/>
            </w:pPr>
          </w:p>
        </w:tc>
        <w:tc>
          <w:tcPr>
            <w:tcW w:w="1021" w:type="dxa"/>
            <w:tcBorders>
              <w:top w:val="single" w:sz="4" w:space="0" w:color="000000"/>
              <w:bottom w:val="single" w:sz="4" w:space="0" w:color="A59C94"/>
            </w:tcBorders>
            <w:vAlign w:val="bottom"/>
          </w:tcPr>
          <w:p w14:paraId="08E3CD55" w14:textId="77777777" w:rsidR="00FE4ADA" w:rsidRDefault="00FE4ADA" w:rsidP="00251EF9">
            <w:pPr>
              <w:pStyle w:val="TBodynormalNumber"/>
              <w:keepNext/>
            </w:pPr>
          </w:p>
        </w:tc>
      </w:tr>
      <w:tr w:rsidR="00FE4ADA" w14:paraId="12236910" w14:textId="77777777" w:rsidTr="00BC3645">
        <w:tc>
          <w:tcPr>
            <w:tcW w:w="2914" w:type="dxa"/>
            <w:tcBorders>
              <w:top w:val="single" w:sz="4" w:space="0" w:color="A59C94"/>
              <w:bottom w:val="single" w:sz="4" w:space="0" w:color="000000"/>
            </w:tcBorders>
            <w:vAlign w:val="bottom"/>
          </w:tcPr>
          <w:p w14:paraId="54F0E7F5" w14:textId="78971ED1" w:rsidR="00FE4ADA" w:rsidRDefault="00BC3645" w:rsidP="00251EF9">
            <w:pPr>
              <w:pStyle w:val="TBodysubtotalText"/>
              <w:keepNext/>
            </w:pPr>
            <w:r>
              <w:rPr>
                <w:lang w:val="es-AR"/>
              </w:rPr>
              <w:t>Resultado después de impuestos</w:t>
            </w:r>
          </w:p>
        </w:tc>
        <w:tc>
          <w:tcPr>
            <w:tcW w:w="119" w:type="dxa"/>
            <w:vAlign w:val="bottom"/>
          </w:tcPr>
          <w:p w14:paraId="38FF745A"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3B1F6C13" w14:textId="77777777" w:rsidR="00FE4ADA" w:rsidRDefault="00FE4ADA" w:rsidP="00251EF9">
            <w:pPr>
              <w:pStyle w:val="TBodysubtotalNumber"/>
              <w:keepNext/>
            </w:pPr>
            <w:r>
              <w:t>-281</w:t>
            </w:r>
          </w:p>
        </w:tc>
        <w:tc>
          <w:tcPr>
            <w:tcW w:w="119" w:type="dxa"/>
            <w:vAlign w:val="bottom"/>
          </w:tcPr>
          <w:p w14:paraId="3F81E467" w14:textId="77777777" w:rsidR="00FE4ADA" w:rsidRDefault="00FE4ADA" w:rsidP="00251EF9">
            <w:pPr>
              <w:pStyle w:val="TBodysubtotalNumber"/>
              <w:keepNext/>
            </w:pPr>
          </w:p>
        </w:tc>
        <w:tc>
          <w:tcPr>
            <w:tcW w:w="1021" w:type="dxa"/>
            <w:tcBorders>
              <w:top w:val="single" w:sz="4" w:space="0" w:color="A59C94"/>
              <w:bottom w:val="single" w:sz="4" w:space="0" w:color="000000"/>
            </w:tcBorders>
            <w:shd w:val="clear" w:color="000000" w:fill="DAD5C9"/>
            <w:vAlign w:val="bottom"/>
          </w:tcPr>
          <w:p w14:paraId="7524128A" w14:textId="77777777" w:rsidR="00FE4ADA" w:rsidRDefault="00FE4ADA" w:rsidP="00251EF9">
            <w:pPr>
              <w:pStyle w:val="TBodysubtotalNumber"/>
              <w:keepNext/>
            </w:pPr>
            <w:r>
              <w:t>-144</w:t>
            </w:r>
          </w:p>
        </w:tc>
        <w:tc>
          <w:tcPr>
            <w:tcW w:w="119" w:type="dxa"/>
            <w:vAlign w:val="bottom"/>
          </w:tcPr>
          <w:p w14:paraId="03E83125"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7DB21967" w14:textId="77777777" w:rsidR="00FE4ADA" w:rsidRDefault="00FE4ADA" w:rsidP="00251EF9">
            <w:pPr>
              <w:pStyle w:val="TBodysubtotalNumber"/>
              <w:keepNext/>
            </w:pPr>
            <w:r>
              <w:t>-49</w:t>
            </w:r>
          </w:p>
        </w:tc>
        <w:tc>
          <w:tcPr>
            <w:tcW w:w="119" w:type="dxa"/>
            <w:vAlign w:val="bottom"/>
          </w:tcPr>
          <w:p w14:paraId="348570C4"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7E43DBDA" w14:textId="77777777" w:rsidR="00FE4ADA" w:rsidRDefault="00FE4ADA" w:rsidP="00251EF9">
            <w:pPr>
              <w:pStyle w:val="TBodysubtotalNumber"/>
              <w:keepNext/>
            </w:pPr>
            <w:r>
              <w:t>555</w:t>
            </w:r>
          </w:p>
        </w:tc>
        <w:tc>
          <w:tcPr>
            <w:tcW w:w="119" w:type="dxa"/>
            <w:vAlign w:val="bottom"/>
          </w:tcPr>
          <w:p w14:paraId="0C56336F" w14:textId="77777777" w:rsidR="00FE4ADA" w:rsidRDefault="00FE4ADA" w:rsidP="00251EF9">
            <w:pPr>
              <w:pStyle w:val="TBodysubtotalNumber"/>
              <w:keepNext/>
            </w:pPr>
          </w:p>
        </w:tc>
        <w:tc>
          <w:tcPr>
            <w:tcW w:w="1021" w:type="dxa"/>
            <w:tcBorders>
              <w:top w:val="single" w:sz="4" w:space="0" w:color="A59C94"/>
              <w:bottom w:val="single" w:sz="4" w:space="0" w:color="000000"/>
            </w:tcBorders>
            <w:shd w:val="clear" w:color="000000" w:fill="DAD5C9"/>
            <w:vAlign w:val="bottom"/>
          </w:tcPr>
          <w:p w14:paraId="61FFD8E7" w14:textId="77777777" w:rsidR="00FE4ADA" w:rsidRDefault="00FE4ADA" w:rsidP="00251EF9">
            <w:pPr>
              <w:pStyle w:val="TBodysubtotalNumber"/>
              <w:keepNext/>
            </w:pPr>
            <w:r>
              <w:t>-452</w:t>
            </w:r>
          </w:p>
        </w:tc>
        <w:tc>
          <w:tcPr>
            <w:tcW w:w="119" w:type="dxa"/>
            <w:vAlign w:val="bottom"/>
          </w:tcPr>
          <w:p w14:paraId="2F30FCDF" w14:textId="77777777" w:rsidR="00FE4ADA" w:rsidRDefault="00FE4ADA" w:rsidP="00251EF9">
            <w:pPr>
              <w:pStyle w:val="TBodysubtotalNumber"/>
              <w:keepNext/>
            </w:pPr>
          </w:p>
        </w:tc>
        <w:tc>
          <w:tcPr>
            <w:tcW w:w="1021" w:type="dxa"/>
            <w:tcBorders>
              <w:top w:val="single" w:sz="4" w:space="0" w:color="A59C94"/>
              <w:bottom w:val="single" w:sz="4" w:space="0" w:color="000000"/>
            </w:tcBorders>
            <w:vAlign w:val="bottom"/>
          </w:tcPr>
          <w:p w14:paraId="0561C085" w14:textId="77777777" w:rsidR="00FE4ADA" w:rsidRDefault="00FE4ADA" w:rsidP="00251EF9">
            <w:pPr>
              <w:pStyle w:val="TBodysubtotalNumber"/>
              <w:keepNext/>
            </w:pPr>
            <w:r>
              <w:t>-181</w:t>
            </w:r>
          </w:p>
        </w:tc>
      </w:tr>
      <w:tr w:rsidR="00FE4ADA" w14:paraId="5FE3A4A0" w14:textId="77777777" w:rsidTr="00BC3645">
        <w:tc>
          <w:tcPr>
            <w:tcW w:w="2914" w:type="dxa"/>
            <w:tcBorders>
              <w:top w:val="single" w:sz="4" w:space="0" w:color="000000"/>
              <w:bottom w:val="single" w:sz="4" w:space="0" w:color="A59C94"/>
            </w:tcBorders>
            <w:vAlign w:val="bottom"/>
          </w:tcPr>
          <w:p w14:paraId="73824DDF" w14:textId="7E52536A" w:rsidR="00FE4ADA" w:rsidRPr="00BC3645" w:rsidRDefault="00BC3645" w:rsidP="00BC3645">
            <w:pPr>
              <w:pStyle w:val="TBodyindent5Text"/>
              <w:keepNext/>
              <w:ind w:left="0"/>
              <w:rPr>
                <w:lang w:val="es-419"/>
              </w:rPr>
            </w:pPr>
            <w:r w:rsidRPr="00A23564">
              <w:rPr>
                <w:lang w:val="es-ES"/>
              </w:rPr>
              <w:t xml:space="preserve">De ello </w:t>
            </w:r>
            <w:r>
              <w:rPr>
                <w:lang w:val="es-ES"/>
              </w:rPr>
              <w:t xml:space="preserve">imputable </w:t>
            </w:r>
            <w:r w:rsidRPr="00A23564">
              <w:rPr>
                <w:lang w:val="es-ES"/>
              </w:rPr>
              <w:t>a intereses minoritarios</w:t>
            </w:r>
          </w:p>
        </w:tc>
        <w:tc>
          <w:tcPr>
            <w:tcW w:w="119" w:type="dxa"/>
            <w:vAlign w:val="bottom"/>
          </w:tcPr>
          <w:p w14:paraId="68F253A7" w14:textId="77777777" w:rsidR="00FE4ADA" w:rsidRPr="00BC3645" w:rsidRDefault="00FE4ADA" w:rsidP="00251EF9">
            <w:pPr>
              <w:pStyle w:val="TBodyindent3Number"/>
              <w:keepNext/>
              <w:rPr>
                <w:lang w:val="es-419"/>
              </w:rPr>
            </w:pPr>
          </w:p>
        </w:tc>
        <w:tc>
          <w:tcPr>
            <w:tcW w:w="1021" w:type="dxa"/>
            <w:tcBorders>
              <w:top w:val="single" w:sz="4" w:space="0" w:color="000000"/>
              <w:bottom w:val="single" w:sz="4" w:space="0" w:color="A59C94"/>
            </w:tcBorders>
            <w:vAlign w:val="bottom"/>
          </w:tcPr>
          <w:p w14:paraId="33802062" w14:textId="77777777" w:rsidR="00FE4ADA" w:rsidRDefault="00FE4ADA" w:rsidP="00251EF9">
            <w:pPr>
              <w:pStyle w:val="TBodyindent3Number"/>
              <w:keepNext/>
            </w:pPr>
            <w:r>
              <w:t>3</w:t>
            </w:r>
          </w:p>
        </w:tc>
        <w:tc>
          <w:tcPr>
            <w:tcW w:w="119" w:type="dxa"/>
            <w:vAlign w:val="bottom"/>
          </w:tcPr>
          <w:p w14:paraId="55672CF6" w14:textId="77777777" w:rsidR="00FE4ADA" w:rsidRDefault="00FE4ADA" w:rsidP="00251EF9">
            <w:pPr>
              <w:pStyle w:val="TBodyindent3Number"/>
              <w:keepNext/>
            </w:pPr>
          </w:p>
        </w:tc>
        <w:tc>
          <w:tcPr>
            <w:tcW w:w="1021" w:type="dxa"/>
            <w:tcBorders>
              <w:top w:val="single" w:sz="4" w:space="0" w:color="000000"/>
              <w:bottom w:val="single" w:sz="4" w:space="0" w:color="A59C94"/>
            </w:tcBorders>
            <w:shd w:val="clear" w:color="000000" w:fill="DAD5C9"/>
            <w:vAlign w:val="bottom"/>
          </w:tcPr>
          <w:p w14:paraId="7234BFA4" w14:textId="77777777" w:rsidR="00FE4ADA" w:rsidRDefault="00FE4ADA" w:rsidP="00251EF9">
            <w:pPr>
              <w:pStyle w:val="TBodyindent3Number"/>
              <w:keepNext/>
            </w:pPr>
            <w:r>
              <w:t>2</w:t>
            </w:r>
          </w:p>
        </w:tc>
        <w:tc>
          <w:tcPr>
            <w:tcW w:w="119" w:type="dxa"/>
            <w:vAlign w:val="bottom"/>
          </w:tcPr>
          <w:p w14:paraId="6CA8F475" w14:textId="77777777" w:rsidR="00FE4ADA" w:rsidRDefault="00FE4ADA" w:rsidP="00251EF9">
            <w:pPr>
              <w:pStyle w:val="TBodyindent3Number"/>
              <w:keepNext/>
            </w:pPr>
          </w:p>
        </w:tc>
        <w:tc>
          <w:tcPr>
            <w:tcW w:w="1021" w:type="dxa"/>
            <w:tcBorders>
              <w:top w:val="single" w:sz="4" w:space="0" w:color="000000"/>
              <w:bottom w:val="single" w:sz="4" w:space="0" w:color="A59C94"/>
            </w:tcBorders>
            <w:vAlign w:val="bottom"/>
          </w:tcPr>
          <w:p w14:paraId="28B70C57" w14:textId="77777777" w:rsidR="00FE4ADA" w:rsidRDefault="00FE4ADA" w:rsidP="00251EF9">
            <w:pPr>
              <w:pStyle w:val="TBodyindent3Number"/>
              <w:keepNext/>
            </w:pPr>
          </w:p>
        </w:tc>
        <w:tc>
          <w:tcPr>
            <w:tcW w:w="119" w:type="dxa"/>
            <w:vAlign w:val="bottom"/>
          </w:tcPr>
          <w:p w14:paraId="1161255F" w14:textId="77777777" w:rsidR="00FE4ADA" w:rsidRDefault="00FE4ADA" w:rsidP="00251EF9">
            <w:pPr>
              <w:pStyle w:val="TBodyindent3Number"/>
              <w:keepNext/>
            </w:pPr>
          </w:p>
        </w:tc>
        <w:tc>
          <w:tcPr>
            <w:tcW w:w="1021" w:type="dxa"/>
            <w:tcBorders>
              <w:top w:val="single" w:sz="4" w:space="0" w:color="000000"/>
              <w:bottom w:val="single" w:sz="4" w:space="0" w:color="A59C94"/>
            </w:tcBorders>
            <w:vAlign w:val="bottom"/>
          </w:tcPr>
          <w:p w14:paraId="56E37717" w14:textId="77777777" w:rsidR="00FE4ADA" w:rsidRDefault="00FE4ADA" w:rsidP="00251EF9">
            <w:pPr>
              <w:pStyle w:val="TBodyindent3Number"/>
              <w:keepNext/>
            </w:pPr>
            <w:r>
              <w:t>15</w:t>
            </w:r>
          </w:p>
        </w:tc>
        <w:tc>
          <w:tcPr>
            <w:tcW w:w="119" w:type="dxa"/>
            <w:vAlign w:val="bottom"/>
          </w:tcPr>
          <w:p w14:paraId="6F5C956E" w14:textId="77777777" w:rsidR="00FE4ADA" w:rsidRDefault="00FE4ADA" w:rsidP="00251EF9">
            <w:pPr>
              <w:pStyle w:val="TBodyindent3Number"/>
              <w:keepNext/>
            </w:pPr>
          </w:p>
        </w:tc>
        <w:tc>
          <w:tcPr>
            <w:tcW w:w="1021" w:type="dxa"/>
            <w:tcBorders>
              <w:top w:val="single" w:sz="4" w:space="0" w:color="000000"/>
              <w:bottom w:val="single" w:sz="4" w:space="0" w:color="A59C94"/>
            </w:tcBorders>
            <w:shd w:val="clear" w:color="000000" w:fill="DAD5C9"/>
            <w:vAlign w:val="bottom"/>
          </w:tcPr>
          <w:p w14:paraId="4DDD8243" w14:textId="77777777" w:rsidR="00FE4ADA" w:rsidRDefault="00FE4ADA" w:rsidP="00251EF9">
            <w:pPr>
              <w:pStyle w:val="TBodyindent3Number"/>
              <w:keepNext/>
            </w:pPr>
            <w:r>
              <w:t>13</w:t>
            </w:r>
          </w:p>
        </w:tc>
        <w:tc>
          <w:tcPr>
            <w:tcW w:w="119" w:type="dxa"/>
            <w:vAlign w:val="bottom"/>
          </w:tcPr>
          <w:p w14:paraId="45DB345C" w14:textId="77777777" w:rsidR="00FE4ADA" w:rsidRDefault="00FE4ADA" w:rsidP="00251EF9">
            <w:pPr>
              <w:pStyle w:val="TBodyindent3Number"/>
              <w:keepNext/>
            </w:pPr>
          </w:p>
        </w:tc>
        <w:tc>
          <w:tcPr>
            <w:tcW w:w="1021" w:type="dxa"/>
            <w:tcBorders>
              <w:top w:val="single" w:sz="4" w:space="0" w:color="000000"/>
              <w:bottom w:val="single" w:sz="4" w:space="0" w:color="A59C94"/>
            </w:tcBorders>
            <w:vAlign w:val="bottom"/>
          </w:tcPr>
          <w:p w14:paraId="0574761B" w14:textId="77777777" w:rsidR="00FE4ADA" w:rsidRDefault="00FE4ADA" w:rsidP="00251EF9">
            <w:pPr>
              <w:pStyle w:val="TBodyindent3Number"/>
              <w:keepNext/>
            </w:pPr>
          </w:p>
        </w:tc>
      </w:tr>
      <w:tr w:rsidR="00BC3645" w14:paraId="49E29B32" w14:textId="77777777" w:rsidTr="00BC3645">
        <w:tc>
          <w:tcPr>
            <w:tcW w:w="2914" w:type="dxa"/>
            <w:tcBorders>
              <w:top w:val="single" w:sz="4" w:space="0" w:color="A59C94"/>
              <w:bottom w:val="single" w:sz="4" w:space="0" w:color="000000"/>
            </w:tcBorders>
            <w:vAlign w:val="bottom"/>
          </w:tcPr>
          <w:p w14:paraId="3B2F7E85" w14:textId="08F0EEF2" w:rsidR="00BC3645" w:rsidRDefault="00BC3645" w:rsidP="00BC3645">
            <w:pPr>
              <w:pStyle w:val="TBodysubtotalText"/>
              <w:keepNext/>
            </w:pPr>
            <w:r w:rsidRPr="007F5EDB">
              <w:rPr>
                <w:lang w:val="es-AR"/>
              </w:rPr>
              <w:t>Ingreso neto</w:t>
            </w:r>
          </w:p>
        </w:tc>
        <w:tc>
          <w:tcPr>
            <w:tcW w:w="119" w:type="dxa"/>
            <w:vAlign w:val="bottom"/>
          </w:tcPr>
          <w:p w14:paraId="2815797A" w14:textId="77777777" w:rsidR="00BC3645" w:rsidRDefault="00BC3645" w:rsidP="00BC3645">
            <w:pPr>
              <w:pStyle w:val="TBodysubtotalNumber"/>
              <w:keepNext/>
            </w:pPr>
          </w:p>
        </w:tc>
        <w:tc>
          <w:tcPr>
            <w:tcW w:w="1021" w:type="dxa"/>
            <w:tcBorders>
              <w:top w:val="single" w:sz="4" w:space="0" w:color="A59C94"/>
              <w:bottom w:val="single" w:sz="4" w:space="0" w:color="000000"/>
            </w:tcBorders>
            <w:vAlign w:val="bottom"/>
          </w:tcPr>
          <w:p w14:paraId="5AE209E5" w14:textId="77777777" w:rsidR="00BC3645" w:rsidRDefault="00BC3645" w:rsidP="00BC3645">
            <w:pPr>
              <w:pStyle w:val="TBodysubtotalNumber"/>
              <w:keepNext/>
            </w:pPr>
            <w:r>
              <w:t>-284</w:t>
            </w:r>
          </w:p>
        </w:tc>
        <w:tc>
          <w:tcPr>
            <w:tcW w:w="119" w:type="dxa"/>
            <w:vAlign w:val="bottom"/>
          </w:tcPr>
          <w:p w14:paraId="2CA28875" w14:textId="77777777" w:rsidR="00BC3645" w:rsidRDefault="00BC3645" w:rsidP="00BC3645">
            <w:pPr>
              <w:pStyle w:val="TBodysubtotalNumber"/>
              <w:keepNext/>
            </w:pPr>
          </w:p>
        </w:tc>
        <w:tc>
          <w:tcPr>
            <w:tcW w:w="1021" w:type="dxa"/>
            <w:tcBorders>
              <w:top w:val="single" w:sz="4" w:space="0" w:color="A59C94"/>
              <w:bottom w:val="single" w:sz="4" w:space="0" w:color="000000"/>
            </w:tcBorders>
            <w:shd w:val="clear" w:color="000000" w:fill="DAD5C9"/>
            <w:vAlign w:val="bottom"/>
          </w:tcPr>
          <w:p w14:paraId="7259CA6A" w14:textId="77777777" w:rsidR="00BC3645" w:rsidRDefault="00BC3645" w:rsidP="00BC3645">
            <w:pPr>
              <w:pStyle w:val="TBodysubtotalNumber"/>
              <w:keepNext/>
            </w:pPr>
            <w:r>
              <w:t>-146</w:t>
            </w:r>
          </w:p>
        </w:tc>
        <w:tc>
          <w:tcPr>
            <w:tcW w:w="119" w:type="dxa"/>
            <w:vAlign w:val="bottom"/>
          </w:tcPr>
          <w:p w14:paraId="79B74382" w14:textId="77777777" w:rsidR="00BC3645" w:rsidRDefault="00BC3645" w:rsidP="00BC3645">
            <w:pPr>
              <w:pStyle w:val="TBodysubtotalNumber"/>
              <w:keepNext/>
            </w:pPr>
          </w:p>
        </w:tc>
        <w:tc>
          <w:tcPr>
            <w:tcW w:w="1021" w:type="dxa"/>
            <w:tcBorders>
              <w:top w:val="single" w:sz="4" w:space="0" w:color="A59C94"/>
              <w:bottom w:val="single" w:sz="4" w:space="0" w:color="000000"/>
            </w:tcBorders>
            <w:vAlign w:val="bottom"/>
          </w:tcPr>
          <w:p w14:paraId="06A5CDF0" w14:textId="77777777" w:rsidR="00BC3645" w:rsidRDefault="00BC3645" w:rsidP="00BC3645">
            <w:pPr>
              <w:pStyle w:val="TBodysubtotalNumber"/>
              <w:keepNext/>
            </w:pPr>
            <w:r>
              <w:t>-49</w:t>
            </w:r>
          </w:p>
        </w:tc>
        <w:tc>
          <w:tcPr>
            <w:tcW w:w="119" w:type="dxa"/>
            <w:vAlign w:val="bottom"/>
          </w:tcPr>
          <w:p w14:paraId="21DA1F78" w14:textId="77777777" w:rsidR="00BC3645" w:rsidRDefault="00BC3645" w:rsidP="00BC3645">
            <w:pPr>
              <w:pStyle w:val="TBodysubtotalNumber"/>
              <w:keepNext/>
            </w:pPr>
          </w:p>
        </w:tc>
        <w:tc>
          <w:tcPr>
            <w:tcW w:w="1021" w:type="dxa"/>
            <w:tcBorders>
              <w:top w:val="single" w:sz="4" w:space="0" w:color="A59C94"/>
              <w:bottom w:val="single" w:sz="4" w:space="0" w:color="000000"/>
            </w:tcBorders>
            <w:vAlign w:val="bottom"/>
          </w:tcPr>
          <w:p w14:paraId="47F609AC" w14:textId="77777777" w:rsidR="00BC3645" w:rsidRDefault="00BC3645" w:rsidP="00BC3645">
            <w:pPr>
              <w:pStyle w:val="TBodysubtotalNumber"/>
              <w:keepNext/>
            </w:pPr>
            <w:r>
              <w:t>540</w:t>
            </w:r>
          </w:p>
        </w:tc>
        <w:tc>
          <w:tcPr>
            <w:tcW w:w="119" w:type="dxa"/>
            <w:vAlign w:val="bottom"/>
          </w:tcPr>
          <w:p w14:paraId="44DDE579" w14:textId="77777777" w:rsidR="00BC3645" w:rsidRDefault="00BC3645" w:rsidP="00BC3645">
            <w:pPr>
              <w:pStyle w:val="TBodysubtotalNumber"/>
              <w:keepNext/>
            </w:pPr>
          </w:p>
        </w:tc>
        <w:tc>
          <w:tcPr>
            <w:tcW w:w="1021" w:type="dxa"/>
            <w:tcBorders>
              <w:top w:val="single" w:sz="4" w:space="0" w:color="A59C94"/>
              <w:bottom w:val="single" w:sz="4" w:space="0" w:color="000000"/>
            </w:tcBorders>
            <w:shd w:val="clear" w:color="000000" w:fill="DAD5C9"/>
            <w:vAlign w:val="bottom"/>
          </w:tcPr>
          <w:p w14:paraId="0FB93292" w14:textId="77777777" w:rsidR="00BC3645" w:rsidRDefault="00BC3645" w:rsidP="00BC3645">
            <w:pPr>
              <w:pStyle w:val="TBodysubtotalNumber"/>
              <w:keepNext/>
            </w:pPr>
            <w:r>
              <w:t>-465</w:t>
            </w:r>
          </w:p>
        </w:tc>
        <w:tc>
          <w:tcPr>
            <w:tcW w:w="119" w:type="dxa"/>
            <w:vAlign w:val="bottom"/>
          </w:tcPr>
          <w:p w14:paraId="4ED5B5D3" w14:textId="77777777" w:rsidR="00BC3645" w:rsidRDefault="00BC3645" w:rsidP="00BC3645">
            <w:pPr>
              <w:pStyle w:val="TBodysubtotalNumber"/>
              <w:keepNext/>
            </w:pPr>
          </w:p>
        </w:tc>
        <w:tc>
          <w:tcPr>
            <w:tcW w:w="1021" w:type="dxa"/>
            <w:tcBorders>
              <w:top w:val="single" w:sz="4" w:space="0" w:color="A59C94"/>
              <w:bottom w:val="single" w:sz="4" w:space="0" w:color="000000"/>
            </w:tcBorders>
            <w:vAlign w:val="bottom"/>
          </w:tcPr>
          <w:p w14:paraId="77AD2EA0" w14:textId="77777777" w:rsidR="00BC3645" w:rsidRDefault="00BC3645" w:rsidP="00BC3645">
            <w:pPr>
              <w:pStyle w:val="TBodysubtotalNumber"/>
              <w:keepNext/>
            </w:pPr>
            <w:r>
              <w:t>-186</w:t>
            </w:r>
          </w:p>
        </w:tc>
      </w:tr>
      <w:tr w:rsidR="00BC3645" w14:paraId="3B026A16" w14:textId="77777777" w:rsidTr="00BC3645">
        <w:tc>
          <w:tcPr>
            <w:tcW w:w="2914" w:type="dxa"/>
            <w:tcBorders>
              <w:top w:val="single" w:sz="4" w:space="0" w:color="000000"/>
              <w:bottom w:val="single" w:sz="16" w:space="0" w:color="991D85"/>
            </w:tcBorders>
            <w:vAlign w:val="bottom"/>
          </w:tcPr>
          <w:p w14:paraId="1568BCBC" w14:textId="3553FF50" w:rsidR="00BC3645" w:rsidRDefault="00BC3645" w:rsidP="00BC3645">
            <w:pPr>
              <w:pStyle w:val="TBodytotalText"/>
            </w:pPr>
            <w:r w:rsidRPr="007F5EDB">
              <w:rPr>
                <w:lang w:val="es-AR"/>
              </w:rPr>
              <w:t>Ingreso neto ajustado</w:t>
            </w:r>
          </w:p>
        </w:tc>
        <w:tc>
          <w:tcPr>
            <w:tcW w:w="119" w:type="dxa"/>
            <w:tcBorders>
              <w:bottom w:val="single" w:sz="16" w:space="0" w:color="991D85"/>
            </w:tcBorders>
            <w:vAlign w:val="bottom"/>
          </w:tcPr>
          <w:p w14:paraId="6E1D3D87" w14:textId="77777777" w:rsidR="00BC3645" w:rsidRDefault="00BC3645" w:rsidP="00BC3645">
            <w:pPr>
              <w:pStyle w:val="TBodytotalNumber"/>
            </w:pPr>
          </w:p>
        </w:tc>
        <w:tc>
          <w:tcPr>
            <w:tcW w:w="1021" w:type="dxa"/>
            <w:tcBorders>
              <w:top w:val="single" w:sz="4" w:space="0" w:color="000000"/>
              <w:bottom w:val="single" w:sz="16" w:space="0" w:color="991D85"/>
            </w:tcBorders>
            <w:vAlign w:val="bottom"/>
          </w:tcPr>
          <w:p w14:paraId="72CE5DF3" w14:textId="77777777" w:rsidR="00BC3645" w:rsidRDefault="00BC3645" w:rsidP="00BC3645">
            <w:pPr>
              <w:pStyle w:val="TBodytotalNumber"/>
            </w:pPr>
            <w:r>
              <w:t>94</w:t>
            </w:r>
          </w:p>
        </w:tc>
        <w:tc>
          <w:tcPr>
            <w:tcW w:w="119" w:type="dxa"/>
            <w:tcBorders>
              <w:bottom w:val="single" w:sz="16" w:space="0" w:color="991D85"/>
            </w:tcBorders>
            <w:vAlign w:val="bottom"/>
          </w:tcPr>
          <w:p w14:paraId="71F7217F" w14:textId="77777777" w:rsidR="00BC3645" w:rsidRDefault="00BC3645" w:rsidP="00BC3645">
            <w:pPr>
              <w:pStyle w:val="TBodytotalNumber"/>
            </w:pPr>
          </w:p>
        </w:tc>
        <w:tc>
          <w:tcPr>
            <w:tcW w:w="1021" w:type="dxa"/>
            <w:tcBorders>
              <w:top w:val="single" w:sz="4" w:space="0" w:color="000000"/>
              <w:bottom w:val="single" w:sz="16" w:space="0" w:color="991D85"/>
            </w:tcBorders>
            <w:shd w:val="clear" w:color="000000" w:fill="DAD5C9"/>
            <w:vAlign w:val="bottom"/>
          </w:tcPr>
          <w:p w14:paraId="30CCE678" w14:textId="77777777" w:rsidR="00BC3645" w:rsidRDefault="00BC3645" w:rsidP="00BC3645">
            <w:pPr>
              <w:pStyle w:val="TBodytotalNumber"/>
            </w:pPr>
            <w:r>
              <w:t>-56</w:t>
            </w:r>
          </w:p>
        </w:tc>
        <w:tc>
          <w:tcPr>
            <w:tcW w:w="119" w:type="dxa"/>
            <w:tcBorders>
              <w:bottom w:val="single" w:sz="16" w:space="0" w:color="991D85"/>
            </w:tcBorders>
            <w:vAlign w:val="bottom"/>
          </w:tcPr>
          <w:p w14:paraId="3FB261A3" w14:textId="77777777" w:rsidR="00BC3645" w:rsidRDefault="00BC3645" w:rsidP="00BC3645">
            <w:pPr>
              <w:pStyle w:val="TBodytotalNumber"/>
            </w:pPr>
          </w:p>
        </w:tc>
        <w:tc>
          <w:tcPr>
            <w:tcW w:w="1021" w:type="dxa"/>
            <w:tcBorders>
              <w:top w:val="single" w:sz="4" w:space="0" w:color="000000"/>
              <w:bottom w:val="single" w:sz="16" w:space="0" w:color="991D85"/>
            </w:tcBorders>
            <w:vAlign w:val="bottom"/>
          </w:tcPr>
          <w:p w14:paraId="39586E1A" w14:textId="77777777" w:rsidR="00BC3645" w:rsidRDefault="00BC3645" w:rsidP="00BC3645">
            <w:pPr>
              <w:pStyle w:val="TBodytotalNumber"/>
            </w:pPr>
            <w:r>
              <w:t>-160</w:t>
            </w:r>
          </w:p>
        </w:tc>
        <w:tc>
          <w:tcPr>
            <w:tcW w:w="119" w:type="dxa"/>
            <w:tcBorders>
              <w:bottom w:val="single" w:sz="16" w:space="0" w:color="991D85"/>
            </w:tcBorders>
            <w:vAlign w:val="bottom"/>
          </w:tcPr>
          <w:p w14:paraId="1084A4A7" w14:textId="77777777" w:rsidR="00BC3645" w:rsidRDefault="00BC3645" w:rsidP="00BC3645">
            <w:pPr>
              <w:pStyle w:val="TBodytotalNumber"/>
            </w:pPr>
          </w:p>
        </w:tc>
        <w:tc>
          <w:tcPr>
            <w:tcW w:w="1021" w:type="dxa"/>
            <w:tcBorders>
              <w:top w:val="single" w:sz="4" w:space="0" w:color="000000"/>
              <w:bottom w:val="single" w:sz="16" w:space="0" w:color="991D85"/>
            </w:tcBorders>
            <w:vAlign w:val="bottom"/>
          </w:tcPr>
          <w:p w14:paraId="4BAD5FE7" w14:textId="77777777" w:rsidR="00BC3645" w:rsidRDefault="00BC3645" w:rsidP="00BC3645">
            <w:pPr>
              <w:pStyle w:val="TBodytotalNumber"/>
            </w:pPr>
            <w:bookmarkStart w:id="11" w:name="SNAMD_f8de9e017b364e58a69f13a9b1ece139"/>
            <w:r>
              <w:t>1,054</w:t>
            </w:r>
            <w:bookmarkEnd w:id="11"/>
          </w:p>
        </w:tc>
        <w:tc>
          <w:tcPr>
            <w:tcW w:w="119" w:type="dxa"/>
            <w:tcBorders>
              <w:bottom w:val="single" w:sz="16" w:space="0" w:color="991D85"/>
            </w:tcBorders>
            <w:vAlign w:val="bottom"/>
          </w:tcPr>
          <w:p w14:paraId="5544F476" w14:textId="77777777" w:rsidR="00BC3645" w:rsidRDefault="00BC3645" w:rsidP="00BC3645">
            <w:pPr>
              <w:pStyle w:val="TBodytotalNumber"/>
            </w:pPr>
          </w:p>
        </w:tc>
        <w:tc>
          <w:tcPr>
            <w:tcW w:w="1021" w:type="dxa"/>
            <w:tcBorders>
              <w:top w:val="single" w:sz="4" w:space="0" w:color="000000"/>
              <w:bottom w:val="single" w:sz="16" w:space="0" w:color="991D85"/>
            </w:tcBorders>
            <w:shd w:val="clear" w:color="000000" w:fill="DAD5C9"/>
            <w:vAlign w:val="bottom"/>
          </w:tcPr>
          <w:p w14:paraId="51634103" w14:textId="77777777" w:rsidR="00BC3645" w:rsidRDefault="00BC3645" w:rsidP="00BC3645">
            <w:pPr>
              <w:pStyle w:val="TBodytotalNumber"/>
            </w:pPr>
            <w:bookmarkStart w:id="12" w:name="SNAMD_d3c2d78c7ccf46a0b6179e61e5dddc10"/>
            <w:r>
              <w:t>370</w:t>
            </w:r>
            <w:bookmarkEnd w:id="12"/>
          </w:p>
        </w:tc>
        <w:tc>
          <w:tcPr>
            <w:tcW w:w="119" w:type="dxa"/>
            <w:tcBorders>
              <w:bottom w:val="single" w:sz="16" w:space="0" w:color="991D85"/>
            </w:tcBorders>
            <w:vAlign w:val="bottom"/>
          </w:tcPr>
          <w:p w14:paraId="67C1EA60" w14:textId="77777777" w:rsidR="00BC3645" w:rsidRDefault="00BC3645" w:rsidP="00BC3645">
            <w:pPr>
              <w:pStyle w:val="TBodytotalNumber"/>
            </w:pPr>
          </w:p>
        </w:tc>
        <w:tc>
          <w:tcPr>
            <w:tcW w:w="1021" w:type="dxa"/>
            <w:tcBorders>
              <w:top w:val="single" w:sz="4" w:space="0" w:color="000000"/>
              <w:bottom w:val="single" w:sz="16" w:space="0" w:color="991D85"/>
            </w:tcBorders>
            <w:vAlign w:val="bottom"/>
          </w:tcPr>
          <w:p w14:paraId="1549605C" w14:textId="77777777" w:rsidR="00BC3645" w:rsidRDefault="00BC3645" w:rsidP="00BC3645">
            <w:pPr>
              <w:pStyle w:val="TBodytotalNumber"/>
            </w:pPr>
            <w:r>
              <w:t>-65</w:t>
            </w:r>
          </w:p>
        </w:tc>
      </w:tr>
      <w:bookmarkEnd w:id="7"/>
    </w:tbl>
    <w:p w14:paraId="66AC9E77" w14:textId="77777777" w:rsidR="00FE4ADA" w:rsidRDefault="00FE4ADA" w:rsidP="00FE4ADA">
      <w:pPr>
        <w:spacing w:line="240" w:lineRule="auto"/>
        <w:rPr>
          <w:lang w:val="en-US"/>
        </w:rPr>
      </w:pPr>
    </w:p>
    <w:p w14:paraId="73D5DFC7" w14:textId="77777777" w:rsidR="00FE4ADA" w:rsidRDefault="00FE4ADA" w:rsidP="00FE4ADA">
      <w:pPr>
        <w:spacing w:line="240" w:lineRule="auto"/>
        <w:rPr>
          <w:lang w:val="en-US"/>
        </w:rPr>
      </w:pPr>
    </w:p>
    <w:tbl>
      <w:tblPr>
        <w:tblW w:w="9754" w:type="dxa"/>
        <w:tblLayout w:type="fixed"/>
        <w:tblCellMar>
          <w:left w:w="0" w:type="dxa"/>
          <w:right w:w="0" w:type="dxa"/>
        </w:tblCellMar>
        <w:tblLook w:val="04A0" w:firstRow="1" w:lastRow="0" w:firstColumn="1" w:lastColumn="0" w:noHBand="0" w:noVBand="1"/>
      </w:tblPr>
      <w:tblGrid>
        <w:gridCol w:w="2914"/>
        <w:gridCol w:w="119"/>
        <w:gridCol w:w="1021"/>
        <w:gridCol w:w="119"/>
        <w:gridCol w:w="1021"/>
        <w:gridCol w:w="119"/>
        <w:gridCol w:w="1021"/>
        <w:gridCol w:w="119"/>
        <w:gridCol w:w="1021"/>
        <w:gridCol w:w="119"/>
        <w:gridCol w:w="1021"/>
        <w:gridCol w:w="119"/>
        <w:gridCol w:w="1021"/>
      </w:tblGrid>
      <w:tr w:rsidR="00FE4ADA" w14:paraId="0B66DD8C" w14:textId="77777777" w:rsidTr="00251EF9">
        <w:tc>
          <w:tcPr>
            <w:tcW w:w="9754" w:type="dxa"/>
            <w:gridSpan w:val="13"/>
            <w:noWrap/>
            <w:vAlign w:val="bottom"/>
          </w:tcPr>
          <w:p w14:paraId="6EF6C169" w14:textId="48C4DA98" w:rsidR="00FE4ADA" w:rsidRPr="00DF2967" w:rsidRDefault="00BC3645" w:rsidP="00251EF9">
            <w:pPr>
              <w:pStyle w:val="TTitleText"/>
              <w:rPr>
                <w:lang w:val="es-419"/>
              </w:rPr>
            </w:pPr>
            <w:r>
              <w:rPr>
                <w:lang w:val="es-AR"/>
              </w:rPr>
              <w:t xml:space="preserve">Rendimiento por división </w:t>
            </w:r>
            <w:r w:rsidR="00FE4ADA" w:rsidRPr="00DF2967">
              <w:rPr>
                <w:lang w:val="es-419"/>
              </w:rPr>
              <w:t>- 4º trimestre</w:t>
            </w:r>
            <w:bookmarkStart w:id="13" w:name="_Int_VxODMWhn"/>
            <w:r w:rsidR="00FE4ADA" w:rsidRPr="00DF2967">
              <w:rPr>
                <w:lang w:val="es-419"/>
              </w:rPr>
              <w:t xml:space="preserve"> </w:t>
            </w:r>
            <w:bookmarkEnd w:id="13"/>
          </w:p>
        </w:tc>
      </w:tr>
      <w:tr w:rsidR="00FE4ADA" w14:paraId="059CD124" w14:textId="77777777" w:rsidTr="00251EF9">
        <w:tc>
          <w:tcPr>
            <w:tcW w:w="2914" w:type="dxa"/>
            <w:tcBorders>
              <w:top w:val="single" w:sz="8" w:space="0" w:color="000000" w:themeColor="text1"/>
            </w:tcBorders>
            <w:noWrap/>
            <w:vAlign w:val="bottom"/>
          </w:tcPr>
          <w:p w14:paraId="044DF5D7" w14:textId="77777777" w:rsidR="00FE4ADA" w:rsidRPr="00DF2967" w:rsidRDefault="00FE4ADA" w:rsidP="00251EF9">
            <w:pPr>
              <w:pStyle w:val="TDummy"/>
              <w:keepNext/>
              <w:rPr>
                <w:lang w:val="es-419"/>
              </w:rPr>
            </w:pPr>
          </w:p>
        </w:tc>
        <w:tc>
          <w:tcPr>
            <w:tcW w:w="119" w:type="dxa"/>
            <w:tcBorders>
              <w:top w:val="single" w:sz="8" w:space="0" w:color="000000" w:themeColor="text1"/>
            </w:tcBorders>
            <w:noWrap/>
            <w:vAlign w:val="bottom"/>
          </w:tcPr>
          <w:p w14:paraId="3DDCF280" w14:textId="77777777" w:rsidR="00FE4ADA" w:rsidRPr="00DF2967" w:rsidRDefault="00FE4ADA" w:rsidP="00251EF9">
            <w:pPr>
              <w:pStyle w:val="TDummy"/>
              <w:keepNext/>
              <w:rPr>
                <w:lang w:val="es-419"/>
              </w:rPr>
            </w:pPr>
          </w:p>
        </w:tc>
        <w:tc>
          <w:tcPr>
            <w:tcW w:w="1021" w:type="dxa"/>
            <w:tcBorders>
              <w:top w:val="single" w:sz="8" w:space="0" w:color="000000" w:themeColor="text1"/>
            </w:tcBorders>
            <w:noWrap/>
            <w:vAlign w:val="bottom"/>
          </w:tcPr>
          <w:p w14:paraId="604FF795" w14:textId="77777777" w:rsidR="00FE4ADA" w:rsidRPr="00DF2967" w:rsidRDefault="00FE4ADA" w:rsidP="00251EF9">
            <w:pPr>
              <w:pStyle w:val="TDummy"/>
              <w:keepNext/>
              <w:rPr>
                <w:lang w:val="es-419"/>
              </w:rPr>
            </w:pPr>
          </w:p>
        </w:tc>
        <w:tc>
          <w:tcPr>
            <w:tcW w:w="119" w:type="dxa"/>
            <w:tcBorders>
              <w:top w:val="single" w:sz="8" w:space="0" w:color="000000" w:themeColor="text1"/>
            </w:tcBorders>
            <w:noWrap/>
            <w:vAlign w:val="bottom"/>
          </w:tcPr>
          <w:p w14:paraId="76D9FC39" w14:textId="77777777" w:rsidR="00FE4ADA" w:rsidRPr="00DF2967" w:rsidRDefault="00FE4ADA" w:rsidP="00251EF9">
            <w:pPr>
              <w:pStyle w:val="TDummy"/>
              <w:keepNext/>
              <w:rPr>
                <w:lang w:val="es-419"/>
              </w:rPr>
            </w:pPr>
          </w:p>
        </w:tc>
        <w:tc>
          <w:tcPr>
            <w:tcW w:w="1021" w:type="dxa"/>
            <w:tcBorders>
              <w:top w:val="single" w:sz="8" w:space="0" w:color="000000" w:themeColor="text1"/>
            </w:tcBorders>
            <w:noWrap/>
            <w:vAlign w:val="bottom"/>
          </w:tcPr>
          <w:p w14:paraId="23AE0288" w14:textId="77777777" w:rsidR="00FE4ADA" w:rsidRPr="00DF2967" w:rsidRDefault="00FE4ADA" w:rsidP="00251EF9">
            <w:pPr>
              <w:pStyle w:val="TDummy"/>
              <w:keepNext/>
              <w:rPr>
                <w:lang w:val="es-419"/>
              </w:rPr>
            </w:pPr>
          </w:p>
        </w:tc>
        <w:tc>
          <w:tcPr>
            <w:tcW w:w="119" w:type="dxa"/>
            <w:tcBorders>
              <w:top w:val="single" w:sz="8" w:space="0" w:color="000000" w:themeColor="text1"/>
            </w:tcBorders>
            <w:noWrap/>
            <w:vAlign w:val="bottom"/>
          </w:tcPr>
          <w:p w14:paraId="65A3DD91" w14:textId="77777777" w:rsidR="00FE4ADA" w:rsidRPr="00DF2967" w:rsidRDefault="00FE4ADA" w:rsidP="00251EF9">
            <w:pPr>
              <w:pStyle w:val="TDummy"/>
              <w:keepNext/>
              <w:rPr>
                <w:lang w:val="es-419"/>
              </w:rPr>
            </w:pPr>
          </w:p>
        </w:tc>
        <w:tc>
          <w:tcPr>
            <w:tcW w:w="1021" w:type="dxa"/>
            <w:tcBorders>
              <w:top w:val="single" w:sz="8" w:space="0" w:color="000000" w:themeColor="text1"/>
            </w:tcBorders>
            <w:noWrap/>
            <w:vAlign w:val="bottom"/>
          </w:tcPr>
          <w:p w14:paraId="5A77EC6D" w14:textId="77777777" w:rsidR="00FE4ADA" w:rsidRPr="00DF2967" w:rsidRDefault="00FE4ADA" w:rsidP="00251EF9">
            <w:pPr>
              <w:pStyle w:val="TDummy"/>
              <w:keepNext/>
              <w:rPr>
                <w:lang w:val="es-419"/>
              </w:rPr>
            </w:pPr>
          </w:p>
        </w:tc>
        <w:tc>
          <w:tcPr>
            <w:tcW w:w="119" w:type="dxa"/>
            <w:tcBorders>
              <w:top w:val="single" w:sz="8" w:space="0" w:color="000000" w:themeColor="text1"/>
            </w:tcBorders>
            <w:noWrap/>
            <w:vAlign w:val="bottom"/>
          </w:tcPr>
          <w:p w14:paraId="45B5E8E4" w14:textId="77777777" w:rsidR="00FE4ADA" w:rsidRPr="00DF2967" w:rsidRDefault="00FE4ADA" w:rsidP="00251EF9">
            <w:pPr>
              <w:pStyle w:val="TDummy"/>
              <w:keepNext/>
              <w:rPr>
                <w:lang w:val="es-419"/>
              </w:rPr>
            </w:pPr>
          </w:p>
        </w:tc>
        <w:tc>
          <w:tcPr>
            <w:tcW w:w="1021" w:type="dxa"/>
            <w:tcBorders>
              <w:top w:val="single" w:sz="8" w:space="0" w:color="000000" w:themeColor="text1"/>
            </w:tcBorders>
            <w:noWrap/>
            <w:vAlign w:val="bottom"/>
          </w:tcPr>
          <w:p w14:paraId="6EB43DC1" w14:textId="77777777" w:rsidR="00FE4ADA" w:rsidRPr="00DF2967" w:rsidRDefault="00FE4ADA" w:rsidP="00251EF9">
            <w:pPr>
              <w:pStyle w:val="TDummy"/>
              <w:keepNext/>
              <w:rPr>
                <w:lang w:val="es-419"/>
              </w:rPr>
            </w:pPr>
          </w:p>
        </w:tc>
        <w:tc>
          <w:tcPr>
            <w:tcW w:w="119" w:type="dxa"/>
            <w:tcBorders>
              <w:top w:val="single" w:sz="8" w:space="0" w:color="000000" w:themeColor="text1"/>
            </w:tcBorders>
            <w:noWrap/>
            <w:vAlign w:val="bottom"/>
          </w:tcPr>
          <w:p w14:paraId="13B20788" w14:textId="77777777" w:rsidR="00FE4ADA" w:rsidRPr="00DF2967" w:rsidRDefault="00FE4ADA" w:rsidP="00251EF9">
            <w:pPr>
              <w:pStyle w:val="TDummy"/>
              <w:keepNext/>
              <w:rPr>
                <w:lang w:val="es-419"/>
              </w:rPr>
            </w:pPr>
          </w:p>
        </w:tc>
        <w:tc>
          <w:tcPr>
            <w:tcW w:w="1021" w:type="dxa"/>
            <w:tcBorders>
              <w:top w:val="single" w:sz="8" w:space="0" w:color="000000" w:themeColor="text1"/>
            </w:tcBorders>
            <w:noWrap/>
            <w:vAlign w:val="bottom"/>
          </w:tcPr>
          <w:p w14:paraId="2FD7ADF8" w14:textId="77777777" w:rsidR="00FE4ADA" w:rsidRPr="00DF2967" w:rsidRDefault="00FE4ADA" w:rsidP="00251EF9">
            <w:pPr>
              <w:pStyle w:val="TDummy"/>
              <w:keepNext/>
              <w:rPr>
                <w:lang w:val="es-419"/>
              </w:rPr>
            </w:pPr>
          </w:p>
        </w:tc>
        <w:tc>
          <w:tcPr>
            <w:tcW w:w="119" w:type="dxa"/>
            <w:tcBorders>
              <w:top w:val="single" w:sz="8" w:space="0" w:color="000000" w:themeColor="text1"/>
            </w:tcBorders>
            <w:noWrap/>
            <w:vAlign w:val="bottom"/>
          </w:tcPr>
          <w:p w14:paraId="0039DA77" w14:textId="77777777" w:rsidR="00FE4ADA" w:rsidRPr="00DF2967" w:rsidRDefault="00FE4ADA" w:rsidP="00251EF9">
            <w:pPr>
              <w:pStyle w:val="TDummy"/>
              <w:keepNext/>
              <w:rPr>
                <w:lang w:val="es-419"/>
              </w:rPr>
            </w:pPr>
          </w:p>
        </w:tc>
        <w:tc>
          <w:tcPr>
            <w:tcW w:w="1021" w:type="dxa"/>
            <w:tcBorders>
              <w:top w:val="single" w:sz="8" w:space="0" w:color="000000" w:themeColor="text1"/>
            </w:tcBorders>
            <w:noWrap/>
            <w:vAlign w:val="bottom"/>
          </w:tcPr>
          <w:p w14:paraId="467EB2C4" w14:textId="77777777" w:rsidR="00FE4ADA" w:rsidRPr="00DF2967" w:rsidRDefault="00FE4ADA" w:rsidP="00251EF9">
            <w:pPr>
              <w:pStyle w:val="TDummy"/>
              <w:keepNext/>
              <w:rPr>
                <w:lang w:val="es-419"/>
              </w:rPr>
            </w:pPr>
          </w:p>
        </w:tc>
      </w:tr>
      <w:tr w:rsidR="00FE4ADA" w14:paraId="54408DD9" w14:textId="77777777" w:rsidTr="00251EF9">
        <w:tc>
          <w:tcPr>
            <w:tcW w:w="2914" w:type="dxa"/>
            <w:shd w:val="clear" w:color="auto" w:fill="FFFFFF" w:themeFill="background1"/>
            <w:noWrap/>
            <w:vAlign w:val="bottom"/>
          </w:tcPr>
          <w:p w14:paraId="6C0FFBF6" w14:textId="77777777" w:rsidR="00FE4ADA" w:rsidRDefault="00FE4ADA" w:rsidP="00251EF9">
            <w:pPr>
              <w:pStyle w:val="THeadfirstNumber"/>
            </w:pPr>
          </w:p>
        </w:tc>
        <w:tc>
          <w:tcPr>
            <w:tcW w:w="119" w:type="dxa"/>
            <w:noWrap/>
            <w:vAlign w:val="bottom"/>
          </w:tcPr>
          <w:p w14:paraId="3C41FAD0" w14:textId="77777777" w:rsidR="00FE4ADA" w:rsidRDefault="00FE4ADA" w:rsidP="00251EF9">
            <w:pPr>
              <w:pStyle w:val="THeadfirstNumber"/>
            </w:pPr>
          </w:p>
        </w:tc>
        <w:tc>
          <w:tcPr>
            <w:tcW w:w="3301" w:type="dxa"/>
            <w:gridSpan w:val="5"/>
            <w:tcBorders>
              <w:bottom w:val="single" w:sz="4" w:space="0" w:color="A59C94"/>
            </w:tcBorders>
            <w:shd w:val="clear" w:color="auto" w:fill="FFFFFF" w:themeFill="background1"/>
            <w:noWrap/>
            <w:vAlign w:val="bottom"/>
          </w:tcPr>
          <w:p w14:paraId="4A3FCD83" w14:textId="77777777" w:rsidR="00FE4ADA" w:rsidRDefault="00FE4ADA" w:rsidP="00251EF9">
            <w:pPr>
              <w:pStyle w:val="THeadfirstNumber"/>
            </w:pPr>
            <w:r>
              <w:t>Ventas</w:t>
            </w:r>
          </w:p>
        </w:tc>
        <w:tc>
          <w:tcPr>
            <w:tcW w:w="119" w:type="dxa"/>
            <w:noWrap/>
            <w:vAlign w:val="bottom"/>
          </w:tcPr>
          <w:p w14:paraId="0CBBED2A" w14:textId="77777777" w:rsidR="00FE4ADA" w:rsidRDefault="00FE4ADA" w:rsidP="00251EF9">
            <w:pPr>
              <w:pStyle w:val="THeadfirstNumber"/>
            </w:pPr>
          </w:p>
        </w:tc>
        <w:tc>
          <w:tcPr>
            <w:tcW w:w="3301" w:type="dxa"/>
            <w:gridSpan w:val="5"/>
            <w:tcBorders>
              <w:bottom w:val="single" w:sz="4" w:space="0" w:color="A59C94"/>
            </w:tcBorders>
            <w:shd w:val="clear" w:color="auto" w:fill="FFFFFF" w:themeFill="background1"/>
            <w:noWrap/>
            <w:vAlign w:val="bottom"/>
          </w:tcPr>
          <w:p w14:paraId="20861E2E" w14:textId="77777777" w:rsidR="00FE4ADA" w:rsidRDefault="00FE4ADA" w:rsidP="00251EF9">
            <w:pPr>
              <w:pStyle w:val="THeadfirstNumber"/>
            </w:pPr>
            <w:r>
              <w:t>EBITDA ajustado</w:t>
            </w:r>
          </w:p>
        </w:tc>
      </w:tr>
      <w:tr w:rsidR="00FE4ADA" w14:paraId="10C41340" w14:textId="77777777" w:rsidTr="00251EF9">
        <w:tc>
          <w:tcPr>
            <w:tcW w:w="2914" w:type="dxa"/>
            <w:tcBorders>
              <w:bottom w:val="single" w:sz="4" w:space="0" w:color="000000" w:themeColor="text1"/>
            </w:tcBorders>
            <w:shd w:val="clear" w:color="auto" w:fill="FFFFFF" w:themeFill="background1"/>
            <w:noWrap/>
            <w:vAlign w:val="bottom"/>
          </w:tcPr>
          <w:p w14:paraId="4B8E8E14" w14:textId="77777777" w:rsidR="00FE4ADA" w:rsidRDefault="00FE4ADA" w:rsidP="00251EF9">
            <w:pPr>
              <w:pStyle w:val="THeadlastText"/>
            </w:pPr>
            <w:r>
              <w:t>en millones de euros</w:t>
            </w:r>
          </w:p>
        </w:tc>
        <w:tc>
          <w:tcPr>
            <w:tcW w:w="119" w:type="dxa"/>
            <w:noWrap/>
            <w:vAlign w:val="bottom"/>
          </w:tcPr>
          <w:p w14:paraId="36ED83B6" w14:textId="77777777" w:rsidR="00FE4ADA" w:rsidRDefault="00FE4ADA" w:rsidP="00251EF9">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50E2ACEA" w14:textId="77777777" w:rsidR="00FE4ADA" w:rsidRDefault="00FE4ADA" w:rsidP="00251EF9">
            <w:pPr>
              <w:pStyle w:val="THeadlastNumber"/>
            </w:pPr>
            <w:r>
              <w:t>2022</w:t>
            </w:r>
          </w:p>
        </w:tc>
        <w:tc>
          <w:tcPr>
            <w:tcW w:w="119" w:type="dxa"/>
            <w:vAlign w:val="bottom"/>
          </w:tcPr>
          <w:p w14:paraId="23107802" w14:textId="77777777" w:rsidR="00FE4ADA" w:rsidRDefault="00FE4ADA" w:rsidP="00251EF9">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49D8A6E3" w14:textId="77777777" w:rsidR="00FE4ADA" w:rsidRDefault="00FE4ADA" w:rsidP="00251EF9">
            <w:pPr>
              <w:pStyle w:val="THeadlastNumberbold"/>
            </w:pPr>
            <w:bookmarkStart w:id="14" w:name="RANGE!F28:F35"/>
            <w:bookmarkEnd w:id="14"/>
            <w:r>
              <w:t>2023</w:t>
            </w:r>
          </w:p>
        </w:tc>
        <w:tc>
          <w:tcPr>
            <w:tcW w:w="119" w:type="dxa"/>
            <w:vAlign w:val="bottom"/>
          </w:tcPr>
          <w:p w14:paraId="17873B38" w14:textId="77777777" w:rsidR="00FE4ADA" w:rsidRDefault="00FE4ADA" w:rsidP="00251EF9">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39F78446" w14:textId="30D2A3F8" w:rsidR="00FE4ADA" w:rsidRDefault="00BC3645" w:rsidP="00251EF9">
            <w:pPr>
              <w:pStyle w:val="THeaddifferenceNumber"/>
              <w:keepNext/>
            </w:pPr>
            <w:bookmarkStart w:id="15" w:name="RANGE!H28:H35"/>
            <w:bookmarkEnd w:id="15"/>
            <w:r w:rsidRPr="007F5EDB">
              <w:rPr>
                <w:lang w:val="es-AR"/>
              </w:rPr>
              <w:t>Cambio en %</w:t>
            </w:r>
          </w:p>
        </w:tc>
        <w:tc>
          <w:tcPr>
            <w:tcW w:w="119" w:type="dxa"/>
            <w:vAlign w:val="bottom"/>
          </w:tcPr>
          <w:p w14:paraId="679A3C5B" w14:textId="77777777" w:rsidR="00FE4ADA" w:rsidRDefault="00FE4ADA" w:rsidP="00251EF9">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230A617A" w14:textId="77777777" w:rsidR="00FE4ADA" w:rsidRDefault="00FE4ADA" w:rsidP="00251EF9">
            <w:pPr>
              <w:pStyle w:val="THeadlastNumber"/>
            </w:pPr>
            <w:r>
              <w:t>2022</w:t>
            </w:r>
          </w:p>
        </w:tc>
        <w:tc>
          <w:tcPr>
            <w:tcW w:w="119" w:type="dxa"/>
            <w:vAlign w:val="bottom"/>
          </w:tcPr>
          <w:p w14:paraId="604A46CE" w14:textId="77777777" w:rsidR="00FE4ADA" w:rsidRDefault="00FE4ADA" w:rsidP="00251EF9">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1C8B439A" w14:textId="77777777" w:rsidR="00FE4ADA" w:rsidRDefault="00FE4ADA" w:rsidP="00251EF9">
            <w:pPr>
              <w:pStyle w:val="THeadlastNumberbold"/>
            </w:pPr>
            <w:bookmarkStart w:id="16" w:name="RANGE!L28:L35"/>
            <w:bookmarkEnd w:id="16"/>
            <w:r>
              <w:t>2023</w:t>
            </w:r>
          </w:p>
        </w:tc>
        <w:tc>
          <w:tcPr>
            <w:tcW w:w="119" w:type="dxa"/>
            <w:vAlign w:val="bottom"/>
          </w:tcPr>
          <w:p w14:paraId="25AD1A9A" w14:textId="77777777" w:rsidR="00FE4ADA" w:rsidRDefault="00FE4ADA" w:rsidP="00251EF9">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7CE24D80" w14:textId="7AE4269B" w:rsidR="00FE4ADA" w:rsidRDefault="00BC3645" w:rsidP="00251EF9">
            <w:pPr>
              <w:pStyle w:val="THeaddifferenceNumber"/>
              <w:keepNext/>
            </w:pPr>
            <w:bookmarkStart w:id="17" w:name="RANGE!N28:N35"/>
            <w:bookmarkEnd w:id="17"/>
            <w:r w:rsidRPr="007F5EDB">
              <w:rPr>
                <w:lang w:val="es-AR"/>
              </w:rPr>
              <w:t>Cambio en %</w:t>
            </w:r>
          </w:p>
        </w:tc>
      </w:tr>
      <w:tr w:rsidR="00FE4ADA" w14:paraId="12F0120E" w14:textId="77777777" w:rsidTr="00251EF9">
        <w:tc>
          <w:tcPr>
            <w:tcW w:w="2914" w:type="dxa"/>
            <w:tcBorders>
              <w:top w:val="single" w:sz="4" w:space="0" w:color="000000" w:themeColor="text1"/>
              <w:bottom w:val="single" w:sz="4" w:space="0" w:color="A59C94"/>
            </w:tcBorders>
            <w:noWrap/>
            <w:vAlign w:val="bottom"/>
          </w:tcPr>
          <w:p w14:paraId="4D233985" w14:textId="2869E605" w:rsidR="00FE4ADA" w:rsidRDefault="00BC3645" w:rsidP="00251EF9">
            <w:pPr>
              <w:pStyle w:val="TBodynormalText"/>
            </w:pPr>
            <w:r w:rsidRPr="007F5EDB">
              <w:rPr>
                <w:lang w:val="es-AR"/>
              </w:rPr>
              <w:t xml:space="preserve">Specialty </w:t>
            </w:r>
            <w:proofErr w:type="spellStart"/>
            <w:r w:rsidRPr="007F5EDB">
              <w:rPr>
                <w:lang w:val="es-AR"/>
              </w:rPr>
              <w:t>Additives</w:t>
            </w:r>
            <w:proofErr w:type="spellEnd"/>
          </w:p>
        </w:tc>
        <w:tc>
          <w:tcPr>
            <w:tcW w:w="119" w:type="dxa"/>
            <w:noWrap/>
            <w:vAlign w:val="bottom"/>
          </w:tcPr>
          <w:p w14:paraId="5B6270CA" w14:textId="77777777" w:rsidR="00FE4ADA" w:rsidRDefault="00FE4ADA" w:rsidP="00251EF9">
            <w:pPr>
              <w:pStyle w:val="TBodynormalNumber"/>
              <w:keepNext/>
            </w:pPr>
          </w:p>
        </w:tc>
        <w:tc>
          <w:tcPr>
            <w:tcW w:w="1021" w:type="dxa"/>
            <w:tcBorders>
              <w:top w:val="single" w:sz="4" w:space="0" w:color="000000" w:themeColor="text1"/>
              <w:bottom w:val="single" w:sz="4" w:space="0" w:color="A59C94"/>
            </w:tcBorders>
            <w:vAlign w:val="bottom"/>
          </w:tcPr>
          <w:p w14:paraId="6A8DEE8A" w14:textId="77777777" w:rsidR="00FE4ADA" w:rsidRDefault="00FE4ADA" w:rsidP="00251EF9">
            <w:pPr>
              <w:pStyle w:val="TBodynormalNumber"/>
              <w:keepNext/>
            </w:pPr>
            <w:r>
              <w:t>906</w:t>
            </w:r>
          </w:p>
        </w:tc>
        <w:tc>
          <w:tcPr>
            <w:tcW w:w="119" w:type="dxa"/>
            <w:vAlign w:val="bottom"/>
          </w:tcPr>
          <w:p w14:paraId="62051952" w14:textId="77777777" w:rsidR="00FE4ADA" w:rsidRDefault="00FE4ADA" w:rsidP="00251EF9">
            <w:pPr>
              <w:pStyle w:val="TBodynormalNumber"/>
              <w:keepNext/>
            </w:pPr>
          </w:p>
        </w:tc>
        <w:tc>
          <w:tcPr>
            <w:tcW w:w="1021" w:type="dxa"/>
            <w:tcBorders>
              <w:top w:val="single" w:sz="4" w:space="0" w:color="000000" w:themeColor="text1"/>
              <w:bottom w:val="single" w:sz="4" w:space="0" w:color="A59C94"/>
            </w:tcBorders>
            <w:shd w:val="clear" w:color="auto" w:fill="DAD5C9"/>
            <w:vAlign w:val="bottom"/>
          </w:tcPr>
          <w:p w14:paraId="78A93BEC" w14:textId="77777777" w:rsidR="00FE4ADA" w:rsidRDefault="00FE4ADA" w:rsidP="00251EF9">
            <w:pPr>
              <w:pStyle w:val="TBodynormalNumber"/>
              <w:keepNext/>
            </w:pPr>
            <w:r>
              <w:t>811</w:t>
            </w:r>
          </w:p>
        </w:tc>
        <w:tc>
          <w:tcPr>
            <w:tcW w:w="119" w:type="dxa"/>
            <w:vAlign w:val="bottom"/>
          </w:tcPr>
          <w:p w14:paraId="0F6CC479" w14:textId="77777777" w:rsidR="00FE4ADA" w:rsidRDefault="00FE4ADA" w:rsidP="00251EF9">
            <w:pPr>
              <w:pStyle w:val="TBodynormalNumber"/>
              <w:keepNext/>
            </w:pPr>
          </w:p>
        </w:tc>
        <w:tc>
          <w:tcPr>
            <w:tcW w:w="1021" w:type="dxa"/>
            <w:tcBorders>
              <w:top w:val="single" w:sz="4" w:space="0" w:color="000000" w:themeColor="text1"/>
              <w:bottom w:val="single" w:sz="4" w:space="0" w:color="A59C94"/>
            </w:tcBorders>
            <w:noWrap/>
            <w:vAlign w:val="bottom"/>
          </w:tcPr>
          <w:p w14:paraId="5ABA139F" w14:textId="77777777" w:rsidR="00FE4ADA" w:rsidRDefault="00FE4ADA" w:rsidP="00251EF9">
            <w:pPr>
              <w:pStyle w:val="TBodynormalNumber"/>
              <w:keepNext/>
            </w:pPr>
            <w:r>
              <w:t>-10</w:t>
            </w:r>
          </w:p>
        </w:tc>
        <w:tc>
          <w:tcPr>
            <w:tcW w:w="119" w:type="dxa"/>
            <w:vAlign w:val="bottom"/>
          </w:tcPr>
          <w:p w14:paraId="2F8FA769" w14:textId="77777777" w:rsidR="00FE4ADA" w:rsidRDefault="00FE4ADA" w:rsidP="00251EF9">
            <w:pPr>
              <w:pStyle w:val="TBodynormalNumber"/>
              <w:keepNext/>
            </w:pPr>
          </w:p>
        </w:tc>
        <w:tc>
          <w:tcPr>
            <w:tcW w:w="1021" w:type="dxa"/>
            <w:tcBorders>
              <w:top w:val="single" w:sz="4" w:space="0" w:color="000000" w:themeColor="text1"/>
              <w:bottom w:val="single" w:sz="4" w:space="0" w:color="A59C94"/>
            </w:tcBorders>
            <w:vAlign w:val="bottom"/>
          </w:tcPr>
          <w:p w14:paraId="35162928" w14:textId="77777777" w:rsidR="00FE4ADA" w:rsidRDefault="00FE4ADA" w:rsidP="00251EF9">
            <w:pPr>
              <w:pStyle w:val="TBodynormalNumber"/>
              <w:keepNext/>
            </w:pPr>
            <w:r>
              <w:t>188</w:t>
            </w:r>
          </w:p>
        </w:tc>
        <w:tc>
          <w:tcPr>
            <w:tcW w:w="119" w:type="dxa"/>
            <w:vAlign w:val="bottom"/>
          </w:tcPr>
          <w:p w14:paraId="2E35BE59" w14:textId="77777777" w:rsidR="00FE4ADA" w:rsidRDefault="00FE4ADA" w:rsidP="00251EF9">
            <w:pPr>
              <w:pStyle w:val="TBodynormalNumber"/>
              <w:keepNext/>
            </w:pPr>
          </w:p>
        </w:tc>
        <w:tc>
          <w:tcPr>
            <w:tcW w:w="1021" w:type="dxa"/>
            <w:tcBorders>
              <w:top w:val="single" w:sz="4" w:space="0" w:color="000000" w:themeColor="text1"/>
              <w:bottom w:val="single" w:sz="4" w:space="0" w:color="A59C94"/>
            </w:tcBorders>
            <w:shd w:val="clear" w:color="auto" w:fill="DAD5C9"/>
            <w:vAlign w:val="bottom"/>
          </w:tcPr>
          <w:p w14:paraId="5ED41580" w14:textId="77777777" w:rsidR="00FE4ADA" w:rsidRDefault="00FE4ADA" w:rsidP="00251EF9">
            <w:pPr>
              <w:pStyle w:val="TBodynormalNumber"/>
              <w:keepNext/>
            </w:pPr>
            <w:r>
              <w:t>134</w:t>
            </w:r>
          </w:p>
        </w:tc>
        <w:tc>
          <w:tcPr>
            <w:tcW w:w="119" w:type="dxa"/>
            <w:vAlign w:val="bottom"/>
          </w:tcPr>
          <w:p w14:paraId="0949C00C" w14:textId="77777777" w:rsidR="00FE4ADA" w:rsidRDefault="00FE4ADA" w:rsidP="00251EF9">
            <w:pPr>
              <w:pStyle w:val="TBodynormalNumber"/>
              <w:keepNext/>
            </w:pPr>
          </w:p>
        </w:tc>
        <w:tc>
          <w:tcPr>
            <w:tcW w:w="1021" w:type="dxa"/>
            <w:tcBorders>
              <w:top w:val="single" w:sz="4" w:space="0" w:color="000000" w:themeColor="text1"/>
              <w:bottom w:val="single" w:sz="4" w:space="0" w:color="A59C94"/>
            </w:tcBorders>
            <w:vAlign w:val="bottom"/>
          </w:tcPr>
          <w:p w14:paraId="6D593917" w14:textId="77777777" w:rsidR="00FE4ADA" w:rsidRDefault="00FE4ADA" w:rsidP="00251EF9">
            <w:pPr>
              <w:pStyle w:val="TBodynormalNumber"/>
              <w:keepNext/>
            </w:pPr>
            <w:r>
              <w:t>-29</w:t>
            </w:r>
          </w:p>
        </w:tc>
      </w:tr>
      <w:tr w:rsidR="00FE4ADA" w14:paraId="56087153" w14:textId="77777777" w:rsidTr="00251EF9">
        <w:tc>
          <w:tcPr>
            <w:tcW w:w="2914" w:type="dxa"/>
            <w:tcBorders>
              <w:top w:val="single" w:sz="4" w:space="0" w:color="A59C94"/>
              <w:bottom w:val="single" w:sz="4" w:space="0" w:color="A59C94"/>
            </w:tcBorders>
            <w:noWrap/>
            <w:vAlign w:val="bottom"/>
          </w:tcPr>
          <w:p w14:paraId="1EF16FBD" w14:textId="0AA1103C" w:rsidR="00FE4ADA" w:rsidRDefault="00BC3645" w:rsidP="00251EF9">
            <w:pPr>
              <w:pStyle w:val="TBodynormalText"/>
            </w:pPr>
            <w:proofErr w:type="spellStart"/>
            <w:r w:rsidRPr="007F5EDB">
              <w:rPr>
                <w:lang w:val="es-AR"/>
              </w:rPr>
              <w:t>Nutrition</w:t>
            </w:r>
            <w:proofErr w:type="spellEnd"/>
            <w:r w:rsidRPr="007F5EDB">
              <w:rPr>
                <w:lang w:val="es-AR"/>
              </w:rPr>
              <w:t xml:space="preserve"> &amp; Care</w:t>
            </w:r>
          </w:p>
        </w:tc>
        <w:tc>
          <w:tcPr>
            <w:tcW w:w="119" w:type="dxa"/>
            <w:noWrap/>
            <w:vAlign w:val="bottom"/>
          </w:tcPr>
          <w:p w14:paraId="2F587888"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7014CF32" w14:textId="77777777" w:rsidR="00FE4ADA" w:rsidRDefault="00FE4ADA" w:rsidP="00251EF9">
            <w:pPr>
              <w:pStyle w:val="TBodynormalNumber"/>
              <w:keepNext/>
            </w:pPr>
            <w:r>
              <w:t>1,111</w:t>
            </w:r>
          </w:p>
        </w:tc>
        <w:tc>
          <w:tcPr>
            <w:tcW w:w="119" w:type="dxa"/>
            <w:noWrap/>
            <w:vAlign w:val="bottom"/>
          </w:tcPr>
          <w:p w14:paraId="695DB08A"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4A4A963E" w14:textId="77777777" w:rsidR="00FE4ADA" w:rsidRDefault="00FE4ADA" w:rsidP="00251EF9">
            <w:pPr>
              <w:pStyle w:val="TBodynormalNumber"/>
              <w:keepNext/>
            </w:pPr>
            <w:bookmarkStart w:id="18" w:name="SNAMD_26bf31ccc3764dcd9ed85de6cb44bbfd"/>
            <w:r>
              <w:t>908</w:t>
            </w:r>
            <w:bookmarkEnd w:id="18"/>
          </w:p>
        </w:tc>
        <w:tc>
          <w:tcPr>
            <w:tcW w:w="119" w:type="dxa"/>
            <w:noWrap/>
            <w:vAlign w:val="bottom"/>
          </w:tcPr>
          <w:p w14:paraId="2A72A8E2"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0BC5B036" w14:textId="77777777" w:rsidR="00FE4ADA" w:rsidRDefault="00FE4ADA" w:rsidP="00251EF9">
            <w:pPr>
              <w:pStyle w:val="TBodynormalNumber"/>
              <w:keepNext/>
            </w:pPr>
            <w:r>
              <w:t>-18</w:t>
            </w:r>
          </w:p>
        </w:tc>
        <w:tc>
          <w:tcPr>
            <w:tcW w:w="119" w:type="dxa"/>
            <w:noWrap/>
            <w:vAlign w:val="bottom"/>
          </w:tcPr>
          <w:p w14:paraId="3A05AD62"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06D95110" w14:textId="77777777" w:rsidR="00FE4ADA" w:rsidRDefault="00FE4ADA" w:rsidP="00251EF9">
            <w:pPr>
              <w:pStyle w:val="TBodynormalNumber"/>
              <w:keepNext/>
            </w:pPr>
            <w:r>
              <w:t>122</w:t>
            </w:r>
          </w:p>
        </w:tc>
        <w:tc>
          <w:tcPr>
            <w:tcW w:w="119" w:type="dxa"/>
            <w:noWrap/>
            <w:vAlign w:val="bottom"/>
          </w:tcPr>
          <w:p w14:paraId="5A0778BA"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6BAF4DF6" w14:textId="77777777" w:rsidR="00FE4ADA" w:rsidRDefault="00FE4ADA" w:rsidP="00251EF9">
            <w:pPr>
              <w:pStyle w:val="TBodynormalNumber"/>
              <w:keepNext/>
            </w:pPr>
            <w:r>
              <w:t>115</w:t>
            </w:r>
          </w:p>
        </w:tc>
        <w:tc>
          <w:tcPr>
            <w:tcW w:w="119" w:type="dxa"/>
            <w:noWrap/>
            <w:vAlign w:val="bottom"/>
          </w:tcPr>
          <w:p w14:paraId="3F4EC0C4"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4B45F658" w14:textId="77777777" w:rsidR="00FE4ADA" w:rsidRDefault="00FE4ADA" w:rsidP="00251EF9">
            <w:pPr>
              <w:pStyle w:val="TBodynormalNumber"/>
              <w:keepNext/>
            </w:pPr>
            <w:r>
              <w:t>-6</w:t>
            </w:r>
          </w:p>
        </w:tc>
      </w:tr>
      <w:tr w:rsidR="00FE4ADA" w14:paraId="735CFEF7" w14:textId="77777777" w:rsidTr="00251EF9">
        <w:tc>
          <w:tcPr>
            <w:tcW w:w="2914" w:type="dxa"/>
            <w:tcBorders>
              <w:top w:val="single" w:sz="4" w:space="0" w:color="A59C94"/>
              <w:bottom w:val="single" w:sz="4" w:space="0" w:color="A59C94"/>
            </w:tcBorders>
            <w:noWrap/>
            <w:vAlign w:val="bottom"/>
          </w:tcPr>
          <w:p w14:paraId="1CF05173" w14:textId="11F3BA2D" w:rsidR="00FE4ADA" w:rsidRDefault="00BC3645" w:rsidP="00251EF9">
            <w:pPr>
              <w:pStyle w:val="TBodynormalText"/>
            </w:pPr>
            <w:r w:rsidRPr="007F5EDB">
              <w:rPr>
                <w:lang w:val="es-AR"/>
              </w:rPr>
              <w:t xml:space="preserve">Smart </w:t>
            </w:r>
            <w:proofErr w:type="spellStart"/>
            <w:r w:rsidRPr="007F5EDB">
              <w:rPr>
                <w:lang w:val="es-AR"/>
              </w:rPr>
              <w:t>Materials</w:t>
            </w:r>
            <w:proofErr w:type="spellEnd"/>
            <w:r w:rsidRPr="00DF2967">
              <w:rPr>
                <w:vertAlign w:val="superscript"/>
                <w:lang w:val="es-419"/>
              </w:rPr>
              <w:t xml:space="preserve"> a</w:t>
            </w:r>
          </w:p>
        </w:tc>
        <w:tc>
          <w:tcPr>
            <w:tcW w:w="119" w:type="dxa"/>
            <w:noWrap/>
            <w:vAlign w:val="bottom"/>
          </w:tcPr>
          <w:p w14:paraId="4A716984"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7BE9C464" w14:textId="77777777" w:rsidR="00FE4ADA" w:rsidRDefault="00FE4ADA" w:rsidP="00251EF9">
            <w:pPr>
              <w:pStyle w:val="TBodynormalNumber"/>
              <w:keepNext/>
            </w:pPr>
            <w:r>
              <w:t>1,256</w:t>
            </w:r>
          </w:p>
        </w:tc>
        <w:tc>
          <w:tcPr>
            <w:tcW w:w="119" w:type="dxa"/>
            <w:noWrap/>
            <w:vAlign w:val="bottom"/>
          </w:tcPr>
          <w:p w14:paraId="52202F8E"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37CD44E9" w14:textId="77777777" w:rsidR="00FE4ADA" w:rsidRDefault="00FE4ADA" w:rsidP="00251EF9">
            <w:pPr>
              <w:pStyle w:val="TBodynormalNumber"/>
              <w:keepNext/>
            </w:pPr>
            <w:r>
              <w:t>1,054</w:t>
            </w:r>
          </w:p>
        </w:tc>
        <w:tc>
          <w:tcPr>
            <w:tcW w:w="119" w:type="dxa"/>
            <w:noWrap/>
            <w:vAlign w:val="bottom"/>
          </w:tcPr>
          <w:p w14:paraId="58D96ED1"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287D2F67" w14:textId="77777777" w:rsidR="00FE4ADA" w:rsidRDefault="00FE4ADA" w:rsidP="00251EF9">
            <w:pPr>
              <w:pStyle w:val="TBodynormalNumber"/>
              <w:keepNext/>
            </w:pPr>
            <w:r>
              <w:t>-16</w:t>
            </w:r>
          </w:p>
        </w:tc>
        <w:tc>
          <w:tcPr>
            <w:tcW w:w="119" w:type="dxa"/>
            <w:noWrap/>
            <w:vAlign w:val="bottom"/>
          </w:tcPr>
          <w:p w14:paraId="65905656"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6D4D0BDD" w14:textId="77777777" w:rsidR="00FE4ADA" w:rsidRDefault="00FE4ADA" w:rsidP="00251EF9">
            <w:pPr>
              <w:pStyle w:val="TBodynormalNumber"/>
              <w:keepNext/>
            </w:pPr>
            <w:r>
              <w:t>124</w:t>
            </w:r>
          </w:p>
        </w:tc>
        <w:tc>
          <w:tcPr>
            <w:tcW w:w="119" w:type="dxa"/>
            <w:noWrap/>
            <w:vAlign w:val="bottom"/>
          </w:tcPr>
          <w:p w14:paraId="3FCD0955"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37EBD905" w14:textId="77777777" w:rsidR="00FE4ADA" w:rsidRDefault="00FE4ADA" w:rsidP="00251EF9">
            <w:pPr>
              <w:pStyle w:val="TBodynormalNumber"/>
              <w:keepNext/>
            </w:pPr>
            <w:r>
              <w:t>119</w:t>
            </w:r>
          </w:p>
        </w:tc>
        <w:tc>
          <w:tcPr>
            <w:tcW w:w="119" w:type="dxa"/>
            <w:noWrap/>
            <w:vAlign w:val="bottom"/>
          </w:tcPr>
          <w:p w14:paraId="6DF1782B"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639C0447" w14:textId="77777777" w:rsidR="00FE4ADA" w:rsidRDefault="00FE4ADA" w:rsidP="00251EF9">
            <w:pPr>
              <w:pStyle w:val="TBodynormalNumber"/>
              <w:keepNext/>
            </w:pPr>
            <w:r>
              <w:t>-4</w:t>
            </w:r>
          </w:p>
        </w:tc>
      </w:tr>
      <w:tr w:rsidR="00FE4ADA" w14:paraId="669EEDDE" w14:textId="77777777" w:rsidTr="00251EF9">
        <w:tc>
          <w:tcPr>
            <w:tcW w:w="2914" w:type="dxa"/>
            <w:tcBorders>
              <w:top w:val="single" w:sz="4" w:space="0" w:color="A59C94"/>
              <w:bottom w:val="single" w:sz="4" w:space="0" w:color="A59C94"/>
            </w:tcBorders>
            <w:noWrap/>
            <w:vAlign w:val="bottom"/>
          </w:tcPr>
          <w:p w14:paraId="51AE4E81" w14:textId="743466B1" w:rsidR="00FE4ADA" w:rsidRDefault="00BC3645" w:rsidP="00251EF9">
            <w:pPr>
              <w:pStyle w:val="TBodynormalText"/>
            </w:pPr>
            <w:r w:rsidRPr="007F5EDB">
              <w:rPr>
                <w:lang w:val="es-AR"/>
              </w:rPr>
              <w:t xml:space="preserve">Performance </w:t>
            </w:r>
            <w:proofErr w:type="spellStart"/>
            <w:r w:rsidRPr="007F5EDB">
              <w:rPr>
                <w:lang w:val="es-AR"/>
              </w:rPr>
              <w:t>Materials</w:t>
            </w:r>
            <w:proofErr w:type="spellEnd"/>
            <w:r w:rsidRPr="00DF2967">
              <w:rPr>
                <w:vertAlign w:val="superscript"/>
                <w:lang w:val="es-419"/>
              </w:rPr>
              <w:t xml:space="preserve"> a</w:t>
            </w:r>
          </w:p>
        </w:tc>
        <w:tc>
          <w:tcPr>
            <w:tcW w:w="119" w:type="dxa"/>
            <w:noWrap/>
            <w:vAlign w:val="bottom"/>
          </w:tcPr>
          <w:p w14:paraId="27067F9C"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3F5A47DB" w14:textId="77777777" w:rsidR="00FE4ADA" w:rsidRDefault="00FE4ADA" w:rsidP="00251EF9">
            <w:pPr>
              <w:pStyle w:val="TBodynormalNumber"/>
              <w:keepNext/>
            </w:pPr>
            <w:r>
              <w:t>666</w:t>
            </w:r>
          </w:p>
        </w:tc>
        <w:tc>
          <w:tcPr>
            <w:tcW w:w="119" w:type="dxa"/>
            <w:noWrap/>
            <w:vAlign w:val="bottom"/>
          </w:tcPr>
          <w:p w14:paraId="058381A4"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21112554" w14:textId="77777777" w:rsidR="00FE4ADA" w:rsidRDefault="00FE4ADA" w:rsidP="00251EF9">
            <w:pPr>
              <w:pStyle w:val="TBodynormalNumber"/>
              <w:keepNext/>
            </w:pPr>
            <w:r>
              <w:t>532</w:t>
            </w:r>
          </w:p>
        </w:tc>
        <w:tc>
          <w:tcPr>
            <w:tcW w:w="119" w:type="dxa"/>
            <w:noWrap/>
            <w:vAlign w:val="bottom"/>
          </w:tcPr>
          <w:p w14:paraId="29D1DC90"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73073A01" w14:textId="77777777" w:rsidR="00FE4ADA" w:rsidRDefault="00FE4ADA" w:rsidP="00251EF9">
            <w:pPr>
              <w:pStyle w:val="TBodynormalNumber"/>
              <w:keepNext/>
            </w:pPr>
            <w:r>
              <w:t>-20</w:t>
            </w:r>
          </w:p>
        </w:tc>
        <w:tc>
          <w:tcPr>
            <w:tcW w:w="119" w:type="dxa"/>
            <w:noWrap/>
            <w:vAlign w:val="bottom"/>
          </w:tcPr>
          <w:p w14:paraId="77493351"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4E42AD7A" w14:textId="77777777" w:rsidR="00FE4ADA" w:rsidRDefault="00FE4ADA" w:rsidP="00251EF9">
            <w:pPr>
              <w:pStyle w:val="TBodynormalNumber"/>
              <w:keepNext/>
            </w:pPr>
            <w:r>
              <w:t>63</w:t>
            </w:r>
          </w:p>
        </w:tc>
        <w:tc>
          <w:tcPr>
            <w:tcW w:w="119" w:type="dxa"/>
            <w:noWrap/>
            <w:vAlign w:val="bottom"/>
          </w:tcPr>
          <w:p w14:paraId="6F05EF51"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51BAFA00" w14:textId="77777777" w:rsidR="00FE4ADA" w:rsidRDefault="00FE4ADA" w:rsidP="00251EF9">
            <w:pPr>
              <w:pStyle w:val="TBodynormalNumber"/>
              <w:keepNext/>
            </w:pPr>
            <w:r>
              <w:t>-4</w:t>
            </w:r>
          </w:p>
        </w:tc>
        <w:tc>
          <w:tcPr>
            <w:tcW w:w="119" w:type="dxa"/>
            <w:noWrap/>
            <w:vAlign w:val="bottom"/>
          </w:tcPr>
          <w:p w14:paraId="0D15AA58"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1334AB5E" w14:textId="77777777" w:rsidR="00FE4ADA" w:rsidRDefault="00FE4ADA" w:rsidP="00251EF9">
            <w:pPr>
              <w:pStyle w:val="TBodynormalNumber"/>
              <w:keepNext/>
            </w:pPr>
            <w:r>
              <w:t>-106</w:t>
            </w:r>
          </w:p>
        </w:tc>
      </w:tr>
      <w:tr w:rsidR="00FE4ADA" w14:paraId="15210BF5" w14:textId="77777777" w:rsidTr="00251EF9">
        <w:tc>
          <w:tcPr>
            <w:tcW w:w="2914" w:type="dxa"/>
            <w:tcBorders>
              <w:top w:val="single" w:sz="4" w:space="0" w:color="A59C94"/>
              <w:bottom w:val="single" w:sz="4" w:space="0" w:color="A59C94"/>
            </w:tcBorders>
            <w:noWrap/>
            <w:vAlign w:val="bottom"/>
          </w:tcPr>
          <w:p w14:paraId="7A184ABE" w14:textId="067326EF" w:rsidR="00FE4ADA" w:rsidRDefault="00BC3645" w:rsidP="00251EF9">
            <w:pPr>
              <w:pStyle w:val="TBodynormalText"/>
            </w:pPr>
            <w:proofErr w:type="spellStart"/>
            <w:r w:rsidRPr="007F5EDB">
              <w:rPr>
                <w:lang w:val="es-AR"/>
              </w:rPr>
              <w:t>Technology</w:t>
            </w:r>
            <w:proofErr w:type="spellEnd"/>
            <w:r w:rsidRPr="007F5EDB">
              <w:rPr>
                <w:lang w:val="es-AR"/>
              </w:rPr>
              <w:t xml:space="preserve"> &amp; </w:t>
            </w:r>
            <w:proofErr w:type="spellStart"/>
            <w:r w:rsidRPr="007F5EDB">
              <w:rPr>
                <w:lang w:val="es-AR"/>
              </w:rPr>
              <w:t>Infrastructure</w:t>
            </w:r>
            <w:proofErr w:type="spellEnd"/>
          </w:p>
        </w:tc>
        <w:tc>
          <w:tcPr>
            <w:tcW w:w="119" w:type="dxa"/>
            <w:noWrap/>
            <w:vAlign w:val="bottom"/>
          </w:tcPr>
          <w:p w14:paraId="10F846D9"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1FC2B4FF" w14:textId="77777777" w:rsidR="00FE4ADA" w:rsidRDefault="00FE4ADA" w:rsidP="00251EF9">
            <w:pPr>
              <w:pStyle w:val="TBodynormalNumber"/>
              <w:keepNext/>
            </w:pPr>
            <w:r>
              <w:t>384</w:t>
            </w:r>
          </w:p>
        </w:tc>
        <w:tc>
          <w:tcPr>
            <w:tcW w:w="119" w:type="dxa"/>
            <w:noWrap/>
            <w:vAlign w:val="bottom"/>
          </w:tcPr>
          <w:p w14:paraId="0BA65D07"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084B867A" w14:textId="77777777" w:rsidR="00FE4ADA" w:rsidRDefault="00FE4ADA" w:rsidP="00251EF9">
            <w:pPr>
              <w:pStyle w:val="TBodynormalNumber"/>
              <w:keepNext/>
            </w:pPr>
            <w:r>
              <w:t>286</w:t>
            </w:r>
          </w:p>
        </w:tc>
        <w:tc>
          <w:tcPr>
            <w:tcW w:w="119" w:type="dxa"/>
            <w:noWrap/>
            <w:vAlign w:val="bottom"/>
          </w:tcPr>
          <w:p w14:paraId="54729AE2"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4BACC284" w14:textId="77777777" w:rsidR="00FE4ADA" w:rsidRDefault="00FE4ADA" w:rsidP="00251EF9">
            <w:pPr>
              <w:pStyle w:val="TBodynormalNumber"/>
              <w:keepNext/>
            </w:pPr>
            <w:r>
              <w:t>-26</w:t>
            </w:r>
          </w:p>
        </w:tc>
        <w:tc>
          <w:tcPr>
            <w:tcW w:w="119" w:type="dxa"/>
            <w:noWrap/>
            <w:vAlign w:val="bottom"/>
          </w:tcPr>
          <w:p w14:paraId="3DAF29CE"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03E3943D" w14:textId="77777777" w:rsidR="00FE4ADA" w:rsidRDefault="00FE4ADA" w:rsidP="00251EF9">
            <w:pPr>
              <w:pStyle w:val="TBodynormalNumber"/>
              <w:keepNext/>
            </w:pPr>
            <w:r>
              <w:t>22</w:t>
            </w:r>
          </w:p>
        </w:tc>
        <w:tc>
          <w:tcPr>
            <w:tcW w:w="119" w:type="dxa"/>
            <w:noWrap/>
            <w:vAlign w:val="bottom"/>
          </w:tcPr>
          <w:p w14:paraId="4CBA97D0"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2D5EF47C" w14:textId="77777777" w:rsidR="00FE4ADA" w:rsidRDefault="00FE4ADA" w:rsidP="00251EF9">
            <w:pPr>
              <w:pStyle w:val="TBodynormalNumber"/>
              <w:keepNext/>
            </w:pPr>
            <w:r>
              <w:t>42</w:t>
            </w:r>
          </w:p>
        </w:tc>
        <w:tc>
          <w:tcPr>
            <w:tcW w:w="119" w:type="dxa"/>
            <w:noWrap/>
            <w:vAlign w:val="bottom"/>
          </w:tcPr>
          <w:p w14:paraId="2ED5FE6F"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628EA371" w14:textId="77777777" w:rsidR="00FE4ADA" w:rsidRDefault="00FE4ADA" w:rsidP="00251EF9">
            <w:pPr>
              <w:pStyle w:val="TBodynormalNumber"/>
              <w:keepNext/>
            </w:pPr>
            <w:r>
              <w:t>91</w:t>
            </w:r>
          </w:p>
        </w:tc>
      </w:tr>
      <w:tr w:rsidR="00FE4ADA" w14:paraId="1D003EB1" w14:textId="77777777" w:rsidTr="00251EF9">
        <w:tc>
          <w:tcPr>
            <w:tcW w:w="2914" w:type="dxa"/>
            <w:tcBorders>
              <w:top w:val="single" w:sz="4" w:space="0" w:color="A59C94"/>
              <w:bottom w:val="single" w:sz="4" w:space="0" w:color="A59C94"/>
            </w:tcBorders>
            <w:noWrap/>
            <w:vAlign w:val="bottom"/>
          </w:tcPr>
          <w:p w14:paraId="2FD46AAE" w14:textId="77777777" w:rsidR="00FE4ADA" w:rsidRPr="00DF2967" w:rsidRDefault="00FE4ADA" w:rsidP="00251EF9">
            <w:pPr>
              <w:pStyle w:val="TBodynormalText"/>
              <w:rPr>
                <w:lang w:val="es-419"/>
              </w:rPr>
            </w:pPr>
            <w:r w:rsidRPr="00DF2967">
              <w:rPr>
                <w:lang w:val="es-419"/>
              </w:rPr>
              <w:t>Funciones de apoyo, otras actividades, consolidación</w:t>
            </w:r>
          </w:p>
        </w:tc>
        <w:tc>
          <w:tcPr>
            <w:tcW w:w="119" w:type="dxa"/>
            <w:noWrap/>
            <w:vAlign w:val="bottom"/>
          </w:tcPr>
          <w:p w14:paraId="030D634A" w14:textId="77777777" w:rsidR="00FE4ADA" w:rsidRPr="00DF2967" w:rsidRDefault="00FE4ADA" w:rsidP="00251EF9">
            <w:pPr>
              <w:pStyle w:val="TBodynormalNumber"/>
              <w:keepNext/>
              <w:rPr>
                <w:lang w:val="es-419"/>
              </w:rPr>
            </w:pPr>
          </w:p>
        </w:tc>
        <w:tc>
          <w:tcPr>
            <w:tcW w:w="1021" w:type="dxa"/>
            <w:tcBorders>
              <w:top w:val="single" w:sz="4" w:space="0" w:color="A59C94"/>
              <w:bottom w:val="single" w:sz="4" w:space="0" w:color="A59C94"/>
            </w:tcBorders>
            <w:noWrap/>
            <w:vAlign w:val="bottom"/>
          </w:tcPr>
          <w:p w14:paraId="33A6CBB3" w14:textId="77777777" w:rsidR="00FE4ADA" w:rsidRDefault="00FE4ADA" w:rsidP="00251EF9">
            <w:pPr>
              <w:pStyle w:val="TBodynormalNumber"/>
              <w:keepNext/>
            </w:pPr>
            <w:r>
              <w:t>17</w:t>
            </w:r>
          </w:p>
        </w:tc>
        <w:tc>
          <w:tcPr>
            <w:tcW w:w="119" w:type="dxa"/>
            <w:noWrap/>
            <w:vAlign w:val="bottom"/>
          </w:tcPr>
          <w:p w14:paraId="20E16640"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021C7607" w14:textId="77777777" w:rsidR="00FE4ADA" w:rsidRDefault="00FE4ADA" w:rsidP="00251EF9">
            <w:pPr>
              <w:pStyle w:val="TBodynormalNumber"/>
              <w:keepNext/>
            </w:pPr>
            <w:r>
              <w:t>13</w:t>
            </w:r>
          </w:p>
        </w:tc>
        <w:tc>
          <w:tcPr>
            <w:tcW w:w="119" w:type="dxa"/>
            <w:noWrap/>
            <w:vAlign w:val="bottom"/>
          </w:tcPr>
          <w:p w14:paraId="18E896AE"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2DE9442A" w14:textId="77777777" w:rsidR="00FE4ADA" w:rsidRDefault="00FE4ADA" w:rsidP="00251EF9">
            <w:pPr>
              <w:pStyle w:val="TBodynormalNumber"/>
              <w:keepNext/>
            </w:pPr>
            <w:r>
              <w:t>-24</w:t>
            </w:r>
          </w:p>
        </w:tc>
        <w:tc>
          <w:tcPr>
            <w:tcW w:w="119" w:type="dxa"/>
            <w:noWrap/>
            <w:vAlign w:val="bottom"/>
          </w:tcPr>
          <w:p w14:paraId="68E8DD84"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4886FE20" w14:textId="77777777" w:rsidR="00FE4ADA" w:rsidRDefault="00FE4ADA" w:rsidP="00251EF9">
            <w:pPr>
              <w:pStyle w:val="TBodynormalNumber"/>
              <w:keepNext/>
            </w:pPr>
            <w:r>
              <w:t>-106</w:t>
            </w:r>
          </w:p>
        </w:tc>
        <w:tc>
          <w:tcPr>
            <w:tcW w:w="119" w:type="dxa"/>
            <w:noWrap/>
            <w:vAlign w:val="bottom"/>
          </w:tcPr>
          <w:p w14:paraId="7DCFDE0C"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2A867D0E" w14:textId="77777777" w:rsidR="00FE4ADA" w:rsidRDefault="00FE4ADA" w:rsidP="00251EF9">
            <w:pPr>
              <w:pStyle w:val="TBodynormalNumber"/>
              <w:keepNext/>
            </w:pPr>
            <w:r>
              <w:t>-94</w:t>
            </w:r>
          </w:p>
        </w:tc>
        <w:tc>
          <w:tcPr>
            <w:tcW w:w="119" w:type="dxa"/>
            <w:noWrap/>
            <w:vAlign w:val="bottom"/>
          </w:tcPr>
          <w:p w14:paraId="04783DF5"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13ED9881" w14:textId="77777777" w:rsidR="00FE4ADA" w:rsidRDefault="00FE4ADA" w:rsidP="00251EF9">
            <w:pPr>
              <w:pStyle w:val="TBodynormalNumber"/>
              <w:keepNext/>
            </w:pPr>
            <w:r>
              <w:t>-11</w:t>
            </w:r>
          </w:p>
        </w:tc>
      </w:tr>
      <w:tr w:rsidR="00FE4ADA" w14:paraId="6DBD1679" w14:textId="77777777" w:rsidTr="00251EF9">
        <w:tc>
          <w:tcPr>
            <w:tcW w:w="2914" w:type="dxa"/>
            <w:tcBorders>
              <w:top w:val="single" w:sz="4" w:space="0" w:color="A59C94"/>
              <w:bottom w:val="single" w:sz="16" w:space="0" w:color="991D85"/>
            </w:tcBorders>
            <w:noWrap/>
            <w:vAlign w:val="bottom"/>
          </w:tcPr>
          <w:p w14:paraId="2D71DE20" w14:textId="77777777" w:rsidR="00FE4ADA" w:rsidRDefault="00FE4ADA" w:rsidP="00251EF9">
            <w:pPr>
              <w:pStyle w:val="TBodytotalText"/>
            </w:pPr>
            <w:r>
              <w:t>Grupo Evonik</w:t>
            </w:r>
          </w:p>
        </w:tc>
        <w:tc>
          <w:tcPr>
            <w:tcW w:w="119" w:type="dxa"/>
            <w:tcBorders>
              <w:bottom w:val="single" w:sz="16" w:space="0" w:color="991D85"/>
            </w:tcBorders>
            <w:noWrap/>
            <w:vAlign w:val="bottom"/>
          </w:tcPr>
          <w:p w14:paraId="04633297" w14:textId="77777777" w:rsidR="00FE4ADA" w:rsidRDefault="00FE4ADA" w:rsidP="00251EF9">
            <w:pPr>
              <w:pStyle w:val="TBodytotalNumber"/>
            </w:pPr>
          </w:p>
        </w:tc>
        <w:tc>
          <w:tcPr>
            <w:tcW w:w="1021" w:type="dxa"/>
            <w:tcBorders>
              <w:top w:val="single" w:sz="4" w:space="0" w:color="A59C94"/>
              <w:bottom w:val="single" w:sz="16" w:space="0" w:color="991D85"/>
            </w:tcBorders>
            <w:noWrap/>
            <w:vAlign w:val="bottom"/>
          </w:tcPr>
          <w:p w14:paraId="6C9890D6" w14:textId="77777777" w:rsidR="00FE4ADA" w:rsidRDefault="00FE4ADA" w:rsidP="00251EF9">
            <w:pPr>
              <w:pStyle w:val="TBodytotalNumber"/>
            </w:pPr>
            <w:r>
              <w:t>4,340</w:t>
            </w:r>
          </w:p>
        </w:tc>
        <w:tc>
          <w:tcPr>
            <w:tcW w:w="119" w:type="dxa"/>
            <w:tcBorders>
              <w:bottom w:val="single" w:sz="16" w:space="0" w:color="991D85"/>
            </w:tcBorders>
            <w:noWrap/>
            <w:vAlign w:val="bottom"/>
          </w:tcPr>
          <w:p w14:paraId="33F9549C" w14:textId="77777777" w:rsidR="00FE4ADA" w:rsidRDefault="00FE4ADA" w:rsidP="00251EF9">
            <w:pPr>
              <w:pStyle w:val="TBodytotalNumber"/>
            </w:pPr>
          </w:p>
        </w:tc>
        <w:tc>
          <w:tcPr>
            <w:tcW w:w="1021" w:type="dxa"/>
            <w:tcBorders>
              <w:top w:val="single" w:sz="4" w:space="0" w:color="A59C94"/>
              <w:bottom w:val="single" w:sz="16" w:space="0" w:color="991D85"/>
            </w:tcBorders>
            <w:shd w:val="clear" w:color="auto" w:fill="DAD5C9"/>
            <w:noWrap/>
            <w:vAlign w:val="bottom"/>
          </w:tcPr>
          <w:p w14:paraId="7F2FA9AD" w14:textId="77777777" w:rsidR="00FE4ADA" w:rsidRDefault="00FE4ADA" w:rsidP="00251EF9">
            <w:pPr>
              <w:pStyle w:val="TBodytotalNumber"/>
            </w:pPr>
            <w:r>
              <w:t>3,604</w:t>
            </w:r>
          </w:p>
        </w:tc>
        <w:tc>
          <w:tcPr>
            <w:tcW w:w="119" w:type="dxa"/>
            <w:tcBorders>
              <w:bottom w:val="single" w:sz="16" w:space="0" w:color="991D85"/>
            </w:tcBorders>
            <w:noWrap/>
            <w:vAlign w:val="bottom"/>
          </w:tcPr>
          <w:p w14:paraId="628D5D36" w14:textId="77777777" w:rsidR="00FE4ADA" w:rsidRDefault="00FE4ADA" w:rsidP="00251EF9">
            <w:pPr>
              <w:pStyle w:val="TBodytotalNumber"/>
            </w:pPr>
          </w:p>
        </w:tc>
        <w:tc>
          <w:tcPr>
            <w:tcW w:w="1021" w:type="dxa"/>
            <w:tcBorders>
              <w:top w:val="single" w:sz="4" w:space="0" w:color="A59C94"/>
              <w:bottom w:val="single" w:sz="16" w:space="0" w:color="991D85"/>
            </w:tcBorders>
            <w:noWrap/>
            <w:vAlign w:val="bottom"/>
          </w:tcPr>
          <w:p w14:paraId="643DDB20" w14:textId="77777777" w:rsidR="00FE4ADA" w:rsidRDefault="00FE4ADA" w:rsidP="00251EF9">
            <w:pPr>
              <w:pStyle w:val="TBodytotalNumber"/>
            </w:pPr>
            <w:r>
              <w:t>-17</w:t>
            </w:r>
          </w:p>
        </w:tc>
        <w:tc>
          <w:tcPr>
            <w:tcW w:w="119" w:type="dxa"/>
            <w:tcBorders>
              <w:bottom w:val="single" w:sz="16" w:space="0" w:color="991D85"/>
            </w:tcBorders>
            <w:noWrap/>
            <w:vAlign w:val="bottom"/>
          </w:tcPr>
          <w:p w14:paraId="340C33CA" w14:textId="77777777" w:rsidR="00FE4ADA" w:rsidRDefault="00FE4ADA" w:rsidP="00251EF9">
            <w:pPr>
              <w:pStyle w:val="TBodytotalNumber"/>
            </w:pPr>
          </w:p>
        </w:tc>
        <w:tc>
          <w:tcPr>
            <w:tcW w:w="1021" w:type="dxa"/>
            <w:tcBorders>
              <w:top w:val="single" w:sz="4" w:space="0" w:color="A59C94"/>
              <w:bottom w:val="single" w:sz="16" w:space="0" w:color="991D85"/>
            </w:tcBorders>
            <w:noWrap/>
            <w:vAlign w:val="bottom"/>
          </w:tcPr>
          <w:p w14:paraId="532BAC11" w14:textId="77777777" w:rsidR="00FE4ADA" w:rsidRDefault="00FE4ADA" w:rsidP="00251EF9">
            <w:pPr>
              <w:pStyle w:val="TBodytotalNumber"/>
            </w:pPr>
            <w:r>
              <w:t>413</w:t>
            </w:r>
          </w:p>
        </w:tc>
        <w:tc>
          <w:tcPr>
            <w:tcW w:w="119" w:type="dxa"/>
            <w:tcBorders>
              <w:bottom w:val="single" w:sz="16" w:space="0" w:color="991D85"/>
            </w:tcBorders>
            <w:noWrap/>
            <w:vAlign w:val="bottom"/>
          </w:tcPr>
          <w:p w14:paraId="4D74E04A" w14:textId="77777777" w:rsidR="00FE4ADA" w:rsidRDefault="00FE4ADA" w:rsidP="00251EF9">
            <w:pPr>
              <w:pStyle w:val="TBodytotalNumber"/>
            </w:pPr>
          </w:p>
        </w:tc>
        <w:tc>
          <w:tcPr>
            <w:tcW w:w="1021" w:type="dxa"/>
            <w:tcBorders>
              <w:top w:val="single" w:sz="4" w:space="0" w:color="A59C94"/>
              <w:bottom w:val="single" w:sz="16" w:space="0" w:color="991D85"/>
            </w:tcBorders>
            <w:shd w:val="clear" w:color="auto" w:fill="DAD5C9"/>
            <w:noWrap/>
            <w:vAlign w:val="bottom"/>
          </w:tcPr>
          <w:p w14:paraId="17CD681A" w14:textId="77777777" w:rsidR="00FE4ADA" w:rsidRDefault="00FE4ADA" w:rsidP="00251EF9">
            <w:pPr>
              <w:pStyle w:val="TBodytotalNumber"/>
            </w:pPr>
            <w:r>
              <w:t>312</w:t>
            </w:r>
          </w:p>
        </w:tc>
        <w:tc>
          <w:tcPr>
            <w:tcW w:w="119" w:type="dxa"/>
            <w:tcBorders>
              <w:bottom w:val="single" w:sz="16" w:space="0" w:color="991D85"/>
            </w:tcBorders>
            <w:noWrap/>
            <w:vAlign w:val="bottom"/>
          </w:tcPr>
          <w:p w14:paraId="3E1F7288" w14:textId="77777777" w:rsidR="00FE4ADA" w:rsidRDefault="00FE4ADA" w:rsidP="00251EF9">
            <w:pPr>
              <w:pStyle w:val="TBodytotalNumber"/>
            </w:pPr>
          </w:p>
        </w:tc>
        <w:tc>
          <w:tcPr>
            <w:tcW w:w="1021" w:type="dxa"/>
            <w:tcBorders>
              <w:top w:val="single" w:sz="4" w:space="0" w:color="A59C94"/>
              <w:bottom w:val="single" w:sz="16" w:space="0" w:color="991D85"/>
            </w:tcBorders>
            <w:noWrap/>
            <w:vAlign w:val="bottom"/>
          </w:tcPr>
          <w:p w14:paraId="57799103" w14:textId="77777777" w:rsidR="00FE4ADA" w:rsidRDefault="00FE4ADA" w:rsidP="00251EF9">
            <w:pPr>
              <w:pStyle w:val="TBodytotalNumber"/>
            </w:pPr>
            <w:r>
              <w:t>-24</w:t>
            </w:r>
          </w:p>
        </w:tc>
      </w:tr>
    </w:tbl>
    <w:p w14:paraId="0A141FDD" w14:textId="77777777" w:rsidR="00FE4ADA" w:rsidRPr="00DF2967" w:rsidRDefault="00FE4ADA" w:rsidP="00FE4ADA">
      <w:pPr>
        <w:pStyle w:val="SNEvonikTabellenfu"/>
        <w:rPr>
          <w:lang w:val="es-419"/>
        </w:rPr>
      </w:pPr>
      <w:r w:rsidRPr="00DF2967">
        <w:rPr>
          <w:vertAlign w:val="superscript"/>
          <w:lang w:val="es-419"/>
        </w:rPr>
        <w:t>a</w:t>
      </w:r>
      <w:r w:rsidRPr="00DF2967">
        <w:rPr>
          <w:lang w:val="es-419"/>
        </w:rPr>
        <w:t xml:space="preserve"> Cifras de años anteriores </w:t>
      </w:r>
      <w:proofErr w:type="spellStart"/>
      <w:r w:rsidRPr="00DF2967">
        <w:rPr>
          <w:lang w:val="es-419"/>
        </w:rPr>
        <w:t>reexpresadas</w:t>
      </w:r>
      <w:proofErr w:type="spellEnd"/>
      <w:r w:rsidRPr="00DF2967">
        <w:rPr>
          <w:lang w:val="es-419"/>
        </w:rPr>
        <w:t>.</w:t>
      </w:r>
    </w:p>
    <w:p w14:paraId="41171729" w14:textId="77777777" w:rsidR="00FE4ADA" w:rsidRPr="00DF2967" w:rsidRDefault="00FE4ADA" w:rsidP="00FE4ADA">
      <w:pPr>
        <w:spacing w:line="240" w:lineRule="auto"/>
        <w:rPr>
          <w:lang w:val="es-419"/>
        </w:rPr>
      </w:pPr>
    </w:p>
    <w:p w14:paraId="2DE04A60" w14:textId="77777777" w:rsidR="00FE4ADA" w:rsidRPr="00DF2967" w:rsidRDefault="00FE4ADA" w:rsidP="00FE4ADA">
      <w:pPr>
        <w:spacing w:line="240" w:lineRule="auto"/>
        <w:rPr>
          <w:lang w:val="es-419"/>
        </w:rPr>
      </w:pPr>
    </w:p>
    <w:tbl>
      <w:tblPr>
        <w:tblW w:w="9754" w:type="dxa"/>
        <w:tblLayout w:type="fixed"/>
        <w:tblCellMar>
          <w:left w:w="0" w:type="dxa"/>
          <w:right w:w="0" w:type="dxa"/>
        </w:tblCellMar>
        <w:tblLook w:val="04A0" w:firstRow="1" w:lastRow="0" w:firstColumn="1" w:lastColumn="0" w:noHBand="0" w:noVBand="1"/>
        <w:tblDescription w:val="SNEID_c9119db80aa74bbdbbd5b9149668aa3f"/>
      </w:tblPr>
      <w:tblGrid>
        <w:gridCol w:w="2914"/>
        <w:gridCol w:w="119"/>
        <w:gridCol w:w="1021"/>
        <w:gridCol w:w="119"/>
        <w:gridCol w:w="1021"/>
        <w:gridCol w:w="119"/>
        <w:gridCol w:w="1021"/>
        <w:gridCol w:w="119"/>
        <w:gridCol w:w="1021"/>
        <w:gridCol w:w="119"/>
        <w:gridCol w:w="1021"/>
        <w:gridCol w:w="119"/>
        <w:gridCol w:w="1021"/>
      </w:tblGrid>
      <w:tr w:rsidR="00FE4ADA" w14:paraId="4E1C01E6" w14:textId="77777777" w:rsidTr="00251EF9">
        <w:tc>
          <w:tcPr>
            <w:tcW w:w="9754" w:type="dxa"/>
            <w:gridSpan w:val="13"/>
            <w:noWrap/>
            <w:vAlign w:val="bottom"/>
          </w:tcPr>
          <w:p w14:paraId="10920D7C" w14:textId="2A51499B" w:rsidR="00FE4ADA" w:rsidRPr="00DF2967" w:rsidRDefault="00BC3645" w:rsidP="00251EF9">
            <w:pPr>
              <w:pStyle w:val="TTitleText"/>
              <w:rPr>
                <w:lang w:val="es-419"/>
              </w:rPr>
            </w:pPr>
            <w:bookmarkStart w:id="19" w:name="SNEID_c9119db80aa74bbdbbd5b9149668aa3f"/>
            <w:r>
              <w:rPr>
                <w:lang w:val="es-AR"/>
              </w:rPr>
              <w:lastRenderedPageBreak/>
              <w:t>Rendimiento división – Anual</w:t>
            </w:r>
          </w:p>
        </w:tc>
      </w:tr>
      <w:tr w:rsidR="00FE4ADA" w14:paraId="717AE1FB" w14:textId="77777777" w:rsidTr="00251EF9">
        <w:tc>
          <w:tcPr>
            <w:tcW w:w="2914" w:type="dxa"/>
            <w:tcBorders>
              <w:top w:val="single" w:sz="8" w:space="0" w:color="000000"/>
            </w:tcBorders>
            <w:noWrap/>
            <w:vAlign w:val="bottom"/>
          </w:tcPr>
          <w:p w14:paraId="2381A2B5" w14:textId="77777777" w:rsidR="00FE4ADA" w:rsidRPr="00DF2967" w:rsidRDefault="00FE4ADA" w:rsidP="00251EF9">
            <w:pPr>
              <w:pStyle w:val="TDummy"/>
              <w:keepNext/>
              <w:rPr>
                <w:lang w:val="es-419"/>
              </w:rPr>
            </w:pPr>
          </w:p>
        </w:tc>
        <w:tc>
          <w:tcPr>
            <w:tcW w:w="119" w:type="dxa"/>
            <w:tcBorders>
              <w:top w:val="single" w:sz="8" w:space="0" w:color="000000"/>
            </w:tcBorders>
            <w:noWrap/>
            <w:vAlign w:val="bottom"/>
          </w:tcPr>
          <w:p w14:paraId="3F4BBE8A" w14:textId="77777777" w:rsidR="00FE4ADA" w:rsidRPr="00DF2967" w:rsidRDefault="00FE4ADA" w:rsidP="00251EF9">
            <w:pPr>
              <w:pStyle w:val="TDummy"/>
              <w:keepNext/>
              <w:rPr>
                <w:lang w:val="es-419"/>
              </w:rPr>
            </w:pPr>
          </w:p>
        </w:tc>
        <w:tc>
          <w:tcPr>
            <w:tcW w:w="1021" w:type="dxa"/>
            <w:tcBorders>
              <w:top w:val="single" w:sz="8" w:space="0" w:color="000000"/>
            </w:tcBorders>
            <w:noWrap/>
            <w:vAlign w:val="bottom"/>
          </w:tcPr>
          <w:p w14:paraId="57D9843B" w14:textId="77777777" w:rsidR="00FE4ADA" w:rsidRPr="00DF2967" w:rsidRDefault="00FE4ADA" w:rsidP="00251EF9">
            <w:pPr>
              <w:pStyle w:val="TDummy"/>
              <w:keepNext/>
              <w:rPr>
                <w:lang w:val="es-419"/>
              </w:rPr>
            </w:pPr>
          </w:p>
        </w:tc>
        <w:tc>
          <w:tcPr>
            <w:tcW w:w="119" w:type="dxa"/>
            <w:tcBorders>
              <w:top w:val="single" w:sz="8" w:space="0" w:color="000000"/>
            </w:tcBorders>
            <w:noWrap/>
            <w:vAlign w:val="bottom"/>
          </w:tcPr>
          <w:p w14:paraId="4EB2ABF1" w14:textId="77777777" w:rsidR="00FE4ADA" w:rsidRPr="00DF2967" w:rsidRDefault="00FE4ADA" w:rsidP="00251EF9">
            <w:pPr>
              <w:pStyle w:val="TDummy"/>
              <w:keepNext/>
              <w:rPr>
                <w:lang w:val="es-419"/>
              </w:rPr>
            </w:pPr>
          </w:p>
        </w:tc>
        <w:tc>
          <w:tcPr>
            <w:tcW w:w="1021" w:type="dxa"/>
            <w:tcBorders>
              <w:top w:val="single" w:sz="8" w:space="0" w:color="000000"/>
            </w:tcBorders>
            <w:noWrap/>
            <w:vAlign w:val="bottom"/>
          </w:tcPr>
          <w:p w14:paraId="377B1498" w14:textId="77777777" w:rsidR="00FE4ADA" w:rsidRPr="00DF2967" w:rsidRDefault="00FE4ADA" w:rsidP="00251EF9">
            <w:pPr>
              <w:pStyle w:val="TDummy"/>
              <w:keepNext/>
              <w:rPr>
                <w:lang w:val="es-419"/>
              </w:rPr>
            </w:pPr>
          </w:p>
        </w:tc>
        <w:tc>
          <w:tcPr>
            <w:tcW w:w="119" w:type="dxa"/>
            <w:tcBorders>
              <w:top w:val="single" w:sz="8" w:space="0" w:color="000000"/>
            </w:tcBorders>
            <w:noWrap/>
            <w:vAlign w:val="bottom"/>
          </w:tcPr>
          <w:p w14:paraId="07D1CF1C" w14:textId="77777777" w:rsidR="00FE4ADA" w:rsidRPr="00DF2967" w:rsidRDefault="00FE4ADA" w:rsidP="00251EF9">
            <w:pPr>
              <w:pStyle w:val="TDummy"/>
              <w:keepNext/>
              <w:rPr>
                <w:lang w:val="es-419"/>
              </w:rPr>
            </w:pPr>
          </w:p>
        </w:tc>
        <w:tc>
          <w:tcPr>
            <w:tcW w:w="1021" w:type="dxa"/>
            <w:tcBorders>
              <w:top w:val="single" w:sz="8" w:space="0" w:color="000000"/>
            </w:tcBorders>
            <w:noWrap/>
            <w:vAlign w:val="bottom"/>
          </w:tcPr>
          <w:p w14:paraId="17030804" w14:textId="77777777" w:rsidR="00FE4ADA" w:rsidRPr="00DF2967" w:rsidRDefault="00FE4ADA" w:rsidP="00251EF9">
            <w:pPr>
              <w:pStyle w:val="TDummy"/>
              <w:keepNext/>
              <w:rPr>
                <w:lang w:val="es-419"/>
              </w:rPr>
            </w:pPr>
          </w:p>
        </w:tc>
        <w:tc>
          <w:tcPr>
            <w:tcW w:w="119" w:type="dxa"/>
            <w:tcBorders>
              <w:top w:val="single" w:sz="8" w:space="0" w:color="000000"/>
            </w:tcBorders>
            <w:noWrap/>
            <w:vAlign w:val="bottom"/>
          </w:tcPr>
          <w:p w14:paraId="6A5746AF" w14:textId="77777777" w:rsidR="00FE4ADA" w:rsidRPr="00DF2967" w:rsidRDefault="00FE4ADA" w:rsidP="00251EF9">
            <w:pPr>
              <w:pStyle w:val="TDummy"/>
              <w:keepNext/>
              <w:rPr>
                <w:lang w:val="es-419"/>
              </w:rPr>
            </w:pPr>
          </w:p>
        </w:tc>
        <w:tc>
          <w:tcPr>
            <w:tcW w:w="1021" w:type="dxa"/>
            <w:tcBorders>
              <w:top w:val="single" w:sz="8" w:space="0" w:color="000000"/>
            </w:tcBorders>
            <w:noWrap/>
            <w:vAlign w:val="bottom"/>
          </w:tcPr>
          <w:p w14:paraId="313FA17C" w14:textId="77777777" w:rsidR="00FE4ADA" w:rsidRPr="00DF2967" w:rsidRDefault="00FE4ADA" w:rsidP="00251EF9">
            <w:pPr>
              <w:pStyle w:val="TDummy"/>
              <w:keepNext/>
              <w:rPr>
                <w:lang w:val="es-419"/>
              </w:rPr>
            </w:pPr>
          </w:p>
        </w:tc>
        <w:tc>
          <w:tcPr>
            <w:tcW w:w="119" w:type="dxa"/>
            <w:tcBorders>
              <w:top w:val="single" w:sz="8" w:space="0" w:color="000000"/>
            </w:tcBorders>
            <w:noWrap/>
            <w:vAlign w:val="bottom"/>
          </w:tcPr>
          <w:p w14:paraId="7122D9D3" w14:textId="77777777" w:rsidR="00FE4ADA" w:rsidRPr="00DF2967" w:rsidRDefault="00FE4ADA" w:rsidP="00251EF9">
            <w:pPr>
              <w:pStyle w:val="TDummy"/>
              <w:keepNext/>
              <w:rPr>
                <w:lang w:val="es-419"/>
              </w:rPr>
            </w:pPr>
          </w:p>
        </w:tc>
        <w:tc>
          <w:tcPr>
            <w:tcW w:w="1021" w:type="dxa"/>
            <w:tcBorders>
              <w:top w:val="single" w:sz="8" w:space="0" w:color="000000"/>
            </w:tcBorders>
            <w:noWrap/>
            <w:vAlign w:val="bottom"/>
          </w:tcPr>
          <w:p w14:paraId="610B744D" w14:textId="77777777" w:rsidR="00FE4ADA" w:rsidRPr="00DF2967" w:rsidRDefault="00FE4ADA" w:rsidP="00251EF9">
            <w:pPr>
              <w:pStyle w:val="TDummy"/>
              <w:keepNext/>
              <w:rPr>
                <w:lang w:val="es-419"/>
              </w:rPr>
            </w:pPr>
          </w:p>
        </w:tc>
        <w:tc>
          <w:tcPr>
            <w:tcW w:w="119" w:type="dxa"/>
            <w:tcBorders>
              <w:top w:val="single" w:sz="8" w:space="0" w:color="000000"/>
            </w:tcBorders>
            <w:noWrap/>
            <w:vAlign w:val="bottom"/>
          </w:tcPr>
          <w:p w14:paraId="0F79A988" w14:textId="77777777" w:rsidR="00FE4ADA" w:rsidRPr="00DF2967" w:rsidRDefault="00FE4ADA" w:rsidP="00251EF9">
            <w:pPr>
              <w:pStyle w:val="TDummy"/>
              <w:keepNext/>
              <w:rPr>
                <w:lang w:val="es-419"/>
              </w:rPr>
            </w:pPr>
          </w:p>
        </w:tc>
        <w:tc>
          <w:tcPr>
            <w:tcW w:w="1021" w:type="dxa"/>
            <w:tcBorders>
              <w:top w:val="single" w:sz="8" w:space="0" w:color="000000"/>
            </w:tcBorders>
            <w:noWrap/>
            <w:vAlign w:val="bottom"/>
          </w:tcPr>
          <w:p w14:paraId="49698E0A" w14:textId="77777777" w:rsidR="00FE4ADA" w:rsidRPr="00DF2967" w:rsidRDefault="00FE4ADA" w:rsidP="00251EF9">
            <w:pPr>
              <w:pStyle w:val="TDummy"/>
              <w:keepNext/>
              <w:rPr>
                <w:lang w:val="es-419"/>
              </w:rPr>
            </w:pPr>
          </w:p>
        </w:tc>
      </w:tr>
      <w:tr w:rsidR="00FE4ADA" w14:paraId="7BEE4DFF" w14:textId="77777777" w:rsidTr="00251EF9">
        <w:tc>
          <w:tcPr>
            <w:tcW w:w="2914" w:type="dxa"/>
            <w:shd w:val="clear" w:color="000000" w:fill="FFFFFF"/>
            <w:noWrap/>
            <w:vAlign w:val="bottom"/>
          </w:tcPr>
          <w:p w14:paraId="123C5DE9" w14:textId="77777777" w:rsidR="00FE4ADA" w:rsidRDefault="00FE4ADA" w:rsidP="00251EF9">
            <w:pPr>
              <w:pStyle w:val="THeadfirstNumber"/>
            </w:pPr>
            <w:bookmarkStart w:id="20" w:name="RANGE!B39:N39"/>
            <w:bookmarkEnd w:id="20"/>
          </w:p>
        </w:tc>
        <w:tc>
          <w:tcPr>
            <w:tcW w:w="119" w:type="dxa"/>
            <w:noWrap/>
            <w:vAlign w:val="bottom"/>
          </w:tcPr>
          <w:p w14:paraId="30EB73B6" w14:textId="77777777" w:rsidR="00FE4ADA" w:rsidRDefault="00FE4ADA" w:rsidP="00251EF9">
            <w:pPr>
              <w:pStyle w:val="THeadfirstNumber"/>
            </w:pPr>
          </w:p>
        </w:tc>
        <w:tc>
          <w:tcPr>
            <w:tcW w:w="3301" w:type="dxa"/>
            <w:gridSpan w:val="5"/>
            <w:tcBorders>
              <w:bottom w:val="single" w:sz="4" w:space="0" w:color="A59C94"/>
            </w:tcBorders>
            <w:shd w:val="clear" w:color="000000" w:fill="FFFFFF"/>
            <w:noWrap/>
            <w:vAlign w:val="bottom"/>
          </w:tcPr>
          <w:p w14:paraId="53C2CC35" w14:textId="77777777" w:rsidR="00FE4ADA" w:rsidRDefault="00FE4ADA" w:rsidP="00251EF9">
            <w:pPr>
              <w:pStyle w:val="THeadfirstNumber"/>
            </w:pPr>
            <w:r>
              <w:t>Ventas</w:t>
            </w:r>
          </w:p>
        </w:tc>
        <w:tc>
          <w:tcPr>
            <w:tcW w:w="119" w:type="dxa"/>
            <w:noWrap/>
            <w:vAlign w:val="bottom"/>
          </w:tcPr>
          <w:p w14:paraId="7320E4D8" w14:textId="77777777" w:rsidR="00FE4ADA" w:rsidRDefault="00FE4ADA" w:rsidP="00251EF9">
            <w:pPr>
              <w:pStyle w:val="THeadfirstNumber"/>
            </w:pPr>
          </w:p>
        </w:tc>
        <w:tc>
          <w:tcPr>
            <w:tcW w:w="3301" w:type="dxa"/>
            <w:gridSpan w:val="5"/>
            <w:tcBorders>
              <w:bottom w:val="single" w:sz="4" w:space="0" w:color="A59C94"/>
            </w:tcBorders>
            <w:shd w:val="clear" w:color="000000" w:fill="FFFFFF"/>
            <w:noWrap/>
            <w:vAlign w:val="bottom"/>
          </w:tcPr>
          <w:p w14:paraId="4FF81945" w14:textId="77777777" w:rsidR="00FE4ADA" w:rsidRDefault="00FE4ADA" w:rsidP="00251EF9">
            <w:pPr>
              <w:pStyle w:val="THeadfirstNumber"/>
            </w:pPr>
            <w:r>
              <w:t>EBITDA ajustado</w:t>
            </w:r>
          </w:p>
        </w:tc>
      </w:tr>
      <w:tr w:rsidR="00FE4ADA" w14:paraId="12785F35" w14:textId="77777777" w:rsidTr="00251EF9">
        <w:tc>
          <w:tcPr>
            <w:tcW w:w="2914" w:type="dxa"/>
            <w:tcBorders>
              <w:bottom w:val="single" w:sz="4" w:space="0" w:color="000000"/>
            </w:tcBorders>
            <w:shd w:val="clear" w:color="000000" w:fill="FFFFFF"/>
            <w:noWrap/>
            <w:vAlign w:val="bottom"/>
          </w:tcPr>
          <w:p w14:paraId="003318FD" w14:textId="77777777" w:rsidR="00FE4ADA" w:rsidRDefault="00FE4ADA" w:rsidP="00251EF9">
            <w:pPr>
              <w:pStyle w:val="THeadlastText"/>
            </w:pPr>
            <w:bookmarkStart w:id="21" w:name="RANGE!B40:N40"/>
            <w:bookmarkEnd w:id="21"/>
            <w:r>
              <w:t>en millones de euros</w:t>
            </w:r>
          </w:p>
        </w:tc>
        <w:tc>
          <w:tcPr>
            <w:tcW w:w="119" w:type="dxa"/>
            <w:noWrap/>
            <w:vAlign w:val="bottom"/>
          </w:tcPr>
          <w:p w14:paraId="4352645F"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4AE16EC6" w14:textId="77777777" w:rsidR="00FE4ADA" w:rsidRDefault="00FE4ADA" w:rsidP="00251EF9">
            <w:pPr>
              <w:pStyle w:val="THeadlastNumber"/>
            </w:pPr>
            <w:r>
              <w:t>2022</w:t>
            </w:r>
          </w:p>
        </w:tc>
        <w:tc>
          <w:tcPr>
            <w:tcW w:w="119" w:type="dxa"/>
            <w:vAlign w:val="bottom"/>
          </w:tcPr>
          <w:p w14:paraId="45637720"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13DDCE42" w14:textId="77777777" w:rsidR="00FE4ADA" w:rsidRDefault="00FE4ADA" w:rsidP="00251EF9">
            <w:pPr>
              <w:pStyle w:val="THeadlastNumberbold"/>
            </w:pPr>
            <w:bookmarkStart w:id="22" w:name="RANGE!F40:F47"/>
            <w:bookmarkEnd w:id="22"/>
            <w:r>
              <w:t>2023</w:t>
            </w:r>
          </w:p>
        </w:tc>
        <w:tc>
          <w:tcPr>
            <w:tcW w:w="119" w:type="dxa"/>
            <w:noWrap/>
            <w:vAlign w:val="bottom"/>
          </w:tcPr>
          <w:p w14:paraId="3F3E8654"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5CB421E0" w14:textId="5E5DDDCF" w:rsidR="00FE4ADA" w:rsidRDefault="00BC3645" w:rsidP="00251EF9">
            <w:pPr>
              <w:pStyle w:val="THeaddifferenceNumber"/>
              <w:keepNext/>
            </w:pPr>
            <w:bookmarkStart w:id="23" w:name="RANGE!H40:H47"/>
            <w:bookmarkEnd w:id="23"/>
            <w:r w:rsidRPr="007F5EDB">
              <w:rPr>
                <w:lang w:val="es-AR"/>
              </w:rPr>
              <w:t>Cambio en %</w:t>
            </w:r>
          </w:p>
        </w:tc>
        <w:tc>
          <w:tcPr>
            <w:tcW w:w="119" w:type="dxa"/>
            <w:vAlign w:val="bottom"/>
          </w:tcPr>
          <w:p w14:paraId="058474A8"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457C022F" w14:textId="77777777" w:rsidR="00FE4ADA" w:rsidRDefault="00FE4ADA" w:rsidP="00251EF9">
            <w:pPr>
              <w:pStyle w:val="THeadlastNumber"/>
            </w:pPr>
            <w:r>
              <w:t>2022</w:t>
            </w:r>
          </w:p>
        </w:tc>
        <w:tc>
          <w:tcPr>
            <w:tcW w:w="119" w:type="dxa"/>
            <w:vAlign w:val="bottom"/>
          </w:tcPr>
          <w:p w14:paraId="416CA4E8"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7FFF3E54" w14:textId="77777777" w:rsidR="00FE4ADA" w:rsidRDefault="00FE4ADA" w:rsidP="00251EF9">
            <w:pPr>
              <w:pStyle w:val="THeadlastNumberbold"/>
            </w:pPr>
            <w:bookmarkStart w:id="24" w:name="RANGE!L40:L47"/>
            <w:bookmarkEnd w:id="24"/>
            <w:r>
              <w:t>2023</w:t>
            </w:r>
          </w:p>
        </w:tc>
        <w:tc>
          <w:tcPr>
            <w:tcW w:w="119" w:type="dxa"/>
            <w:noWrap/>
            <w:vAlign w:val="bottom"/>
          </w:tcPr>
          <w:p w14:paraId="7E072BDA" w14:textId="77777777" w:rsidR="00FE4ADA" w:rsidRDefault="00FE4ADA" w:rsidP="00251EF9">
            <w:pPr>
              <w:pStyle w:val="THeadlastNumber"/>
            </w:pPr>
          </w:p>
        </w:tc>
        <w:tc>
          <w:tcPr>
            <w:tcW w:w="1021" w:type="dxa"/>
            <w:tcBorders>
              <w:top w:val="single" w:sz="4" w:space="0" w:color="A59C94"/>
              <w:bottom w:val="single" w:sz="4" w:space="0" w:color="000000"/>
            </w:tcBorders>
            <w:shd w:val="clear" w:color="000000" w:fill="FFFFFF"/>
            <w:vAlign w:val="bottom"/>
          </w:tcPr>
          <w:p w14:paraId="742A3677" w14:textId="35356D05" w:rsidR="00FE4ADA" w:rsidRDefault="00BC3645" w:rsidP="00251EF9">
            <w:pPr>
              <w:pStyle w:val="THeaddifferenceNumber"/>
              <w:keepNext/>
            </w:pPr>
            <w:bookmarkStart w:id="25" w:name="RANGE!N40:N47"/>
            <w:bookmarkEnd w:id="25"/>
            <w:r w:rsidRPr="007F5EDB">
              <w:rPr>
                <w:lang w:val="es-AR"/>
              </w:rPr>
              <w:t>Cambio en %</w:t>
            </w:r>
          </w:p>
        </w:tc>
      </w:tr>
      <w:tr w:rsidR="00FE4ADA" w14:paraId="11372716" w14:textId="77777777" w:rsidTr="00251EF9">
        <w:tc>
          <w:tcPr>
            <w:tcW w:w="2914" w:type="dxa"/>
            <w:tcBorders>
              <w:top w:val="single" w:sz="4" w:space="0" w:color="000000"/>
              <w:bottom w:val="single" w:sz="4" w:space="0" w:color="A59C94"/>
            </w:tcBorders>
            <w:noWrap/>
            <w:vAlign w:val="bottom"/>
          </w:tcPr>
          <w:p w14:paraId="2EE91DFE" w14:textId="5950F773" w:rsidR="00FE4ADA" w:rsidRDefault="00BC3645" w:rsidP="00251EF9">
            <w:pPr>
              <w:pStyle w:val="TBodynormalText"/>
            </w:pPr>
            <w:r w:rsidRPr="007F5EDB">
              <w:rPr>
                <w:lang w:val="es-AR"/>
              </w:rPr>
              <w:t xml:space="preserve">Specialty </w:t>
            </w:r>
            <w:proofErr w:type="spellStart"/>
            <w:r w:rsidRPr="007F5EDB">
              <w:rPr>
                <w:lang w:val="es-AR"/>
              </w:rPr>
              <w:t>Additives</w:t>
            </w:r>
            <w:proofErr w:type="spellEnd"/>
          </w:p>
        </w:tc>
        <w:tc>
          <w:tcPr>
            <w:tcW w:w="119" w:type="dxa"/>
            <w:noWrap/>
            <w:vAlign w:val="bottom"/>
          </w:tcPr>
          <w:p w14:paraId="4030536B" w14:textId="77777777" w:rsidR="00FE4ADA" w:rsidRDefault="00FE4ADA" w:rsidP="00251EF9">
            <w:pPr>
              <w:pStyle w:val="TBodynormalNumber"/>
              <w:keepNext/>
            </w:pPr>
          </w:p>
        </w:tc>
        <w:tc>
          <w:tcPr>
            <w:tcW w:w="1021" w:type="dxa"/>
            <w:tcBorders>
              <w:top w:val="single" w:sz="4" w:space="0" w:color="000000"/>
              <w:bottom w:val="single" w:sz="4" w:space="0" w:color="A59C94"/>
            </w:tcBorders>
            <w:noWrap/>
            <w:vAlign w:val="bottom"/>
          </w:tcPr>
          <w:p w14:paraId="18FD07EA" w14:textId="77777777" w:rsidR="00FE4ADA" w:rsidRDefault="00FE4ADA" w:rsidP="00251EF9">
            <w:pPr>
              <w:pStyle w:val="TBodynormalNumber"/>
              <w:keepNext/>
            </w:pPr>
            <w:r>
              <w:t>4,184</w:t>
            </w:r>
          </w:p>
        </w:tc>
        <w:tc>
          <w:tcPr>
            <w:tcW w:w="119" w:type="dxa"/>
            <w:noWrap/>
            <w:vAlign w:val="bottom"/>
          </w:tcPr>
          <w:p w14:paraId="3E255FE5" w14:textId="77777777" w:rsidR="00FE4ADA" w:rsidRDefault="00FE4ADA" w:rsidP="00251EF9">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3ADC9D66" w14:textId="77777777" w:rsidR="00FE4ADA" w:rsidRDefault="00FE4ADA" w:rsidP="00251EF9">
            <w:pPr>
              <w:pStyle w:val="TBodynormalNumber"/>
              <w:keepNext/>
            </w:pPr>
            <w:r>
              <w:t>3,520</w:t>
            </w:r>
          </w:p>
        </w:tc>
        <w:tc>
          <w:tcPr>
            <w:tcW w:w="119" w:type="dxa"/>
            <w:noWrap/>
            <w:vAlign w:val="bottom"/>
          </w:tcPr>
          <w:p w14:paraId="3C8F174A" w14:textId="77777777" w:rsidR="00FE4ADA" w:rsidRDefault="00FE4ADA" w:rsidP="00251EF9">
            <w:pPr>
              <w:pStyle w:val="TBodynormalNumber"/>
              <w:keepNext/>
            </w:pPr>
          </w:p>
        </w:tc>
        <w:tc>
          <w:tcPr>
            <w:tcW w:w="1021" w:type="dxa"/>
            <w:tcBorders>
              <w:top w:val="single" w:sz="4" w:space="0" w:color="000000"/>
              <w:bottom w:val="single" w:sz="4" w:space="0" w:color="A59C94"/>
            </w:tcBorders>
            <w:noWrap/>
            <w:vAlign w:val="bottom"/>
          </w:tcPr>
          <w:p w14:paraId="587D456D" w14:textId="77777777" w:rsidR="00FE4ADA" w:rsidRDefault="00FE4ADA" w:rsidP="00251EF9">
            <w:pPr>
              <w:pStyle w:val="TBodynormalNumber"/>
              <w:keepNext/>
            </w:pPr>
            <w:r>
              <w:t>-16</w:t>
            </w:r>
          </w:p>
        </w:tc>
        <w:tc>
          <w:tcPr>
            <w:tcW w:w="119" w:type="dxa"/>
            <w:vAlign w:val="bottom"/>
          </w:tcPr>
          <w:p w14:paraId="58DD54BE" w14:textId="77777777" w:rsidR="00FE4ADA" w:rsidRDefault="00FE4ADA" w:rsidP="00251EF9">
            <w:pPr>
              <w:pStyle w:val="TBodynormalNumber"/>
              <w:keepNext/>
            </w:pPr>
          </w:p>
        </w:tc>
        <w:tc>
          <w:tcPr>
            <w:tcW w:w="1021" w:type="dxa"/>
            <w:tcBorders>
              <w:top w:val="single" w:sz="4" w:space="0" w:color="000000"/>
              <w:bottom w:val="single" w:sz="4" w:space="0" w:color="A59C94"/>
            </w:tcBorders>
            <w:noWrap/>
            <w:vAlign w:val="bottom"/>
          </w:tcPr>
          <w:p w14:paraId="3E08D750" w14:textId="77777777" w:rsidR="00FE4ADA" w:rsidRDefault="00FE4ADA" w:rsidP="00251EF9">
            <w:pPr>
              <w:pStyle w:val="TBodynormalNumber"/>
              <w:keepNext/>
            </w:pPr>
            <w:r>
              <w:t>946</w:t>
            </w:r>
          </w:p>
        </w:tc>
        <w:tc>
          <w:tcPr>
            <w:tcW w:w="119" w:type="dxa"/>
            <w:noWrap/>
            <w:vAlign w:val="bottom"/>
          </w:tcPr>
          <w:p w14:paraId="7438ED2E" w14:textId="77777777" w:rsidR="00FE4ADA" w:rsidRDefault="00FE4ADA" w:rsidP="00251EF9">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46EFE4BD" w14:textId="77777777" w:rsidR="00FE4ADA" w:rsidRDefault="00FE4ADA" w:rsidP="00251EF9">
            <w:pPr>
              <w:pStyle w:val="TBodynormalNumber"/>
              <w:keepNext/>
            </w:pPr>
            <w:r>
              <w:t>673</w:t>
            </w:r>
          </w:p>
        </w:tc>
        <w:tc>
          <w:tcPr>
            <w:tcW w:w="119" w:type="dxa"/>
            <w:noWrap/>
            <w:vAlign w:val="bottom"/>
          </w:tcPr>
          <w:p w14:paraId="7C26F734" w14:textId="77777777" w:rsidR="00FE4ADA" w:rsidRDefault="00FE4ADA" w:rsidP="00251EF9">
            <w:pPr>
              <w:pStyle w:val="TBodynormalNumber"/>
              <w:keepNext/>
            </w:pPr>
          </w:p>
        </w:tc>
        <w:tc>
          <w:tcPr>
            <w:tcW w:w="1021" w:type="dxa"/>
            <w:tcBorders>
              <w:top w:val="single" w:sz="4" w:space="0" w:color="000000"/>
              <w:bottom w:val="single" w:sz="4" w:space="0" w:color="A59C94"/>
            </w:tcBorders>
            <w:noWrap/>
            <w:vAlign w:val="bottom"/>
          </w:tcPr>
          <w:p w14:paraId="7DE69034" w14:textId="77777777" w:rsidR="00FE4ADA" w:rsidRDefault="00FE4ADA" w:rsidP="00251EF9">
            <w:pPr>
              <w:pStyle w:val="TBodynormalNumber"/>
              <w:keepNext/>
            </w:pPr>
            <w:r>
              <w:t>-29</w:t>
            </w:r>
          </w:p>
        </w:tc>
      </w:tr>
      <w:tr w:rsidR="00FE4ADA" w14:paraId="6CDEDEC3" w14:textId="77777777" w:rsidTr="00251EF9">
        <w:tc>
          <w:tcPr>
            <w:tcW w:w="2914" w:type="dxa"/>
            <w:tcBorders>
              <w:top w:val="single" w:sz="4" w:space="0" w:color="A59C94"/>
              <w:bottom w:val="single" w:sz="4" w:space="0" w:color="A59C94"/>
            </w:tcBorders>
            <w:noWrap/>
            <w:vAlign w:val="bottom"/>
          </w:tcPr>
          <w:p w14:paraId="0BE324C7" w14:textId="7493FBEA" w:rsidR="00FE4ADA" w:rsidRDefault="00BC3645" w:rsidP="00251EF9">
            <w:pPr>
              <w:pStyle w:val="TBodynormalText"/>
            </w:pPr>
            <w:proofErr w:type="spellStart"/>
            <w:r w:rsidRPr="007F5EDB">
              <w:rPr>
                <w:lang w:val="es-AR"/>
              </w:rPr>
              <w:t>Nutrition</w:t>
            </w:r>
            <w:proofErr w:type="spellEnd"/>
            <w:r w:rsidRPr="007F5EDB">
              <w:rPr>
                <w:lang w:val="es-AR"/>
              </w:rPr>
              <w:t xml:space="preserve"> &amp; Care</w:t>
            </w:r>
          </w:p>
        </w:tc>
        <w:tc>
          <w:tcPr>
            <w:tcW w:w="119" w:type="dxa"/>
            <w:noWrap/>
            <w:vAlign w:val="bottom"/>
          </w:tcPr>
          <w:p w14:paraId="24069919"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2C2C0D67" w14:textId="77777777" w:rsidR="00FE4ADA" w:rsidRDefault="00FE4ADA" w:rsidP="00251EF9">
            <w:pPr>
              <w:pStyle w:val="TBodynormalNumber"/>
              <w:keepNext/>
            </w:pPr>
            <w:r>
              <w:t>4,237</w:t>
            </w:r>
          </w:p>
        </w:tc>
        <w:tc>
          <w:tcPr>
            <w:tcW w:w="119" w:type="dxa"/>
            <w:noWrap/>
            <w:vAlign w:val="bottom"/>
          </w:tcPr>
          <w:p w14:paraId="310B0089"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E2052A0" w14:textId="77777777" w:rsidR="00FE4ADA" w:rsidRDefault="00FE4ADA" w:rsidP="00251EF9">
            <w:pPr>
              <w:pStyle w:val="TBodynormalNumber"/>
              <w:keepNext/>
            </w:pPr>
            <w:r>
              <w:t>3,611</w:t>
            </w:r>
          </w:p>
        </w:tc>
        <w:tc>
          <w:tcPr>
            <w:tcW w:w="119" w:type="dxa"/>
            <w:noWrap/>
            <w:vAlign w:val="bottom"/>
          </w:tcPr>
          <w:p w14:paraId="090E8936"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0DB2A23B" w14:textId="77777777" w:rsidR="00FE4ADA" w:rsidRDefault="00FE4ADA" w:rsidP="00251EF9">
            <w:pPr>
              <w:pStyle w:val="TBodynormalNumber"/>
              <w:keepNext/>
            </w:pPr>
            <w:r>
              <w:t>-15</w:t>
            </w:r>
          </w:p>
        </w:tc>
        <w:tc>
          <w:tcPr>
            <w:tcW w:w="119" w:type="dxa"/>
            <w:noWrap/>
            <w:vAlign w:val="bottom"/>
          </w:tcPr>
          <w:p w14:paraId="19065B19"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23E18143" w14:textId="77777777" w:rsidR="00FE4ADA" w:rsidRDefault="00FE4ADA" w:rsidP="00251EF9">
            <w:pPr>
              <w:pStyle w:val="TBodynormalNumber"/>
              <w:keepNext/>
            </w:pPr>
            <w:r>
              <w:t>677</w:t>
            </w:r>
          </w:p>
        </w:tc>
        <w:tc>
          <w:tcPr>
            <w:tcW w:w="119" w:type="dxa"/>
            <w:noWrap/>
            <w:vAlign w:val="bottom"/>
          </w:tcPr>
          <w:p w14:paraId="1D289D24"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A213197" w14:textId="77777777" w:rsidR="00FE4ADA" w:rsidRDefault="00FE4ADA" w:rsidP="00251EF9">
            <w:pPr>
              <w:pStyle w:val="TBodynormalNumber"/>
              <w:keepNext/>
            </w:pPr>
            <w:r>
              <w:t>389</w:t>
            </w:r>
          </w:p>
        </w:tc>
        <w:tc>
          <w:tcPr>
            <w:tcW w:w="119" w:type="dxa"/>
            <w:noWrap/>
            <w:vAlign w:val="bottom"/>
          </w:tcPr>
          <w:p w14:paraId="26783A95"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6D6C3FF7" w14:textId="77777777" w:rsidR="00FE4ADA" w:rsidRDefault="00FE4ADA" w:rsidP="00251EF9">
            <w:pPr>
              <w:pStyle w:val="TBodynormalNumber"/>
              <w:keepNext/>
            </w:pPr>
            <w:r>
              <w:t>-43</w:t>
            </w:r>
          </w:p>
        </w:tc>
      </w:tr>
      <w:tr w:rsidR="00FE4ADA" w14:paraId="366AC4F6" w14:textId="77777777" w:rsidTr="00251EF9">
        <w:tc>
          <w:tcPr>
            <w:tcW w:w="2914" w:type="dxa"/>
            <w:tcBorders>
              <w:top w:val="single" w:sz="4" w:space="0" w:color="A59C94"/>
              <w:bottom w:val="single" w:sz="4" w:space="0" w:color="A59C94"/>
            </w:tcBorders>
            <w:noWrap/>
            <w:vAlign w:val="bottom"/>
          </w:tcPr>
          <w:p w14:paraId="3D14DEBE" w14:textId="4EBA2DAE" w:rsidR="00FE4ADA" w:rsidRDefault="00BC3645" w:rsidP="00251EF9">
            <w:pPr>
              <w:pStyle w:val="TBodynormalText"/>
            </w:pPr>
            <w:r w:rsidRPr="007F5EDB">
              <w:rPr>
                <w:lang w:val="es-AR"/>
              </w:rPr>
              <w:t xml:space="preserve">Smart </w:t>
            </w:r>
            <w:proofErr w:type="spellStart"/>
            <w:r w:rsidRPr="007F5EDB">
              <w:rPr>
                <w:lang w:val="es-AR"/>
              </w:rPr>
              <w:t>Materials</w:t>
            </w:r>
            <w:proofErr w:type="spellEnd"/>
            <w:r w:rsidRPr="00DF2967">
              <w:rPr>
                <w:vertAlign w:val="superscript"/>
                <w:lang w:val="es-419"/>
              </w:rPr>
              <w:t xml:space="preserve"> a</w:t>
            </w:r>
          </w:p>
        </w:tc>
        <w:tc>
          <w:tcPr>
            <w:tcW w:w="119" w:type="dxa"/>
            <w:noWrap/>
            <w:vAlign w:val="bottom"/>
          </w:tcPr>
          <w:p w14:paraId="64B1FB42"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1B0103D2" w14:textId="77777777" w:rsidR="00FE4ADA" w:rsidRDefault="00FE4ADA" w:rsidP="00251EF9">
            <w:pPr>
              <w:pStyle w:val="TBodynormalNumber"/>
              <w:keepNext/>
            </w:pPr>
            <w:r>
              <w:t>5,240</w:t>
            </w:r>
          </w:p>
        </w:tc>
        <w:tc>
          <w:tcPr>
            <w:tcW w:w="119" w:type="dxa"/>
            <w:noWrap/>
            <w:vAlign w:val="bottom"/>
          </w:tcPr>
          <w:p w14:paraId="10FC57E6"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BC4C668" w14:textId="77777777" w:rsidR="00FE4ADA" w:rsidRDefault="00FE4ADA" w:rsidP="00251EF9">
            <w:pPr>
              <w:pStyle w:val="TBodynormalNumber"/>
              <w:keepNext/>
            </w:pPr>
            <w:r>
              <w:t>4,461</w:t>
            </w:r>
          </w:p>
        </w:tc>
        <w:tc>
          <w:tcPr>
            <w:tcW w:w="119" w:type="dxa"/>
            <w:noWrap/>
            <w:vAlign w:val="bottom"/>
          </w:tcPr>
          <w:p w14:paraId="06FC51EF"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18E0029C" w14:textId="77777777" w:rsidR="00FE4ADA" w:rsidRDefault="00FE4ADA" w:rsidP="00251EF9">
            <w:pPr>
              <w:pStyle w:val="TBodynormalNumber"/>
              <w:keepNext/>
            </w:pPr>
            <w:r>
              <w:t>-15</w:t>
            </w:r>
          </w:p>
        </w:tc>
        <w:tc>
          <w:tcPr>
            <w:tcW w:w="119" w:type="dxa"/>
            <w:noWrap/>
            <w:vAlign w:val="bottom"/>
          </w:tcPr>
          <w:p w14:paraId="64D0EAC5"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3DCB6813" w14:textId="77777777" w:rsidR="00FE4ADA" w:rsidRDefault="00FE4ADA" w:rsidP="00251EF9">
            <w:pPr>
              <w:pStyle w:val="TBodynormalNumber"/>
              <w:keepNext/>
            </w:pPr>
            <w:r>
              <w:t>743</w:t>
            </w:r>
          </w:p>
        </w:tc>
        <w:tc>
          <w:tcPr>
            <w:tcW w:w="119" w:type="dxa"/>
            <w:noWrap/>
            <w:vAlign w:val="bottom"/>
          </w:tcPr>
          <w:p w14:paraId="3F6478F2"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C809FCD" w14:textId="77777777" w:rsidR="00FE4ADA" w:rsidRDefault="00FE4ADA" w:rsidP="00251EF9">
            <w:pPr>
              <w:pStyle w:val="TBodynormalNumber"/>
              <w:keepNext/>
            </w:pPr>
            <w:r>
              <w:t>540</w:t>
            </w:r>
          </w:p>
        </w:tc>
        <w:tc>
          <w:tcPr>
            <w:tcW w:w="119" w:type="dxa"/>
            <w:noWrap/>
            <w:vAlign w:val="bottom"/>
          </w:tcPr>
          <w:p w14:paraId="3D7F44AE"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567A8C72" w14:textId="77777777" w:rsidR="00FE4ADA" w:rsidRDefault="00FE4ADA" w:rsidP="00251EF9">
            <w:pPr>
              <w:pStyle w:val="TBodynormalNumber"/>
              <w:keepNext/>
            </w:pPr>
            <w:r>
              <w:t>-27</w:t>
            </w:r>
          </w:p>
        </w:tc>
      </w:tr>
      <w:tr w:rsidR="00FE4ADA" w14:paraId="14F4C880" w14:textId="77777777" w:rsidTr="00251EF9">
        <w:tc>
          <w:tcPr>
            <w:tcW w:w="2914" w:type="dxa"/>
            <w:tcBorders>
              <w:top w:val="single" w:sz="4" w:space="0" w:color="A59C94"/>
              <w:bottom w:val="single" w:sz="4" w:space="0" w:color="A59C94"/>
            </w:tcBorders>
            <w:noWrap/>
            <w:vAlign w:val="bottom"/>
          </w:tcPr>
          <w:p w14:paraId="3912D926" w14:textId="5EFCB124" w:rsidR="00FE4ADA" w:rsidRDefault="00BC3645" w:rsidP="00251EF9">
            <w:pPr>
              <w:pStyle w:val="TBodynormalText"/>
            </w:pPr>
            <w:r w:rsidRPr="007F5EDB">
              <w:rPr>
                <w:lang w:val="es-AR"/>
              </w:rPr>
              <w:t xml:space="preserve">Performance </w:t>
            </w:r>
            <w:proofErr w:type="spellStart"/>
            <w:r w:rsidRPr="007F5EDB">
              <w:rPr>
                <w:lang w:val="es-AR"/>
              </w:rPr>
              <w:t>Materials</w:t>
            </w:r>
            <w:proofErr w:type="spellEnd"/>
            <w:r w:rsidRPr="00DF2967">
              <w:rPr>
                <w:vertAlign w:val="superscript"/>
                <w:lang w:val="es-419"/>
              </w:rPr>
              <w:t xml:space="preserve"> a</w:t>
            </w:r>
          </w:p>
        </w:tc>
        <w:tc>
          <w:tcPr>
            <w:tcW w:w="119" w:type="dxa"/>
            <w:noWrap/>
            <w:vAlign w:val="bottom"/>
          </w:tcPr>
          <w:p w14:paraId="23216118"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5296AAD6" w14:textId="77777777" w:rsidR="00FE4ADA" w:rsidRDefault="00FE4ADA" w:rsidP="00251EF9">
            <w:pPr>
              <w:pStyle w:val="TBodynormalNumber"/>
              <w:keepNext/>
            </w:pPr>
            <w:r>
              <w:t>3,253</w:t>
            </w:r>
          </w:p>
        </w:tc>
        <w:tc>
          <w:tcPr>
            <w:tcW w:w="119" w:type="dxa"/>
            <w:noWrap/>
            <w:vAlign w:val="bottom"/>
          </w:tcPr>
          <w:p w14:paraId="7924BAC4"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11DE80B" w14:textId="77777777" w:rsidR="00FE4ADA" w:rsidRDefault="00FE4ADA" w:rsidP="00251EF9">
            <w:pPr>
              <w:pStyle w:val="TBodynormalNumber"/>
              <w:keepNext/>
            </w:pPr>
            <w:r>
              <w:t>2,549</w:t>
            </w:r>
          </w:p>
        </w:tc>
        <w:tc>
          <w:tcPr>
            <w:tcW w:w="119" w:type="dxa"/>
            <w:noWrap/>
            <w:vAlign w:val="bottom"/>
          </w:tcPr>
          <w:p w14:paraId="435BA4C5"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2DCCEAF1" w14:textId="77777777" w:rsidR="00FE4ADA" w:rsidRDefault="00FE4ADA" w:rsidP="00251EF9">
            <w:pPr>
              <w:pStyle w:val="TBodynormalNumber"/>
              <w:keepNext/>
            </w:pPr>
            <w:r>
              <w:t>-22</w:t>
            </w:r>
          </w:p>
        </w:tc>
        <w:tc>
          <w:tcPr>
            <w:tcW w:w="119" w:type="dxa"/>
            <w:noWrap/>
            <w:vAlign w:val="bottom"/>
          </w:tcPr>
          <w:p w14:paraId="295DDD12"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10F6B3E3" w14:textId="77777777" w:rsidR="00FE4ADA" w:rsidRDefault="00FE4ADA" w:rsidP="00251EF9">
            <w:pPr>
              <w:pStyle w:val="TBodynormalNumber"/>
              <w:keepNext/>
            </w:pPr>
            <w:r>
              <w:t>350</w:t>
            </w:r>
          </w:p>
        </w:tc>
        <w:tc>
          <w:tcPr>
            <w:tcW w:w="119" w:type="dxa"/>
            <w:noWrap/>
            <w:vAlign w:val="bottom"/>
          </w:tcPr>
          <w:p w14:paraId="635FD5B8"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E96CDE8" w14:textId="77777777" w:rsidR="00FE4ADA" w:rsidRDefault="00FE4ADA" w:rsidP="00251EF9">
            <w:pPr>
              <w:pStyle w:val="TBodynormalNumber"/>
              <w:keepNext/>
            </w:pPr>
            <w:r>
              <w:t>111</w:t>
            </w:r>
          </w:p>
        </w:tc>
        <w:tc>
          <w:tcPr>
            <w:tcW w:w="119" w:type="dxa"/>
            <w:noWrap/>
            <w:vAlign w:val="bottom"/>
          </w:tcPr>
          <w:p w14:paraId="2A6623DC"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2B7A7C06" w14:textId="77777777" w:rsidR="00FE4ADA" w:rsidRDefault="00FE4ADA" w:rsidP="00251EF9">
            <w:pPr>
              <w:pStyle w:val="TBodynormalNumber"/>
              <w:keepNext/>
            </w:pPr>
            <w:r>
              <w:t>-68</w:t>
            </w:r>
          </w:p>
        </w:tc>
      </w:tr>
      <w:tr w:rsidR="00FE4ADA" w14:paraId="7C840CAD" w14:textId="77777777" w:rsidTr="00251EF9">
        <w:tc>
          <w:tcPr>
            <w:tcW w:w="2914" w:type="dxa"/>
            <w:tcBorders>
              <w:top w:val="single" w:sz="4" w:space="0" w:color="A59C94"/>
              <w:bottom w:val="single" w:sz="4" w:space="0" w:color="A59C94"/>
            </w:tcBorders>
            <w:noWrap/>
            <w:vAlign w:val="bottom"/>
          </w:tcPr>
          <w:p w14:paraId="0DBC9392" w14:textId="24D95F49" w:rsidR="00FE4ADA" w:rsidRDefault="00BC3645" w:rsidP="00251EF9">
            <w:pPr>
              <w:pStyle w:val="TBodynormalText"/>
            </w:pPr>
            <w:proofErr w:type="spellStart"/>
            <w:r w:rsidRPr="007F5EDB">
              <w:rPr>
                <w:lang w:val="es-AR"/>
              </w:rPr>
              <w:t>Technology</w:t>
            </w:r>
            <w:proofErr w:type="spellEnd"/>
            <w:r w:rsidRPr="007F5EDB">
              <w:rPr>
                <w:lang w:val="es-AR"/>
              </w:rPr>
              <w:t xml:space="preserve"> &amp; </w:t>
            </w:r>
            <w:proofErr w:type="spellStart"/>
            <w:r w:rsidRPr="007F5EDB">
              <w:rPr>
                <w:lang w:val="es-AR"/>
              </w:rPr>
              <w:t>Infrastructure</w:t>
            </w:r>
            <w:proofErr w:type="spellEnd"/>
          </w:p>
        </w:tc>
        <w:tc>
          <w:tcPr>
            <w:tcW w:w="119" w:type="dxa"/>
            <w:noWrap/>
            <w:vAlign w:val="bottom"/>
          </w:tcPr>
          <w:p w14:paraId="1675FCF1"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4775662B" w14:textId="77777777" w:rsidR="00FE4ADA" w:rsidRDefault="00FE4ADA" w:rsidP="00251EF9">
            <w:pPr>
              <w:pStyle w:val="TBodynormalNumber"/>
              <w:keepNext/>
            </w:pPr>
            <w:bookmarkStart w:id="26" w:name="SNAMD_15bcfd92ab2c469ab6b4c75cf1c4cdc2"/>
            <w:r>
              <w:t>1,508</w:t>
            </w:r>
            <w:bookmarkEnd w:id="26"/>
          </w:p>
        </w:tc>
        <w:tc>
          <w:tcPr>
            <w:tcW w:w="119" w:type="dxa"/>
            <w:noWrap/>
            <w:vAlign w:val="bottom"/>
          </w:tcPr>
          <w:p w14:paraId="7DDD576F"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F703908" w14:textId="77777777" w:rsidR="00FE4ADA" w:rsidRDefault="00FE4ADA" w:rsidP="00251EF9">
            <w:pPr>
              <w:pStyle w:val="TBodynormalNumber"/>
              <w:keepNext/>
            </w:pPr>
            <w:r>
              <w:t>1,073</w:t>
            </w:r>
          </w:p>
        </w:tc>
        <w:tc>
          <w:tcPr>
            <w:tcW w:w="119" w:type="dxa"/>
            <w:noWrap/>
            <w:vAlign w:val="bottom"/>
          </w:tcPr>
          <w:p w14:paraId="7F48BD8C"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249C954E" w14:textId="77777777" w:rsidR="00FE4ADA" w:rsidRDefault="00FE4ADA" w:rsidP="00251EF9">
            <w:pPr>
              <w:pStyle w:val="TBodynormalNumber"/>
              <w:keepNext/>
            </w:pPr>
            <w:r>
              <w:t>-29</w:t>
            </w:r>
          </w:p>
        </w:tc>
        <w:tc>
          <w:tcPr>
            <w:tcW w:w="119" w:type="dxa"/>
            <w:noWrap/>
            <w:vAlign w:val="bottom"/>
          </w:tcPr>
          <w:p w14:paraId="2618851D"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15B770B8" w14:textId="77777777" w:rsidR="00FE4ADA" w:rsidRDefault="00FE4ADA" w:rsidP="00251EF9">
            <w:pPr>
              <w:pStyle w:val="TBodynormalNumber"/>
              <w:keepNext/>
            </w:pPr>
            <w:r>
              <w:t>86</w:t>
            </w:r>
          </w:p>
        </w:tc>
        <w:tc>
          <w:tcPr>
            <w:tcW w:w="119" w:type="dxa"/>
            <w:noWrap/>
            <w:vAlign w:val="bottom"/>
          </w:tcPr>
          <w:p w14:paraId="396C0BC0"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10B947A" w14:textId="77777777" w:rsidR="00FE4ADA" w:rsidRDefault="00FE4ADA" w:rsidP="00251EF9">
            <w:pPr>
              <w:pStyle w:val="TBodynormalNumber"/>
              <w:keepNext/>
            </w:pPr>
            <w:r>
              <w:t>217</w:t>
            </w:r>
          </w:p>
        </w:tc>
        <w:tc>
          <w:tcPr>
            <w:tcW w:w="119" w:type="dxa"/>
            <w:noWrap/>
            <w:vAlign w:val="bottom"/>
          </w:tcPr>
          <w:p w14:paraId="344BC9FD"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5A90B531" w14:textId="77777777" w:rsidR="00FE4ADA" w:rsidRDefault="00FE4ADA" w:rsidP="00251EF9">
            <w:pPr>
              <w:pStyle w:val="TBodynormalNumber"/>
              <w:keepNext/>
            </w:pPr>
            <w:r>
              <w:t>152</w:t>
            </w:r>
          </w:p>
        </w:tc>
      </w:tr>
      <w:tr w:rsidR="00FE4ADA" w14:paraId="5E4419AA" w14:textId="77777777" w:rsidTr="00251EF9">
        <w:tc>
          <w:tcPr>
            <w:tcW w:w="2914" w:type="dxa"/>
            <w:tcBorders>
              <w:top w:val="single" w:sz="4" w:space="0" w:color="A59C94"/>
              <w:bottom w:val="single" w:sz="4" w:space="0" w:color="A59C94"/>
            </w:tcBorders>
            <w:noWrap/>
            <w:vAlign w:val="bottom"/>
          </w:tcPr>
          <w:p w14:paraId="70E73258" w14:textId="77777777" w:rsidR="00FE4ADA" w:rsidRPr="00DF2967" w:rsidRDefault="00FE4ADA" w:rsidP="00251EF9">
            <w:pPr>
              <w:pStyle w:val="TBodynormalText"/>
              <w:rPr>
                <w:lang w:val="es-419"/>
              </w:rPr>
            </w:pPr>
            <w:r w:rsidRPr="00DF2967">
              <w:rPr>
                <w:lang w:val="es-419"/>
              </w:rPr>
              <w:t>Funciones de apoyo, otras actividades, consolidación</w:t>
            </w:r>
          </w:p>
        </w:tc>
        <w:tc>
          <w:tcPr>
            <w:tcW w:w="119" w:type="dxa"/>
            <w:noWrap/>
            <w:vAlign w:val="bottom"/>
          </w:tcPr>
          <w:p w14:paraId="70835094" w14:textId="77777777" w:rsidR="00FE4ADA" w:rsidRPr="00DF2967" w:rsidRDefault="00FE4ADA" w:rsidP="00251EF9">
            <w:pPr>
              <w:pStyle w:val="TBodynormalNumber"/>
              <w:keepNext/>
              <w:rPr>
                <w:lang w:val="es-419"/>
              </w:rPr>
            </w:pPr>
          </w:p>
        </w:tc>
        <w:tc>
          <w:tcPr>
            <w:tcW w:w="1021" w:type="dxa"/>
            <w:tcBorders>
              <w:top w:val="single" w:sz="4" w:space="0" w:color="A59C94"/>
              <w:bottom w:val="single" w:sz="4" w:space="0" w:color="A59C94"/>
            </w:tcBorders>
            <w:noWrap/>
            <w:vAlign w:val="bottom"/>
          </w:tcPr>
          <w:p w14:paraId="78B72C48" w14:textId="77777777" w:rsidR="00FE4ADA" w:rsidRDefault="00FE4ADA" w:rsidP="00251EF9">
            <w:pPr>
              <w:pStyle w:val="TBodynormalNumber"/>
              <w:keepNext/>
            </w:pPr>
            <w:r>
              <w:t>66</w:t>
            </w:r>
          </w:p>
        </w:tc>
        <w:tc>
          <w:tcPr>
            <w:tcW w:w="119" w:type="dxa"/>
            <w:noWrap/>
            <w:vAlign w:val="bottom"/>
          </w:tcPr>
          <w:p w14:paraId="262AC35D"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51958E57" w14:textId="77777777" w:rsidR="00FE4ADA" w:rsidRDefault="00FE4ADA" w:rsidP="00251EF9">
            <w:pPr>
              <w:pStyle w:val="TBodynormalNumber"/>
              <w:keepNext/>
            </w:pPr>
            <w:r>
              <w:t>53</w:t>
            </w:r>
          </w:p>
        </w:tc>
        <w:tc>
          <w:tcPr>
            <w:tcW w:w="119" w:type="dxa"/>
            <w:noWrap/>
            <w:vAlign w:val="bottom"/>
          </w:tcPr>
          <w:p w14:paraId="71828B5A"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3828DD2E" w14:textId="77777777" w:rsidR="00FE4ADA" w:rsidRDefault="00FE4ADA" w:rsidP="00251EF9">
            <w:pPr>
              <w:pStyle w:val="TBodynormalNumber"/>
              <w:keepNext/>
            </w:pPr>
            <w:r>
              <w:t>-20</w:t>
            </w:r>
          </w:p>
        </w:tc>
        <w:tc>
          <w:tcPr>
            <w:tcW w:w="119" w:type="dxa"/>
            <w:noWrap/>
            <w:vAlign w:val="bottom"/>
          </w:tcPr>
          <w:p w14:paraId="12B9ED54"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01D26B2A" w14:textId="77777777" w:rsidR="00FE4ADA" w:rsidRDefault="00FE4ADA" w:rsidP="00251EF9">
            <w:pPr>
              <w:pStyle w:val="TBodynormalNumber"/>
              <w:keepNext/>
            </w:pPr>
            <w:r>
              <w:t>-312</w:t>
            </w:r>
          </w:p>
        </w:tc>
        <w:tc>
          <w:tcPr>
            <w:tcW w:w="119" w:type="dxa"/>
            <w:noWrap/>
            <w:vAlign w:val="bottom"/>
          </w:tcPr>
          <w:p w14:paraId="0065CDDA"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5C96E263" w14:textId="77777777" w:rsidR="00FE4ADA" w:rsidRDefault="00FE4ADA" w:rsidP="00251EF9">
            <w:pPr>
              <w:pStyle w:val="TBodynormalNumber"/>
              <w:keepNext/>
            </w:pPr>
            <w:r>
              <w:t>-274</w:t>
            </w:r>
          </w:p>
        </w:tc>
        <w:tc>
          <w:tcPr>
            <w:tcW w:w="119" w:type="dxa"/>
            <w:noWrap/>
            <w:vAlign w:val="bottom"/>
          </w:tcPr>
          <w:p w14:paraId="2377D7A9"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479946F6" w14:textId="77777777" w:rsidR="00FE4ADA" w:rsidRDefault="00FE4ADA" w:rsidP="00251EF9">
            <w:pPr>
              <w:pStyle w:val="TBodynormalNumber"/>
              <w:keepNext/>
            </w:pPr>
            <w:r>
              <w:t>12</w:t>
            </w:r>
          </w:p>
        </w:tc>
      </w:tr>
      <w:tr w:rsidR="00FE4ADA" w14:paraId="1AEDE3CB" w14:textId="77777777" w:rsidTr="00251EF9">
        <w:tc>
          <w:tcPr>
            <w:tcW w:w="2914" w:type="dxa"/>
            <w:tcBorders>
              <w:top w:val="single" w:sz="4" w:space="0" w:color="A59C94"/>
              <w:bottom w:val="single" w:sz="16" w:space="0" w:color="991D85"/>
            </w:tcBorders>
            <w:noWrap/>
            <w:vAlign w:val="bottom"/>
          </w:tcPr>
          <w:p w14:paraId="759987D7" w14:textId="77777777" w:rsidR="00FE4ADA" w:rsidRDefault="00FE4ADA" w:rsidP="00251EF9">
            <w:pPr>
              <w:pStyle w:val="TBodytotalText"/>
            </w:pPr>
            <w:bookmarkStart w:id="27" w:name="RANGE!B47:N47"/>
            <w:bookmarkEnd w:id="27"/>
            <w:r>
              <w:t>Grupo Evonik</w:t>
            </w:r>
          </w:p>
        </w:tc>
        <w:tc>
          <w:tcPr>
            <w:tcW w:w="119" w:type="dxa"/>
            <w:tcBorders>
              <w:bottom w:val="single" w:sz="16" w:space="0" w:color="991D85"/>
            </w:tcBorders>
            <w:noWrap/>
            <w:vAlign w:val="bottom"/>
          </w:tcPr>
          <w:p w14:paraId="1DFD3154" w14:textId="77777777" w:rsidR="00FE4ADA" w:rsidRDefault="00FE4ADA" w:rsidP="00251EF9">
            <w:pPr>
              <w:pStyle w:val="TBodytotalNumber"/>
            </w:pPr>
          </w:p>
        </w:tc>
        <w:tc>
          <w:tcPr>
            <w:tcW w:w="1021" w:type="dxa"/>
            <w:tcBorders>
              <w:top w:val="single" w:sz="4" w:space="0" w:color="A59C94"/>
              <w:bottom w:val="single" w:sz="16" w:space="0" w:color="991D85"/>
            </w:tcBorders>
            <w:noWrap/>
            <w:vAlign w:val="bottom"/>
          </w:tcPr>
          <w:p w14:paraId="155A1E7D" w14:textId="77777777" w:rsidR="00FE4ADA" w:rsidRDefault="00FE4ADA" w:rsidP="00251EF9">
            <w:pPr>
              <w:pStyle w:val="TBodytotalNumber"/>
            </w:pPr>
            <w:r>
              <w:t>18,488</w:t>
            </w:r>
          </w:p>
        </w:tc>
        <w:tc>
          <w:tcPr>
            <w:tcW w:w="119" w:type="dxa"/>
            <w:tcBorders>
              <w:bottom w:val="single" w:sz="16" w:space="0" w:color="991D85"/>
            </w:tcBorders>
            <w:noWrap/>
            <w:vAlign w:val="bottom"/>
          </w:tcPr>
          <w:p w14:paraId="3D505303" w14:textId="77777777" w:rsidR="00FE4ADA" w:rsidRDefault="00FE4ADA" w:rsidP="00251EF9">
            <w:pPr>
              <w:pStyle w:val="TBodytotalNumber"/>
            </w:pPr>
          </w:p>
        </w:tc>
        <w:tc>
          <w:tcPr>
            <w:tcW w:w="1021" w:type="dxa"/>
            <w:tcBorders>
              <w:top w:val="single" w:sz="4" w:space="0" w:color="A59C94"/>
              <w:bottom w:val="single" w:sz="16" w:space="0" w:color="991D85"/>
            </w:tcBorders>
            <w:shd w:val="clear" w:color="000000" w:fill="DAD5C9"/>
            <w:noWrap/>
            <w:vAlign w:val="bottom"/>
          </w:tcPr>
          <w:p w14:paraId="4D8D7D5F" w14:textId="77777777" w:rsidR="00FE4ADA" w:rsidRDefault="00FE4ADA" w:rsidP="00251EF9">
            <w:pPr>
              <w:pStyle w:val="TBodytotalNumber"/>
            </w:pPr>
            <w:r>
              <w:t>15,267</w:t>
            </w:r>
          </w:p>
        </w:tc>
        <w:tc>
          <w:tcPr>
            <w:tcW w:w="119" w:type="dxa"/>
            <w:tcBorders>
              <w:bottom w:val="single" w:sz="16" w:space="0" w:color="991D85"/>
            </w:tcBorders>
            <w:noWrap/>
            <w:vAlign w:val="bottom"/>
          </w:tcPr>
          <w:p w14:paraId="480F72D6" w14:textId="77777777" w:rsidR="00FE4ADA" w:rsidRDefault="00FE4ADA" w:rsidP="00251EF9">
            <w:pPr>
              <w:pStyle w:val="TBodytotalNumber"/>
            </w:pPr>
          </w:p>
        </w:tc>
        <w:tc>
          <w:tcPr>
            <w:tcW w:w="1021" w:type="dxa"/>
            <w:tcBorders>
              <w:top w:val="single" w:sz="4" w:space="0" w:color="A59C94"/>
              <w:bottom w:val="single" w:sz="16" w:space="0" w:color="991D85"/>
            </w:tcBorders>
            <w:noWrap/>
            <w:vAlign w:val="bottom"/>
          </w:tcPr>
          <w:p w14:paraId="13B566F8" w14:textId="77777777" w:rsidR="00FE4ADA" w:rsidRDefault="00FE4ADA" w:rsidP="00251EF9">
            <w:pPr>
              <w:pStyle w:val="TBodytotalNumber"/>
            </w:pPr>
            <w:r>
              <w:t>-17</w:t>
            </w:r>
          </w:p>
        </w:tc>
        <w:tc>
          <w:tcPr>
            <w:tcW w:w="119" w:type="dxa"/>
            <w:tcBorders>
              <w:bottom w:val="single" w:sz="16" w:space="0" w:color="991D85"/>
            </w:tcBorders>
            <w:noWrap/>
            <w:vAlign w:val="bottom"/>
          </w:tcPr>
          <w:p w14:paraId="313BE8CC" w14:textId="77777777" w:rsidR="00FE4ADA" w:rsidRDefault="00FE4ADA" w:rsidP="00251EF9">
            <w:pPr>
              <w:pStyle w:val="TBodytotalNumber"/>
            </w:pPr>
          </w:p>
        </w:tc>
        <w:tc>
          <w:tcPr>
            <w:tcW w:w="1021" w:type="dxa"/>
            <w:tcBorders>
              <w:top w:val="single" w:sz="4" w:space="0" w:color="A59C94"/>
              <w:bottom w:val="single" w:sz="16" w:space="0" w:color="991D85"/>
            </w:tcBorders>
            <w:noWrap/>
            <w:vAlign w:val="bottom"/>
          </w:tcPr>
          <w:p w14:paraId="625EB67F" w14:textId="77777777" w:rsidR="00FE4ADA" w:rsidRDefault="00FE4ADA" w:rsidP="00251EF9">
            <w:pPr>
              <w:pStyle w:val="TBodytotalNumber"/>
            </w:pPr>
            <w:r>
              <w:t>2,490</w:t>
            </w:r>
          </w:p>
        </w:tc>
        <w:tc>
          <w:tcPr>
            <w:tcW w:w="119" w:type="dxa"/>
            <w:tcBorders>
              <w:bottom w:val="single" w:sz="16" w:space="0" w:color="991D85"/>
            </w:tcBorders>
            <w:noWrap/>
            <w:vAlign w:val="bottom"/>
          </w:tcPr>
          <w:p w14:paraId="668BFE8D" w14:textId="77777777" w:rsidR="00FE4ADA" w:rsidRDefault="00FE4ADA" w:rsidP="00251EF9">
            <w:pPr>
              <w:pStyle w:val="TBodytotalNumber"/>
            </w:pPr>
          </w:p>
        </w:tc>
        <w:tc>
          <w:tcPr>
            <w:tcW w:w="1021" w:type="dxa"/>
            <w:tcBorders>
              <w:top w:val="single" w:sz="4" w:space="0" w:color="A59C94"/>
              <w:bottom w:val="single" w:sz="16" w:space="0" w:color="991D85"/>
            </w:tcBorders>
            <w:shd w:val="clear" w:color="000000" w:fill="DAD5C9"/>
            <w:noWrap/>
            <w:vAlign w:val="bottom"/>
          </w:tcPr>
          <w:p w14:paraId="23B14DF4" w14:textId="77777777" w:rsidR="00FE4ADA" w:rsidRDefault="00FE4ADA" w:rsidP="00251EF9">
            <w:pPr>
              <w:pStyle w:val="TBodytotalNumber"/>
            </w:pPr>
            <w:r>
              <w:t>1,656</w:t>
            </w:r>
          </w:p>
        </w:tc>
        <w:tc>
          <w:tcPr>
            <w:tcW w:w="119" w:type="dxa"/>
            <w:tcBorders>
              <w:bottom w:val="single" w:sz="16" w:space="0" w:color="991D85"/>
            </w:tcBorders>
            <w:noWrap/>
            <w:vAlign w:val="bottom"/>
          </w:tcPr>
          <w:p w14:paraId="64083E3D" w14:textId="77777777" w:rsidR="00FE4ADA" w:rsidRDefault="00FE4ADA" w:rsidP="00251EF9">
            <w:pPr>
              <w:pStyle w:val="TBodytotalNumber"/>
            </w:pPr>
          </w:p>
        </w:tc>
        <w:tc>
          <w:tcPr>
            <w:tcW w:w="1021" w:type="dxa"/>
            <w:tcBorders>
              <w:top w:val="single" w:sz="4" w:space="0" w:color="A59C94"/>
              <w:bottom w:val="single" w:sz="16" w:space="0" w:color="991D85"/>
            </w:tcBorders>
            <w:noWrap/>
            <w:vAlign w:val="bottom"/>
          </w:tcPr>
          <w:p w14:paraId="2B4897A2" w14:textId="77777777" w:rsidR="00FE4ADA" w:rsidRDefault="00FE4ADA" w:rsidP="00251EF9">
            <w:pPr>
              <w:pStyle w:val="TBodytotalNumber"/>
            </w:pPr>
            <w:r>
              <w:t>-33</w:t>
            </w:r>
          </w:p>
        </w:tc>
      </w:tr>
    </w:tbl>
    <w:bookmarkEnd w:id="19"/>
    <w:p w14:paraId="3348903B" w14:textId="77777777" w:rsidR="00FE4ADA" w:rsidRPr="00DF2967" w:rsidRDefault="00FE4ADA" w:rsidP="00FE4ADA">
      <w:pPr>
        <w:pStyle w:val="SNEvonikTabellenfu"/>
        <w:rPr>
          <w:lang w:val="es-419"/>
        </w:rPr>
      </w:pPr>
      <w:r w:rsidRPr="00DF2967">
        <w:rPr>
          <w:vertAlign w:val="superscript"/>
          <w:lang w:val="es-419"/>
        </w:rPr>
        <w:t>a</w:t>
      </w:r>
      <w:r w:rsidRPr="00DF2967">
        <w:rPr>
          <w:lang w:val="es-419"/>
        </w:rPr>
        <w:t xml:space="preserve"> Cifras de años anteriores </w:t>
      </w:r>
      <w:proofErr w:type="spellStart"/>
      <w:r w:rsidRPr="00DF2967">
        <w:rPr>
          <w:lang w:val="es-419"/>
        </w:rPr>
        <w:t>reexpresadas</w:t>
      </w:r>
      <w:proofErr w:type="spellEnd"/>
      <w:r w:rsidRPr="00DF2967">
        <w:rPr>
          <w:lang w:val="es-419"/>
        </w:rPr>
        <w:t>.</w:t>
      </w:r>
    </w:p>
    <w:p w14:paraId="01D1E4BB" w14:textId="77777777" w:rsidR="00FE4ADA" w:rsidRPr="00DF2967" w:rsidRDefault="00FE4ADA" w:rsidP="00FE4ADA">
      <w:pPr>
        <w:spacing w:line="240" w:lineRule="auto"/>
        <w:rPr>
          <w:lang w:val="es-419"/>
        </w:rPr>
      </w:pPr>
    </w:p>
    <w:p w14:paraId="6C407D5F" w14:textId="77777777" w:rsidR="00FE4ADA" w:rsidRPr="00DF2967" w:rsidRDefault="00FE4ADA" w:rsidP="00FE4ADA">
      <w:pPr>
        <w:spacing w:line="240" w:lineRule="auto"/>
        <w:rPr>
          <w:lang w:val="es-419"/>
        </w:rPr>
      </w:pPr>
    </w:p>
    <w:tbl>
      <w:tblPr>
        <w:tblW w:w="9753" w:type="dxa"/>
        <w:tblLayout w:type="fixed"/>
        <w:tblCellMar>
          <w:left w:w="0" w:type="dxa"/>
          <w:right w:w="0" w:type="dxa"/>
        </w:tblCellMar>
        <w:tblLook w:val="04A0" w:firstRow="1" w:lastRow="0" w:firstColumn="1" w:lastColumn="0" w:noHBand="0" w:noVBand="1"/>
        <w:tblDescription w:val="SNEID_b62441a9576e40a595c4b9d6c4600602"/>
      </w:tblPr>
      <w:tblGrid>
        <w:gridCol w:w="7473"/>
        <w:gridCol w:w="119"/>
        <w:gridCol w:w="1021"/>
        <w:gridCol w:w="119"/>
        <w:gridCol w:w="1021"/>
      </w:tblGrid>
      <w:tr w:rsidR="00FE4ADA" w14:paraId="52D2ED5E" w14:textId="77777777" w:rsidTr="00251EF9">
        <w:tc>
          <w:tcPr>
            <w:tcW w:w="7473" w:type="dxa"/>
            <w:noWrap/>
            <w:vAlign w:val="bottom"/>
          </w:tcPr>
          <w:p w14:paraId="0116A280" w14:textId="71085EC8" w:rsidR="00FE4ADA" w:rsidRDefault="00BC3645" w:rsidP="00251EF9">
            <w:pPr>
              <w:pStyle w:val="TTitleText"/>
            </w:pPr>
            <w:bookmarkStart w:id="28" w:name="SNEID_b62441a9576e40a595c4b9d6c4600602"/>
            <w:r w:rsidRPr="007F5EDB">
              <w:rPr>
                <w:lang w:val="es-AR"/>
              </w:rPr>
              <w:t>Colaboradores por división</w:t>
            </w:r>
          </w:p>
        </w:tc>
        <w:tc>
          <w:tcPr>
            <w:tcW w:w="119" w:type="dxa"/>
            <w:noWrap/>
            <w:vAlign w:val="bottom"/>
          </w:tcPr>
          <w:p w14:paraId="5C64ABCA" w14:textId="77777777" w:rsidR="00FE4ADA" w:rsidRDefault="00FE4ADA" w:rsidP="00251EF9">
            <w:pPr>
              <w:pStyle w:val="TTitleText"/>
            </w:pPr>
          </w:p>
        </w:tc>
        <w:tc>
          <w:tcPr>
            <w:tcW w:w="1021" w:type="dxa"/>
            <w:noWrap/>
            <w:vAlign w:val="bottom"/>
          </w:tcPr>
          <w:p w14:paraId="1D1F536E" w14:textId="77777777" w:rsidR="00FE4ADA" w:rsidRDefault="00FE4ADA" w:rsidP="00251EF9">
            <w:pPr>
              <w:pStyle w:val="TTitleText"/>
            </w:pPr>
          </w:p>
        </w:tc>
        <w:tc>
          <w:tcPr>
            <w:tcW w:w="119" w:type="dxa"/>
            <w:noWrap/>
            <w:vAlign w:val="bottom"/>
          </w:tcPr>
          <w:p w14:paraId="55D0693E" w14:textId="77777777" w:rsidR="00FE4ADA" w:rsidRDefault="00FE4ADA" w:rsidP="00251EF9">
            <w:pPr>
              <w:pStyle w:val="TTitleText"/>
            </w:pPr>
          </w:p>
        </w:tc>
        <w:tc>
          <w:tcPr>
            <w:tcW w:w="1021" w:type="dxa"/>
            <w:noWrap/>
            <w:vAlign w:val="bottom"/>
          </w:tcPr>
          <w:p w14:paraId="376257E6" w14:textId="77777777" w:rsidR="00FE4ADA" w:rsidRDefault="00FE4ADA" w:rsidP="00251EF9">
            <w:pPr>
              <w:pStyle w:val="TTitleText"/>
            </w:pPr>
          </w:p>
        </w:tc>
      </w:tr>
      <w:tr w:rsidR="00FE4ADA" w14:paraId="4E3EDE45" w14:textId="77777777" w:rsidTr="00251EF9">
        <w:tc>
          <w:tcPr>
            <w:tcW w:w="7473" w:type="dxa"/>
            <w:tcBorders>
              <w:top w:val="single" w:sz="8" w:space="0" w:color="000000"/>
            </w:tcBorders>
            <w:noWrap/>
            <w:vAlign w:val="bottom"/>
          </w:tcPr>
          <w:p w14:paraId="00E90EB0" w14:textId="77777777" w:rsidR="00FE4ADA" w:rsidRDefault="00FE4ADA" w:rsidP="00251EF9">
            <w:pPr>
              <w:pStyle w:val="TDummy"/>
              <w:keepNext/>
            </w:pPr>
          </w:p>
        </w:tc>
        <w:tc>
          <w:tcPr>
            <w:tcW w:w="119" w:type="dxa"/>
            <w:tcBorders>
              <w:top w:val="single" w:sz="8" w:space="0" w:color="000000"/>
            </w:tcBorders>
            <w:noWrap/>
            <w:vAlign w:val="bottom"/>
          </w:tcPr>
          <w:p w14:paraId="07E519C2" w14:textId="77777777" w:rsidR="00FE4ADA" w:rsidRDefault="00FE4ADA" w:rsidP="00251EF9">
            <w:pPr>
              <w:pStyle w:val="TDummy"/>
              <w:keepNext/>
            </w:pPr>
          </w:p>
        </w:tc>
        <w:tc>
          <w:tcPr>
            <w:tcW w:w="1021" w:type="dxa"/>
            <w:tcBorders>
              <w:top w:val="single" w:sz="8" w:space="0" w:color="000000"/>
            </w:tcBorders>
            <w:noWrap/>
            <w:vAlign w:val="bottom"/>
          </w:tcPr>
          <w:p w14:paraId="7B19D435" w14:textId="77777777" w:rsidR="00FE4ADA" w:rsidRDefault="00FE4ADA" w:rsidP="00251EF9">
            <w:pPr>
              <w:pStyle w:val="TDummy"/>
              <w:keepNext/>
            </w:pPr>
          </w:p>
        </w:tc>
        <w:tc>
          <w:tcPr>
            <w:tcW w:w="119" w:type="dxa"/>
            <w:tcBorders>
              <w:top w:val="single" w:sz="8" w:space="0" w:color="000000"/>
            </w:tcBorders>
            <w:noWrap/>
            <w:vAlign w:val="bottom"/>
          </w:tcPr>
          <w:p w14:paraId="28EEEB74" w14:textId="77777777" w:rsidR="00FE4ADA" w:rsidRDefault="00FE4ADA" w:rsidP="00251EF9">
            <w:pPr>
              <w:pStyle w:val="TDummy"/>
              <w:keepNext/>
            </w:pPr>
          </w:p>
        </w:tc>
        <w:tc>
          <w:tcPr>
            <w:tcW w:w="1021" w:type="dxa"/>
            <w:tcBorders>
              <w:top w:val="single" w:sz="8" w:space="0" w:color="000000"/>
            </w:tcBorders>
            <w:noWrap/>
            <w:vAlign w:val="bottom"/>
          </w:tcPr>
          <w:p w14:paraId="70CB9C7A" w14:textId="77777777" w:rsidR="00FE4ADA" w:rsidRDefault="00FE4ADA" w:rsidP="00251EF9">
            <w:pPr>
              <w:pStyle w:val="TDummy"/>
              <w:keepNext/>
            </w:pPr>
          </w:p>
        </w:tc>
      </w:tr>
      <w:tr w:rsidR="00FE4ADA" w14:paraId="0DFD6146" w14:textId="77777777" w:rsidTr="00251EF9">
        <w:tc>
          <w:tcPr>
            <w:tcW w:w="7473" w:type="dxa"/>
            <w:tcBorders>
              <w:bottom w:val="single" w:sz="4" w:space="0" w:color="000000"/>
            </w:tcBorders>
            <w:shd w:val="clear" w:color="000000" w:fill="FFFFFF"/>
            <w:noWrap/>
            <w:vAlign w:val="bottom"/>
          </w:tcPr>
          <w:p w14:paraId="5CE1D0E9" w14:textId="77777777" w:rsidR="00FE4ADA" w:rsidRDefault="00FE4ADA" w:rsidP="00251EF9">
            <w:pPr>
              <w:pStyle w:val="THeadsingleText"/>
            </w:pPr>
            <w:bookmarkStart w:id="29" w:name="RANGE!B53:F53"/>
            <w:bookmarkEnd w:id="29"/>
          </w:p>
        </w:tc>
        <w:tc>
          <w:tcPr>
            <w:tcW w:w="119" w:type="dxa"/>
            <w:noWrap/>
            <w:vAlign w:val="bottom"/>
          </w:tcPr>
          <w:p w14:paraId="5E185E4C" w14:textId="77777777" w:rsidR="00FE4ADA" w:rsidRDefault="00FE4ADA" w:rsidP="00251EF9">
            <w:pPr>
              <w:pStyle w:val="THeadsingleNumber"/>
            </w:pPr>
          </w:p>
        </w:tc>
        <w:tc>
          <w:tcPr>
            <w:tcW w:w="1021" w:type="dxa"/>
            <w:tcBorders>
              <w:bottom w:val="single" w:sz="4" w:space="0" w:color="000000"/>
            </w:tcBorders>
            <w:shd w:val="clear" w:color="000000" w:fill="FFFFFF"/>
            <w:vAlign w:val="bottom"/>
          </w:tcPr>
          <w:p w14:paraId="67E679C6" w14:textId="77777777" w:rsidR="00FE4ADA" w:rsidRDefault="00FE4ADA" w:rsidP="00251EF9">
            <w:pPr>
              <w:pStyle w:val="THeadsingleNumber"/>
            </w:pPr>
            <w:r>
              <w:t>31 de diciembre de 2022</w:t>
            </w:r>
          </w:p>
        </w:tc>
        <w:tc>
          <w:tcPr>
            <w:tcW w:w="119" w:type="dxa"/>
            <w:vAlign w:val="bottom"/>
          </w:tcPr>
          <w:p w14:paraId="0FDA9DEA" w14:textId="77777777" w:rsidR="00FE4ADA" w:rsidRDefault="00FE4ADA" w:rsidP="00251EF9">
            <w:pPr>
              <w:pStyle w:val="THeadsingleNumber"/>
            </w:pPr>
          </w:p>
        </w:tc>
        <w:tc>
          <w:tcPr>
            <w:tcW w:w="1021" w:type="dxa"/>
            <w:tcBorders>
              <w:bottom w:val="single" w:sz="4" w:space="0" w:color="000000"/>
            </w:tcBorders>
            <w:shd w:val="clear" w:color="000000" w:fill="FFFFFF"/>
            <w:vAlign w:val="bottom"/>
          </w:tcPr>
          <w:p w14:paraId="50E8CC95" w14:textId="77777777" w:rsidR="00FE4ADA" w:rsidRDefault="00FE4ADA" w:rsidP="00251EF9">
            <w:pPr>
              <w:pStyle w:val="THeadsingleNumberbold"/>
            </w:pPr>
            <w:bookmarkStart w:id="30" w:name="RANGE!F53:F62"/>
            <w:bookmarkEnd w:id="30"/>
            <w:r>
              <w:t>31 de diciembre de 2023</w:t>
            </w:r>
          </w:p>
        </w:tc>
      </w:tr>
      <w:tr w:rsidR="00FE4ADA" w14:paraId="69B63193" w14:textId="77777777" w:rsidTr="00251EF9">
        <w:tc>
          <w:tcPr>
            <w:tcW w:w="7473" w:type="dxa"/>
            <w:tcBorders>
              <w:top w:val="single" w:sz="4" w:space="0" w:color="000000"/>
              <w:bottom w:val="single" w:sz="4" w:space="0" w:color="A59C94"/>
            </w:tcBorders>
            <w:noWrap/>
            <w:vAlign w:val="bottom"/>
          </w:tcPr>
          <w:p w14:paraId="4C89788B" w14:textId="7B54EA92" w:rsidR="00FE4ADA" w:rsidRDefault="00BC3645" w:rsidP="00251EF9">
            <w:pPr>
              <w:pStyle w:val="TBodynormalText"/>
            </w:pPr>
            <w:r w:rsidRPr="007F5EDB">
              <w:rPr>
                <w:lang w:val="es-AR"/>
              </w:rPr>
              <w:t xml:space="preserve">Specialty </w:t>
            </w:r>
            <w:proofErr w:type="spellStart"/>
            <w:r w:rsidRPr="007F5EDB">
              <w:rPr>
                <w:lang w:val="es-AR"/>
              </w:rPr>
              <w:t>Additives</w:t>
            </w:r>
            <w:proofErr w:type="spellEnd"/>
          </w:p>
        </w:tc>
        <w:tc>
          <w:tcPr>
            <w:tcW w:w="119" w:type="dxa"/>
            <w:noWrap/>
            <w:vAlign w:val="bottom"/>
          </w:tcPr>
          <w:p w14:paraId="50E25C97" w14:textId="77777777" w:rsidR="00FE4ADA" w:rsidRDefault="00FE4ADA" w:rsidP="00251EF9">
            <w:pPr>
              <w:pStyle w:val="TBodynormalNumber"/>
              <w:keepNext/>
            </w:pPr>
          </w:p>
        </w:tc>
        <w:tc>
          <w:tcPr>
            <w:tcW w:w="1021" w:type="dxa"/>
            <w:tcBorders>
              <w:top w:val="single" w:sz="4" w:space="0" w:color="000000"/>
              <w:bottom w:val="single" w:sz="4" w:space="0" w:color="A59C94"/>
            </w:tcBorders>
            <w:noWrap/>
            <w:vAlign w:val="bottom"/>
          </w:tcPr>
          <w:p w14:paraId="1706DC82" w14:textId="77777777" w:rsidR="00FE4ADA" w:rsidRDefault="00FE4ADA" w:rsidP="00251EF9">
            <w:pPr>
              <w:pStyle w:val="TBodynormalNumber"/>
              <w:keepNext/>
            </w:pPr>
            <w:r>
              <w:t>3,824</w:t>
            </w:r>
          </w:p>
        </w:tc>
        <w:tc>
          <w:tcPr>
            <w:tcW w:w="119" w:type="dxa"/>
            <w:noWrap/>
            <w:vAlign w:val="bottom"/>
          </w:tcPr>
          <w:p w14:paraId="7D461DEC" w14:textId="77777777" w:rsidR="00FE4ADA" w:rsidRDefault="00FE4ADA" w:rsidP="00251EF9">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05F6D781" w14:textId="77777777" w:rsidR="00FE4ADA" w:rsidRDefault="00FE4ADA" w:rsidP="00251EF9">
            <w:pPr>
              <w:pStyle w:val="TBodynormalNumber"/>
              <w:keepNext/>
            </w:pPr>
            <w:r>
              <w:t>3,492</w:t>
            </w:r>
          </w:p>
        </w:tc>
      </w:tr>
      <w:tr w:rsidR="00FE4ADA" w14:paraId="04ECC918" w14:textId="77777777" w:rsidTr="00251EF9">
        <w:tc>
          <w:tcPr>
            <w:tcW w:w="7473" w:type="dxa"/>
            <w:tcBorders>
              <w:top w:val="single" w:sz="4" w:space="0" w:color="A59C94"/>
              <w:bottom w:val="single" w:sz="4" w:space="0" w:color="A59C94"/>
            </w:tcBorders>
            <w:noWrap/>
            <w:vAlign w:val="bottom"/>
          </w:tcPr>
          <w:p w14:paraId="0D98B9B5" w14:textId="6472720C" w:rsidR="00FE4ADA" w:rsidRDefault="00BC3645" w:rsidP="00251EF9">
            <w:pPr>
              <w:pStyle w:val="TBodynormalText"/>
            </w:pPr>
            <w:proofErr w:type="spellStart"/>
            <w:r w:rsidRPr="007F5EDB">
              <w:rPr>
                <w:lang w:val="es-AR"/>
              </w:rPr>
              <w:t>Nutrition</w:t>
            </w:r>
            <w:proofErr w:type="spellEnd"/>
            <w:r w:rsidRPr="007F5EDB">
              <w:rPr>
                <w:lang w:val="es-AR"/>
              </w:rPr>
              <w:t xml:space="preserve"> &amp; Care</w:t>
            </w:r>
          </w:p>
        </w:tc>
        <w:tc>
          <w:tcPr>
            <w:tcW w:w="119" w:type="dxa"/>
            <w:noWrap/>
            <w:vAlign w:val="bottom"/>
          </w:tcPr>
          <w:p w14:paraId="37191E69"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59B06AD3" w14:textId="77777777" w:rsidR="00FE4ADA" w:rsidRDefault="00FE4ADA" w:rsidP="00251EF9">
            <w:pPr>
              <w:pStyle w:val="TBodynormalNumber"/>
              <w:keepNext/>
            </w:pPr>
            <w:r>
              <w:t>5,690</w:t>
            </w:r>
          </w:p>
        </w:tc>
        <w:tc>
          <w:tcPr>
            <w:tcW w:w="119" w:type="dxa"/>
            <w:noWrap/>
            <w:vAlign w:val="bottom"/>
          </w:tcPr>
          <w:p w14:paraId="5FFF01D5"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54F638C5" w14:textId="77777777" w:rsidR="00FE4ADA" w:rsidRDefault="00FE4ADA" w:rsidP="00251EF9">
            <w:pPr>
              <w:pStyle w:val="TBodynormalNumber"/>
              <w:keepNext/>
            </w:pPr>
            <w:r>
              <w:t>5,630</w:t>
            </w:r>
          </w:p>
        </w:tc>
      </w:tr>
      <w:tr w:rsidR="00FE4ADA" w14:paraId="1C2175BA" w14:textId="77777777" w:rsidTr="00251EF9">
        <w:tc>
          <w:tcPr>
            <w:tcW w:w="7473" w:type="dxa"/>
            <w:tcBorders>
              <w:top w:val="single" w:sz="4" w:space="0" w:color="A59C94"/>
              <w:bottom w:val="single" w:sz="4" w:space="0" w:color="A59C94"/>
            </w:tcBorders>
            <w:noWrap/>
            <w:vAlign w:val="bottom"/>
          </w:tcPr>
          <w:p w14:paraId="0AEB43F0" w14:textId="7D804A05" w:rsidR="00FE4ADA" w:rsidRDefault="00BC3645" w:rsidP="00251EF9">
            <w:pPr>
              <w:pStyle w:val="TBodynormalText"/>
            </w:pPr>
            <w:r w:rsidRPr="007F5EDB">
              <w:rPr>
                <w:lang w:val="es-AR"/>
              </w:rPr>
              <w:t xml:space="preserve">Smart </w:t>
            </w:r>
            <w:proofErr w:type="spellStart"/>
            <w:r w:rsidRPr="007F5EDB">
              <w:rPr>
                <w:lang w:val="es-AR"/>
              </w:rPr>
              <w:t>Materials</w:t>
            </w:r>
            <w:proofErr w:type="spellEnd"/>
            <w:r w:rsidRPr="00DF2967">
              <w:rPr>
                <w:vertAlign w:val="superscript"/>
                <w:lang w:val="es-419"/>
              </w:rPr>
              <w:t xml:space="preserve"> a</w:t>
            </w:r>
          </w:p>
        </w:tc>
        <w:tc>
          <w:tcPr>
            <w:tcW w:w="119" w:type="dxa"/>
            <w:noWrap/>
            <w:vAlign w:val="bottom"/>
          </w:tcPr>
          <w:p w14:paraId="7E99F3B9"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7328007B" w14:textId="77777777" w:rsidR="00FE4ADA" w:rsidRDefault="00FE4ADA" w:rsidP="00251EF9">
            <w:pPr>
              <w:pStyle w:val="TBodynormalNumber"/>
              <w:keepNext/>
            </w:pPr>
            <w:r>
              <w:t>8,011</w:t>
            </w:r>
          </w:p>
        </w:tc>
        <w:tc>
          <w:tcPr>
            <w:tcW w:w="119" w:type="dxa"/>
            <w:noWrap/>
            <w:vAlign w:val="bottom"/>
          </w:tcPr>
          <w:p w14:paraId="60A76DAF"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227CE49" w14:textId="77777777" w:rsidR="00FE4ADA" w:rsidRDefault="00FE4ADA" w:rsidP="00251EF9">
            <w:pPr>
              <w:pStyle w:val="TBodynormalNumber"/>
              <w:keepNext/>
            </w:pPr>
            <w:r>
              <w:t>8,103</w:t>
            </w:r>
          </w:p>
        </w:tc>
      </w:tr>
      <w:tr w:rsidR="00FE4ADA" w14:paraId="4C135958" w14:textId="77777777" w:rsidTr="00251EF9">
        <w:tc>
          <w:tcPr>
            <w:tcW w:w="7473" w:type="dxa"/>
            <w:tcBorders>
              <w:top w:val="single" w:sz="4" w:space="0" w:color="A59C94"/>
              <w:bottom w:val="single" w:sz="4" w:space="0" w:color="A59C94"/>
            </w:tcBorders>
            <w:noWrap/>
            <w:vAlign w:val="bottom"/>
          </w:tcPr>
          <w:p w14:paraId="4AAE24AE" w14:textId="036F76AF" w:rsidR="00FE4ADA" w:rsidRDefault="00BC3645" w:rsidP="00251EF9">
            <w:pPr>
              <w:pStyle w:val="TBodynormalText"/>
            </w:pPr>
            <w:r w:rsidRPr="007F5EDB">
              <w:rPr>
                <w:lang w:val="es-AR"/>
              </w:rPr>
              <w:t xml:space="preserve">Performance </w:t>
            </w:r>
            <w:proofErr w:type="spellStart"/>
            <w:r w:rsidRPr="007F5EDB">
              <w:rPr>
                <w:lang w:val="es-AR"/>
              </w:rPr>
              <w:t>Materials</w:t>
            </w:r>
            <w:proofErr w:type="spellEnd"/>
            <w:r w:rsidRPr="00DF2967">
              <w:rPr>
                <w:vertAlign w:val="superscript"/>
                <w:lang w:val="es-419"/>
              </w:rPr>
              <w:t xml:space="preserve"> a</w:t>
            </w:r>
          </w:p>
        </w:tc>
        <w:tc>
          <w:tcPr>
            <w:tcW w:w="119" w:type="dxa"/>
            <w:noWrap/>
            <w:vAlign w:val="bottom"/>
          </w:tcPr>
          <w:p w14:paraId="15C20553"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4F52FA06" w14:textId="77777777" w:rsidR="00FE4ADA" w:rsidRDefault="00FE4ADA" w:rsidP="00251EF9">
            <w:pPr>
              <w:pStyle w:val="TBodynormalNumber"/>
              <w:keepNext/>
            </w:pPr>
            <w:r>
              <w:t>1,951</w:t>
            </w:r>
          </w:p>
        </w:tc>
        <w:tc>
          <w:tcPr>
            <w:tcW w:w="119" w:type="dxa"/>
            <w:noWrap/>
            <w:vAlign w:val="bottom"/>
          </w:tcPr>
          <w:p w14:paraId="3D4E8CD9"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97E446A" w14:textId="77777777" w:rsidR="00FE4ADA" w:rsidRDefault="00FE4ADA" w:rsidP="00251EF9">
            <w:pPr>
              <w:pStyle w:val="TBodynormalNumber"/>
              <w:keepNext/>
            </w:pPr>
            <w:r>
              <w:t>1,738</w:t>
            </w:r>
          </w:p>
        </w:tc>
      </w:tr>
      <w:tr w:rsidR="00FE4ADA" w14:paraId="155BE186" w14:textId="77777777" w:rsidTr="00251EF9">
        <w:tc>
          <w:tcPr>
            <w:tcW w:w="7473" w:type="dxa"/>
            <w:tcBorders>
              <w:top w:val="single" w:sz="4" w:space="0" w:color="A59C94"/>
              <w:bottom w:val="single" w:sz="4" w:space="0" w:color="A59C94"/>
            </w:tcBorders>
            <w:noWrap/>
            <w:vAlign w:val="bottom"/>
          </w:tcPr>
          <w:p w14:paraId="1D575FB6" w14:textId="70960342" w:rsidR="00FE4ADA" w:rsidRDefault="00BC3645" w:rsidP="00251EF9">
            <w:pPr>
              <w:pStyle w:val="TBodynormalText"/>
            </w:pPr>
            <w:proofErr w:type="spellStart"/>
            <w:r w:rsidRPr="007F5EDB">
              <w:rPr>
                <w:lang w:val="es-AR"/>
              </w:rPr>
              <w:t>Technology</w:t>
            </w:r>
            <w:proofErr w:type="spellEnd"/>
            <w:r w:rsidRPr="007F5EDB">
              <w:rPr>
                <w:lang w:val="es-AR"/>
              </w:rPr>
              <w:t xml:space="preserve"> &amp; </w:t>
            </w:r>
            <w:proofErr w:type="spellStart"/>
            <w:r w:rsidRPr="007F5EDB">
              <w:rPr>
                <w:lang w:val="es-AR"/>
              </w:rPr>
              <w:t>Infrastructure</w:t>
            </w:r>
            <w:proofErr w:type="spellEnd"/>
          </w:p>
        </w:tc>
        <w:tc>
          <w:tcPr>
            <w:tcW w:w="119" w:type="dxa"/>
            <w:noWrap/>
            <w:vAlign w:val="bottom"/>
          </w:tcPr>
          <w:p w14:paraId="3BFF7B52" w14:textId="77777777" w:rsidR="00FE4ADA" w:rsidRDefault="00FE4ADA" w:rsidP="00251EF9">
            <w:pPr>
              <w:pStyle w:val="TBodynormalNumber"/>
              <w:keepNext/>
            </w:pPr>
          </w:p>
        </w:tc>
        <w:tc>
          <w:tcPr>
            <w:tcW w:w="1021" w:type="dxa"/>
            <w:tcBorders>
              <w:top w:val="single" w:sz="4" w:space="0" w:color="A59C94"/>
              <w:bottom w:val="single" w:sz="4" w:space="0" w:color="A59C94"/>
            </w:tcBorders>
            <w:noWrap/>
            <w:vAlign w:val="bottom"/>
          </w:tcPr>
          <w:p w14:paraId="532AC717" w14:textId="77777777" w:rsidR="00FE4ADA" w:rsidRDefault="00FE4ADA" w:rsidP="00251EF9">
            <w:pPr>
              <w:pStyle w:val="TBodynormalNumber"/>
              <w:keepNext/>
            </w:pPr>
            <w:r>
              <w:t>8,367</w:t>
            </w:r>
          </w:p>
        </w:tc>
        <w:tc>
          <w:tcPr>
            <w:tcW w:w="119" w:type="dxa"/>
            <w:noWrap/>
            <w:vAlign w:val="bottom"/>
          </w:tcPr>
          <w:p w14:paraId="2B249014"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4B8171F" w14:textId="77777777" w:rsidR="00FE4ADA" w:rsidRDefault="00FE4ADA" w:rsidP="00251EF9">
            <w:pPr>
              <w:pStyle w:val="TBodynormalNumber"/>
              <w:keepNext/>
            </w:pPr>
            <w:r>
              <w:t>8,197</w:t>
            </w:r>
          </w:p>
        </w:tc>
      </w:tr>
      <w:tr w:rsidR="00FE4ADA" w14:paraId="6B9E0D58" w14:textId="77777777" w:rsidTr="00251EF9">
        <w:tc>
          <w:tcPr>
            <w:tcW w:w="7473" w:type="dxa"/>
            <w:tcBorders>
              <w:top w:val="single" w:sz="4" w:space="0" w:color="A59C94"/>
              <w:bottom w:val="single" w:sz="4" w:space="0" w:color="A59C94"/>
            </w:tcBorders>
            <w:noWrap/>
            <w:vAlign w:val="bottom"/>
          </w:tcPr>
          <w:p w14:paraId="00E77C51" w14:textId="77777777" w:rsidR="00FE4ADA" w:rsidRPr="00DF2967" w:rsidRDefault="00FE4ADA" w:rsidP="00251EF9">
            <w:pPr>
              <w:pStyle w:val="TBodynormalText"/>
              <w:rPr>
                <w:lang w:val="es-419"/>
              </w:rPr>
            </w:pPr>
            <w:r w:rsidRPr="00DF2967">
              <w:rPr>
                <w:lang w:val="es-419"/>
              </w:rPr>
              <w:t>Funciones de apoyo, otras actividades, consolidación</w:t>
            </w:r>
          </w:p>
        </w:tc>
        <w:tc>
          <w:tcPr>
            <w:tcW w:w="119" w:type="dxa"/>
            <w:noWrap/>
            <w:vAlign w:val="bottom"/>
          </w:tcPr>
          <w:p w14:paraId="4B98F077" w14:textId="77777777" w:rsidR="00FE4ADA" w:rsidRPr="00DF2967" w:rsidRDefault="00FE4ADA" w:rsidP="00251EF9">
            <w:pPr>
              <w:pStyle w:val="TBodynormalNumber"/>
              <w:keepNext/>
              <w:rPr>
                <w:lang w:val="es-419"/>
              </w:rPr>
            </w:pPr>
          </w:p>
        </w:tc>
        <w:tc>
          <w:tcPr>
            <w:tcW w:w="1021" w:type="dxa"/>
            <w:tcBorders>
              <w:top w:val="single" w:sz="4" w:space="0" w:color="A59C94"/>
              <w:bottom w:val="single" w:sz="4" w:space="0" w:color="A59C94"/>
            </w:tcBorders>
            <w:noWrap/>
            <w:vAlign w:val="bottom"/>
          </w:tcPr>
          <w:p w14:paraId="454DD22F" w14:textId="77777777" w:rsidR="00FE4ADA" w:rsidRDefault="00FE4ADA" w:rsidP="00251EF9">
            <w:pPr>
              <w:pStyle w:val="TBodynormalNumber"/>
              <w:keepNext/>
            </w:pPr>
            <w:r>
              <w:t>6,186</w:t>
            </w:r>
          </w:p>
        </w:tc>
        <w:tc>
          <w:tcPr>
            <w:tcW w:w="119" w:type="dxa"/>
            <w:noWrap/>
            <w:vAlign w:val="bottom"/>
          </w:tcPr>
          <w:p w14:paraId="558528EB" w14:textId="77777777" w:rsidR="00FE4ADA" w:rsidRDefault="00FE4ADA" w:rsidP="00251EF9">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707FA306" w14:textId="77777777" w:rsidR="00FE4ADA" w:rsidRDefault="00FE4ADA" w:rsidP="00251EF9">
            <w:pPr>
              <w:pStyle w:val="TBodynormalNumber"/>
              <w:keepNext/>
            </w:pPr>
            <w:r>
              <w:t>6,249</w:t>
            </w:r>
          </w:p>
        </w:tc>
      </w:tr>
      <w:tr w:rsidR="00FE4ADA" w14:paraId="6DBEDFE8" w14:textId="77777777" w:rsidTr="00251EF9">
        <w:tc>
          <w:tcPr>
            <w:tcW w:w="7473" w:type="dxa"/>
            <w:tcBorders>
              <w:top w:val="single" w:sz="4" w:space="0" w:color="A59C94"/>
              <w:bottom w:val="single" w:sz="16" w:space="0" w:color="991D85"/>
            </w:tcBorders>
            <w:noWrap/>
            <w:vAlign w:val="bottom"/>
          </w:tcPr>
          <w:p w14:paraId="2972E607" w14:textId="77777777" w:rsidR="00FE4ADA" w:rsidRDefault="00FE4ADA" w:rsidP="00251EF9">
            <w:pPr>
              <w:pStyle w:val="TBodytotalText"/>
            </w:pPr>
            <w:bookmarkStart w:id="31" w:name="RANGE!B62:F62"/>
            <w:bookmarkEnd w:id="31"/>
            <w:r>
              <w:t>Grupo Evonik</w:t>
            </w:r>
          </w:p>
        </w:tc>
        <w:tc>
          <w:tcPr>
            <w:tcW w:w="119" w:type="dxa"/>
            <w:tcBorders>
              <w:bottom w:val="single" w:sz="16" w:space="0" w:color="991D85"/>
            </w:tcBorders>
            <w:noWrap/>
            <w:vAlign w:val="bottom"/>
          </w:tcPr>
          <w:p w14:paraId="37EF542A" w14:textId="77777777" w:rsidR="00FE4ADA" w:rsidRDefault="00FE4ADA" w:rsidP="00251EF9">
            <w:pPr>
              <w:pStyle w:val="TBodytotalNumber"/>
            </w:pPr>
          </w:p>
        </w:tc>
        <w:tc>
          <w:tcPr>
            <w:tcW w:w="1021" w:type="dxa"/>
            <w:tcBorders>
              <w:top w:val="single" w:sz="4" w:space="0" w:color="A59C94"/>
              <w:bottom w:val="single" w:sz="16" w:space="0" w:color="991D85"/>
            </w:tcBorders>
            <w:noWrap/>
            <w:vAlign w:val="bottom"/>
          </w:tcPr>
          <w:p w14:paraId="737C9CE1" w14:textId="77777777" w:rsidR="00FE4ADA" w:rsidRDefault="00FE4ADA" w:rsidP="00251EF9">
            <w:pPr>
              <w:pStyle w:val="TBodytotalNumber"/>
            </w:pPr>
            <w:r>
              <w:t>34,029</w:t>
            </w:r>
          </w:p>
        </w:tc>
        <w:tc>
          <w:tcPr>
            <w:tcW w:w="119" w:type="dxa"/>
            <w:tcBorders>
              <w:bottom w:val="single" w:sz="16" w:space="0" w:color="991D85"/>
            </w:tcBorders>
            <w:noWrap/>
            <w:vAlign w:val="bottom"/>
          </w:tcPr>
          <w:p w14:paraId="0E9B6AD6" w14:textId="77777777" w:rsidR="00FE4ADA" w:rsidRDefault="00FE4ADA" w:rsidP="00251EF9">
            <w:pPr>
              <w:pStyle w:val="TBodytotalNumber"/>
            </w:pPr>
          </w:p>
        </w:tc>
        <w:tc>
          <w:tcPr>
            <w:tcW w:w="1021" w:type="dxa"/>
            <w:tcBorders>
              <w:top w:val="single" w:sz="4" w:space="0" w:color="A59C94"/>
              <w:bottom w:val="single" w:sz="16" w:space="0" w:color="991D85"/>
            </w:tcBorders>
            <w:shd w:val="clear" w:color="000000" w:fill="DAD5C9"/>
            <w:noWrap/>
            <w:vAlign w:val="bottom"/>
          </w:tcPr>
          <w:p w14:paraId="7B5E5A65" w14:textId="77777777" w:rsidR="00FE4ADA" w:rsidRDefault="00FE4ADA" w:rsidP="00251EF9">
            <w:pPr>
              <w:pStyle w:val="TBodytotalNumber"/>
            </w:pPr>
            <w:r>
              <w:t>33,409</w:t>
            </w:r>
          </w:p>
        </w:tc>
      </w:tr>
    </w:tbl>
    <w:bookmarkEnd w:id="28"/>
    <w:p w14:paraId="4EA0B400" w14:textId="77777777" w:rsidR="00FE4ADA" w:rsidRPr="00DF2967" w:rsidRDefault="00FE4ADA" w:rsidP="00FE4ADA">
      <w:pPr>
        <w:pStyle w:val="SNEvonikTabellenfu"/>
        <w:rPr>
          <w:lang w:val="es-419"/>
        </w:rPr>
      </w:pPr>
      <w:r w:rsidRPr="00DF2967">
        <w:rPr>
          <w:vertAlign w:val="superscript"/>
          <w:lang w:val="es-419"/>
        </w:rPr>
        <w:t>a</w:t>
      </w:r>
      <w:r w:rsidRPr="00DF2967">
        <w:rPr>
          <w:lang w:val="es-419"/>
        </w:rPr>
        <w:t xml:space="preserve"> Cifras de años anteriores </w:t>
      </w:r>
      <w:proofErr w:type="spellStart"/>
      <w:r w:rsidRPr="00DF2967">
        <w:rPr>
          <w:lang w:val="es-419"/>
        </w:rPr>
        <w:t>reexpresadas</w:t>
      </w:r>
      <w:proofErr w:type="spellEnd"/>
      <w:r w:rsidRPr="00DF2967">
        <w:rPr>
          <w:lang w:val="es-419"/>
        </w:rPr>
        <w:t>.</w:t>
      </w:r>
    </w:p>
    <w:p w14:paraId="0626536C" w14:textId="77777777" w:rsidR="00FE4ADA" w:rsidRPr="00DF2967" w:rsidRDefault="00FE4ADA" w:rsidP="00FE4ADA">
      <w:pPr>
        <w:spacing w:line="240" w:lineRule="auto"/>
        <w:rPr>
          <w:lang w:val="es-419"/>
        </w:rPr>
      </w:pPr>
    </w:p>
    <w:p w14:paraId="4B22F631" w14:textId="77777777" w:rsidR="00FE4ADA" w:rsidRPr="00DF2967" w:rsidRDefault="00FE4ADA" w:rsidP="00FE4ADA">
      <w:pPr>
        <w:spacing w:line="240" w:lineRule="auto"/>
        <w:rPr>
          <w:lang w:val="es-419"/>
        </w:rPr>
      </w:pPr>
    </w:p>
    <w:p w14:paraId="43BC3964" w14:textId="77777777" w:rsidR="00FE4ADA" w:rsidRDefault="00FE4ADA" w:rsidP="00FE4ADA">
      <w:pPr>
        <w:autoSpaceDE w:val="0"/>
        <w:autoSpaceDN w:val="0"/>
        <w:adjustRightInd w:val="0"/>
        <w:spacing w:line="220" w:lineRule="exact"/>
        <w:rPr>
          <w:rFonts w:cs="Lucida Sans Unicode"/>
          <w:sz w:val="18"/>
          <w:szCs w:val="18"/>
          <w:lang w:val="es-419"/>
        </w:rPr>
      </w:pPr>
    </w:p>
    <w:p w14:paraId="26F29715" w14:textId="77777777" w:rsidR="00FE4ADA" w:rsidRDefault="00FE4ADA" w:rsidP="00FE4ADA">
      <w:pPr>
        <w:spacing w:line="220" w:lineRule="exact"/>
        <w:outlineLvl w:val="0"/>
        <w:rPr>
          <w:b/>
          <w:bCs/>
          <w:sz w:val="18"/>
          <w:szCs w:val="18"/>
          <w:lang w:val="es-ES" w:eastAsia="pt-BR"/>
        </w:rPr>
      </w:pPr>
      <w:bookmarkStart w:id="32" w:name="_Hlk131070822"/>
      <w:r>
        <w:rPr>
          <w:b/>
          <w:bCs/>
          <w:sz w:val="18"/>
          <w:szCs w:val="18"/>
          <w:lang w:val="es-ES" w:eastAsia="pt-BR"/>
        </w:rPr>
        <w:t xml:space="preserve">Información de la empresa  </w:t>
      </w:r>
    </w:p>
    <w:p w14:paraId="439ACDBB" w14:textId="1A26CE33" w:rsidR="00FE4ADA" w:rsidRDefault="00FE4ADA" w:rsidP="007B00B8">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24D35541" w14:textId="77777777" w:rsidR="00FE4ADA" w:rsidRDefault="00FE4ADA" w:rsidP="00FE4ADA">
      <w:pPr>
        <w:spacing w:line="220" w:lineRule="exact"/>
        <w:jc w:val="both"/>
        <w:rPr>
          <w:rFonts w:cs="Lucida Sans Unicode"/>
          <w:color w:val="000000"/>
          <w:sz w:val="18"/>
          <w:szCs w:val="18"/>
          <w:lang w:val="es-ES" w:eastAsia="pt-BR"/>
        </w:rPr>
      </w:pPr>
    </w:p>
    <w:p w14:paraId="4BDC253E" w14:textId="77777777" w:rsidR="00FE4ADA" w:rsidRDefault="00FE4ADA" w:rsidP="00FE4ADA">
      <w:pPr>
        <w:spacing w:line="220" w:lineRule="exact"/>
        <w:jc w:val="both"/>
        <w:rPr>
          <w:rFonts w:cs="Lucida Sans Unicode"/>
          <w:color w:val="000000"/>
          <w:sz w:val="18"/>
          <w:szCs w:val="18"/>
          <w:lang w:val="es-ES" w:eastAsia="pt-BR"/>
        </w:rPr>
      </w:pPr>
    </w:p>
    <w:p w14:paraId="231BFD7A" w14:textId="77777777" w:rsidR="00FE4ADA" w:rsidRDefault="00FE4ADA" w:rsidP="00FE4ADA">
      <w:pPr>
        <w:spacing w:line="220" w:lineRule="exact"/>
        <w:jc w:val="both"/>
        <w:rPr>
          <w:rFonts w:cs="Lucida Sans Unicode"/>
          <w:color w:val="000000"/>
          <w:sz w:val="18"/>
          <w:szCs w:val="18"/>
          <w:lang w:val="es-ES" w:eastAsia="pt-BR"/>
        </w:rPr>
      </w:pPr>
    </w:p>
    <w:p w14:paraId="03D7EDF1" w14:textId="77777777" w:rsidR="00FE4ADA" w:rsidRDefault="00FE4ADA" w:rsidP="00FE4ADA">
      <w:pPr>
        <w:spacing w:line="220" w:lineRule="exact"/>
        <w:jc w:val="both"/>
        <w:rPr>
          <w:b/>
          <w:bCs/>
          <w:sz w:val="18"/>
          <w:szCs w:val="18"/>
          <w:lang w:val="es-ES" w:eastAsia="pt-BR"/>
        </w:rPr>
      </w:pPr>
      <w:r>
        <w:rPr>
          <w:b/>
          <w:bCs/>
          <w:sz w:val="18"/>
          <w:szCs w:val="18"/>
          <w:lang w:val="es-ES" w:eastAsia="pt-BR"/>
        </w:rPr>
        <w:t>Nota legal</w:t>
      </w:r>
    </w:p>
    <w:p w14:paraId="0DCFE802" w14:textId="77777777" w:rsidR="00FE4ADA" w:rsidRDefault="00FE4ADA" w:rsidP="00FE4ADA">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C0443B4" w14:textId="77777777" w:rsidR="00FE4ADA" w:rsidRDefault="00FE4ADA" w:rsidP="00FE4ADA">
      <w:pPr>
        <w:spacing w:line="220" w:lineRule="exact"/>
        <w:jc w:val="both"/>
        <w:rPr>
          <w:rFonts w:cs="Lucida Sans Unicode"/>
          <w:b/>
          <w:bCs/>
          <w:color w:val="FF0000"/>
          <w:sz w:val="18"/>
          <w:szCs w:val="18"/>
          <w:lang w:val="es-ES" w:eastAsia="pt-BR"/>
        </w:rPr>
      </w:pPr>
    </w:p>
    <w:p w14:paraId="4AA64C52" w14:textId="77777777" w:rsidR="00FE4ADA" w:rsidRDefault="00FE4ADA" w:rsidP="00FE4ADA">
      <w:pPr>
        <w:outlineLvl w:val="0"/>
        <w:rPr>
          <w:rFonts w:cs="Arial"/>
          <w:b/>
          <w:bCs/>
          <w:kern w:val="28"/>
          <w:sz w:val="24"/>
          <w:szCs w:val="32"/>
          <w:lang w:val="es-ES" w:eastAsia="pt-BR"/>
        </w:rPr>
      </w:pPr>
    </w:p>
    <w:p w14:paraId="68CAD069" w14:textId="77777777" w:rsidR="00FE4ADA" w:rsidRDefault="00FE4ADA" w:rsidP="00FE4ADA">
      <w:pPr>
        <w:spacing w:line="240" w:lineRule="auto"/>
        <w:rPr>
          <w:rFonts w:cs="Lucida Sans Unicode"/>
          <w:b/>
          <w:sz w:val="18"/>
          <w:szCs w:val="18"/>
          <w:lang w:eastAsia="pt-BR"/>
        </w:rPr>
      </w:pPr>
      <w:bookmarkStart w:id="33" w:name="_Hlk29560670"/>
      <w:bookmarkEnd w:id="33"/>
      <w:r>
        <w:rPr>
          <w:rFonts w:cs="Lucida Sans Unicode"/>
          <w:b/>
          <w:sz w:val="18"/>
          <w:szCs w:val="18"/>
          <w:lang w:eastAsia="pt-BR"/>
        </w:rPr>
        <w:t>Evonik Brasil Ltda.</w:t>
      </w:r>
    </w:p>
    <w:p w14:paraId="47AA3831" w14:textId="77777777" w:rsidR="00FE4ADA" w:rsidRDefault="00FE4ADA" w:rsidP="00FE4ADA">
      <w:pPr>
        <w:spacing w:line="240" w:lineRule="auto"/>
        <w:rPr>
          <w:rFonts w:cs="Lucida Sans Unicode"/>
          <w:sz w:val="18"/>
          <w:szCs w:val="18"/>
          <w:lang w:eastAsia="pt-BR"/>
        </w:rPr>
      </w:pPr>
      <w:r>
        <w:rPr>
          <w:rFonts w:cs="Lucida Sans Unicode"/>
          <w:sz w:val="18"/>
          <w:szCs w:val="18"/>
          <w:lang w:eastAsia="pt-BR"/>
        </w:rPr>
        <w:t>Teléfono: (11) 3146-4100</w:t>
      </w:r>
    </w:p>
    <w:p w14:paraId="683A86CA" w14:textId="77777777" w:rsidR="00FE4ADA" w:rsidRDefault="00FE4ADA" w:rsidP="00FE4ADA">
      <w:pPr>
        <w:spacing w:line="240" w:lineRule="auto"/>
        <w:rPr>
          <w:rFonts w:cs="Lucida Sans Unicode"/>
          <w:sz w:val="18"/>
          <w:szCs w:val="18"/>
          <w:lang w:eastAsia="pt-BR"/>
        </w:rPr>
      </w:pPr>
      <w:r>
        <w:rPr>
          <w:rFonts w:cs="Lucida Sans Unicode"/>
          <w:sz w:val="18"/>
          <w:szCs w:val="18"/>
          <w:lang w:eastAsia="pt-BR"/>
        </w:rPr>
        <w:t>www.evonik.com.br</w:t>
      </w:r>
    </w:p>
    <w:p w14:paraId="2851EF2B" w14:textId="77777777" w:rsidR="00FE4ADA" w:rsidRDefault="00FE4ADA" w:rsidP="00FE4ADA">
      <w:pPr>
        <w:spacing w:line="240" w:lineRule="auto"/>
        <w:rPr>
          <w:rFonts w:cs="Lucida Sans Unicode"/>
          <w:sz w:val="18"/>
          <w:szCs w:val="18"/>
          <w:lang w:eastAsia="pt-BR"/>
        </w:rPr>
      </w:pPr>
      <w:r>
        <w:rPr>
          <w:rFonts w:cs="Lucida Sans Unicode"/>
          <w:sz w:val="18"/>
          <w:szCs w:val="18"/>
          <w:lang w:eastAsia="pt-BR"/>
        </w:rPr>
        <w:t>facebook.com/Evonik</w:t>
      </w:r>
    </w:p>
    <w:p w14:paraId="6A50FACB" w14:textId="77777777" w:rsidR="00FE4ADA" w:rsidRDefault="00FE4ADA" w:rsidP="00FE4ADA">
      <w:pPr>
        <w:spacing w:line="240" w:lineRule="auto"/>
        <w:rPr>
          <w:rFonts w:cs="Lucida Sans Unicode"/>
          <w:sz w:val="18"/>
          <w:szCs w:val="18"/>
          <w:lang w:eastAsia="pt-BR"/>
        </w:rPr>
      </w:pPr>
      <w:r>
        <w:rPr>
          <w:rFonts w:cs="Lucida Sans Unicode"/>
          <w:sz w:val="18"/>
          <w:szCs w:val="18"/>
          <w:lang w:eastAsia="pt-BR"/>
        </w:rPr>
        <w:t>instagram.com/Evonik.Brasil</w:t>
      </w:r>
    </w:p>
    <w:p w14:paraId="3FB22419" w14:textId="77777777" w:rsidR="00FE4ADA" w:rsidRPr="00420C4D" w:rsidRDefault="00FE4ADA" w:rsidP="00FE4ADA">
      <w:pPr>
        <w:spacing w:line="240" w:lineRule="auto"/>
        <w:rPr>
          <w:rFonts w:cs="Lucida Sans Unicode"/>
          <w:sz w:val="18"/>
          <w:szCs w:val="18"/>
          <w:lang w:val="en-US" w:eastAsia="pt-BR"/>
        </w:rPr>
      </w:pPr>
      <w:r w:rsidRPr="00420C4D">
        <w:rPr>
          <w:rFonts w:cs="Lucida Sans Unicode"/>
          <w:sz w:val="18"/>
          <w:szCs w:val="18"/>
          <w:lang w:val="en-US" w:eastAsia="pt-BR"/>
        </w:rPr>
        <w:t>youtube.com/</w:t>
      </w:r>
      <w:proofErr w:type="spellStart"/>
      <w:r w:rsidRPr="00420C4D">
        <w:rPr>
          <w:rFonts w:cs="Lucida Sans Unicode"/>
          <w:sz w:val="18"/>
          <w:szCs w:val="18"/>
          <w:lang w:val="en-US" w:eastAsia="pt-BR"/>
        </w:rPr>
        <w:t>EvonikIndustries</w:t>
      </w:r>
      <w:proofErr w:type="spellEnd"/>
    </w:p>
    <w:p w14:paraId="301FB191" w14:textId="77777777" w:rsidR="00FE4ADA" w:rsidRPr="00420C4D" w:rsidRDefault="00FE4ADA" w:rsidP="00FE4ADA">
      <w:pPr>
        <w:spacing w:line="240" w:lineRule="auto"/>
        <w:rPr>
          <w:rFonts w:cs="Lucida Sans Unicode"/>
          <w:sz w:val="18"/>
          <w:szCs w:val="18"/>
          <w:lang w:val="en-US" w:eastAsia="pt-BR"/>
        </w:rPr>
      </w:pPr>
      <w:r w:rsidRPr="00420C4D">
        <w:rPr>
          <w:rFonts w:cs="Lucida Sans Unicode"/>
          <w:sz w:val="18"/>
          <w:szCs w:val="18"/>
          <w:lang w:val="en-US" w:eastAsia="pt-BR"/>
        </w:rPr>
        <w:t>linkedin.com/company/Evonik</w:t>
      </w:r>
    </w:p>
    <w:p w14:paraId="4AEBE363" w14:textId="77777777" w:rsidR="00FE4ADA" w:rsidRPr="00420C4D" w:rsidRDefault="00FE4ADA" w:rsidP="00FE4ADA">
      <w:pPr>
        <w:spacing w:line="220" w:lineRule="exact"/>
        <w:outlineLvl w:val="0"/>
        <w:rPr>
          <w:b/>
          <w:bCs/>
          <w:sz w:val="18"/>
          <w:szCs w:val="18"/>
          <w:lang w:val="en-US" w:eastAsia="pt-BR"/>
        </w:rPr>
      </w:pPr>
    </w:p>
    <w:p w14:paraId="567F3364" w14:textId="77777777" w:rsidR="00FE4ADA" w:rsidRPr="00420C4D" w:rsidRDefault="00FE4ADA" w:rsidP="00FE4ADA">
      <w:pPr>
        <w:spacing w:line="220" w:lineRule="exact"/>
        <w:rPr>
          <w:rFonts w:eastAsia="Lucida Sans Unicode" w:cs="Lucida Sans Unicode"/>
          <w:sz w:val="18"/>
          <w:szCs w:val="18"/>
          <w:bdr w:val="none" w:sz="0" w:space="0" w:color="auto" w:frame="1"/>
          <w:lang w:val="en-US" w:eastAsia="pt-BR"/>
        </w:rPr>
      </w:pPr>
    </w:p>
    <w:p w14:paraId="68E368C7" w14:textId="77777777" w:rsidR="00FE4ADA" w:rsidRDefault="00FE4ADA" w:rsidP="00FE4ADA">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7737983F" w14:textId="77777777" w:rsidR="00FE4ADA" w:rsidRDefault="00FE4ADA" w:rsidP="00FE4ADA">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2AD88FB1" w14:textId="77777777" w:rsidR="00FE4ADA" w:rsidRDefault="00FE4ADA" w:rsidP="00FE4ADA">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510D34DE" w14:textId="77777777" w:rsidR="00FE4ADA" w:rsidRDefault="00FE4ADA" w:rsidP="00FE4ADA">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32"/>
    </w:p>
    <w:p w14:paraId="02B21200" w14:textId="77777777" w:rsidR="00FE4ADA" w:rsidRDefault="00FE4ADA" w:rsidP="00FE4ADA"/>
    <w:p w14:paraId="04694C51" w14:textId="77777777" w:rsidR="00FE4ADA" w:rsidRDefault="00FE4ADA" w:rsidP="00FE4ADA">
      <w:pPr>
        <w:spacing w:line="220" w:lineRule="exact"/>
        <w:outlineLvl w:val="0"/>
        <w:rPr>
          <w:rFonts w:eastAsia="Lucida Sans Unicode" w:cs="Lucida Sans Unicode"/>
          <w:b/>
          <w:sz w:val="18"/>
          <w:szCs w:val="18"/>
          <w:bdr w:val="nil"/>
        </w:rPr>
      </w:pPr>
    </w:p>
    <w:p w14:paraId="577CE82C" w14:textId="56A16963" w:rsidR="00FE4ADA" w:rsidRPr="00FE4ADA" w:rsidRDefault="00FE4ADA" w:rsidP="00FE4ADA">
      <w:pPr>
        <w:rPr>
          <w:sz w:val="18"/>
          <w:szCs w:val="18"/>
        </w:rPr>
      </w:pPr>
    </w:p>
    <w:p w14:paraId="4E0F80F9" w14:textId="77777777" w:rsidR="00FE4ADA" w:rsidRDefault="00FE4ADA"/>
    <w:sectPr w:rsidR="00FE4ADA" w:rsidSect="006129BB">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4167" w14:textId="77777777" w:rsidR="006129BB" w:rsidRDefault="006129BB" w:rsidP="00FD1184">
      <w:r>
        <w:separator/>
      </w:r>
    </w:p>
  </w:endnote>
  <w:endnote w:type="continuationSeparator" w:id="0">
    <w:p w14:paraId="59BE0CC2" w14:textId="77777777" w:rsidR="006129BB" w:rsidRDefault="006129BB" w:rsidP="00FD1184">
      <w:r>
        <w:continuationSeparator/>
      </w:r>
    </w:p>
  </w:endnote>
  <w:endnote w:type="continuationNotice" w:id="1">
    <w:p w14:paraId="6B49BEC7" w14:textId="77777777" w:rsidR="006129BB" w:rsidRDefault="006129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000000000000000"/>
    <w:charset w:val="00"/>
    <w:family w:val="modern"/>
    <w:notTrueType/>
    <w:pitch w:val="variable"/>
    <w:sig w:usb0="20000007" w:usb1="00000001" w:usb2="00000000" w:usb3="00000000" w:csb0="00000193" w:csb1="00000000"/>
  </w:font>
  <w:font w:name="Evonik Prokyon">
    <w:altName w:val="Calibri"/>
    <w:panose1 w:val="000000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Rodap"/>
    </w:pPr>
  </w:p>
  <w:p w14:paraId="2893F790" w14:textId="0E8919C8" w:rsidR="004B3707" w:rsidRDefault="00B13F10">
    <w:pPr>
      <w:pStyle w:val="Rodap"/>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Rodap"/>
    </w:pPr>
  </w:p>
  <w:p w14:paraId="11E9B465" w14:textId="77777777" w:rsidR="004B3707" w:rsidRPr="005225EC" w:rsidRDefault="004B3707"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90CB" w14:textId="77777777" w:rsidR="006129BB" w:rsidRDefault="006129BB" w:rsidP="00FD1184">
      <w:r>
        <w:separator/>
      </w:r>
    </w:p>
  </w:footnote>
  <w:footnote w:type="continuationSeparator" w:id="0">
    <w:p w14:paraId="53A79FF9" w14:textId="77777777" w:rsidR="006129BB" w:rsidRDefault="006129BB" w:rsidP="00FD1184">
      <w:r>
        <w:continuationSeparator/>
      </w:r>
    </w:p>
  </w:footnote>
  <w:footnote w:type="continuationNotice" w:id="1">
    <w:p w14:paraId="7EBA4C35" w14:textId="77777777" w:rsidR="006129BB" w:rsidRDefault="006129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Cabealh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Cabealh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419" w:vendorID="64" w:dllVersion="0" w:nlCheck="1" w:checkStyle="0"/>
  <w:activeWritingStyle w:appName="MSWord" w:lang="es-ES" w:vendorID="64" w:dllVersion="0" w:nlCheck="1" w:checkStyle="0"/>
  <w:activeWritingStyle w:appName="MSWord" w:lang="es-A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50F7"/>
    <w:rsid w:val="000060A3"/>
    <w:rsid w:val="0000663A"/>
    <w:rsid w:val="00007459"/>
    <w:rsid w:val="00014019"/>
    <w:rsid w:val="00017DD1"/>
    <w:rsid w:val="00017FD6"/>
    <w:rsid w:val="00022955"/>
    <w:rsid w:val="000261BB"/>
    <w:rsid w:val="00031C52"/>
    <w:rsid w:val="00033332"/>
    <w:rsid w:val="00033B6F"/>
    <w:rsid w:val="00035360"/>
    <w:rsid w:val="00035CA5"/>
    <w:rsid w:val="00036D31"/>
    <w:rsid w:val="00042660"/>
    <w:rsid w:val="00044EB8"/>
    <w:rsid w:val="00046D8D"/>
    <w:rsid w:val="000478DF"/>
    <w:rsid w:val="00047E57"/>
    <w:rsid w:val="00050FC3"/>
    <w:rsid w:val="00052D1E"/>
    <w:rsid w:val="00052FB1"/>
    <w:rsid w:val="00054327"/>
    <w:rsid w:val="0005492A"/>
    <w:rsid w:val="000557A8"/>
    <w:rsid w:val="0006177F"/>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7091"/>
    <w:rsid w:val="000B1B97"/>
    <w:rsid w:val="000B48F4"/>
    <w:rsid w:val="000B4D73"/>
    <w:rsid w:val="000B52A3"/>
    <w:rsid w:val="000C2CC1"/>
    <w:rsid w:val="000C455F"/>
    <w:rsid w:val="000C590A"/>
    <w:rsid w:val="000C6C10"/>
    <w:rsid w:val="000C7337"/>
    <w:rsid w:val="000D13BE"/>
    <w:rsid w:val="000D167D"/>
    <w:rsid w:val="000D1DD8"/>
    <w:rsid w:val="000D39F8"/>
    <w:rsid w:val="000D4283"/>
    <w:rsid w:val="000E0368"/>
    <w:rsid w:val="000E06AB"/>
    <w:rsid w:val="000E0F42"/>
    <w:rsid w:val="000E196A"/>
    <w:rsid w:val="000E2897"/>
    <w:rsid w:val="000E3F88"/>
    <w:rsid w:val="000E67C3"/>
    <w:rsid w:val="000E790D"/>
    <w:rsid w:val="000F061A"/>
    <w:rsid w:val="000F329B"/>
    <w:rsid w:val="000F3FFE"/>
    <w:rsid w:val="000F4B74"/>
    <w:rsid w:val="000F70A3"/>
    <w:rsid w:val="00102E05"/>
    <w:rsid w:val="00103DC4"/>
    <w:rsid w:val="0010786E"/>
    <w:rsid w:val="00110640"/>
    <w:rsid w:val="00110DE8"/>
    <w:rsid w:val="0011155E"/>
    <w:rsid w:val="0011444D"/>
    <w:rsid w:val="00114820"/>
    <w:rsid w:val="00115462"/>
    <w:rsid w:val="00115DC2"/>
    <w:rsid w:val="001174A9"/>
    <w:rsid w:val="001175D3"/>
    <w:rsid w:val="00122E78"/>
    <w:rsid w:val="00123F01"/>
    <w:rsid w:val="00124443"/>
    <w:rsid w:val="0012735D"/>
    <w:rsid w:val="0013017C"/>
    <w:rsid w:val="00130280"/>
    <w:rsid w:val="00130512"/>
    <w:rsid w:val="0013258C"/>
    <w:rsid w:val="00132BCB"/>
    <w:rsid w:val="00133E0B"/>
    <w:rsid w:val="00134299"/>
    <w:rsid w:val="00137117"/>
    <w:rsid w:val="00140BFC"/>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76E"/>
    <w:rsid w:val="00190830"/>
    <w:rsid w:val="00190CD0"/>
    <w:rsid w:val="00191CA1"/>
    <w:rsid w:val="001927A1"/>
    <w:rsid w:val="001927E8"/>
    <w:rsid w:val="0019294A"/>
    <w:rsid w:val="001933F5"/>
    <w:rsid w:val="00193451"/>
    <w:rsid w:val="00193567"/>
    <w:rsid w:val="00196518"/>
    <w:rsid w:val="001971F9"/>
    <w:rsid w:val="00197C9A"/>
    <w:rsid w:val="001A4B0A"/>
    <w:rsid w:val="001A5358"/>
    <w:rsid w:val="001B0B67"/>
    <w:rsid w:val="001B206A"/>
    <w:rsid w:val="001B21E0"/>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6307"/>
    <w:rsid w:val="002274BD"/>
    <w:rsid w:val="00227E70"/>
    <w:rsid w:val="0023190B"/>
    <w:rsid w:val="00232B24"/>
    <w:rsid w:val="0023466C"/>
    <w:rsid w:val="002366B2"/>
    <w:rsid w:val="002406C9"/>
    <w:rsid w:val="00241563"/>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3B92"/>
    <w:rsid w:val="002A4D97"/>
    <w:rsid w:val="002A67F0"/>
    <w:rsid w:val="002A777D"/>
    <w:rsid w:val="002B149D"/>
    <w:rsid w:val="002B60A3"/>
    <w:rsid w:val="002B6293"/>
    <w:rsid w:val="002B62A3"/>
    <w:rsid w:val="002B645E"/>
    <w:rsid w:val="002B6670"/>
    <w:rsid w:val="002B6B13"/>
    <w:rsid w:val="002B6E5B"/>
    <w:rsid w:val="002C029B"/>
    <w:rsid w:val="002C058B"/>
    <w:rsid w:val="002C10C6"/>
    <w:rsid w:val="002C12A0"/>
    <w:rsid w:val="002D206A"/>
    <w:rsid w:val="002D2996"/>
    <w:rsid w:val="002D327B"/>
    <w:rsid w:val="002D464B"/>
    <w:rsid w:val="002E310E"/>
    <w:rsid w:val="002E698A"/>
    <w:rsid w:val="002F03E7"/>
    <w:rsid w:val="002F5BCB"/>
    <w:rsid w:val="002F7C6C"/>
    <w:rsid w:val="003001B0"/>
    <w:rsid w:val="00300C9D"/>
    <w:rsid w:val="00300F28"/>
    <w:rsid w:val="003018AE"/>
    <w:rsid w:val="00301998"/>
    <w:rsid w:val="003067D4"/>
    <w:rsid w:val="00306EE0"/>
    <w:rsid w:val="003168FA"/>
    <w:rsid w:val="00316EC0"/>
    <w:rsid w:val="00317BB5"/>
    <w:rsid w:val="003208DA"/>
    <w:rsid w:val="003221EC"/>
    <w:rsid w:val="003237B0"/>
    <w:rsid w:val="00325E94"/>
    <w:rsid w:val="00326AF6"/>
    <w:rsid w:val="00327BFA"/>
    <w:rsid w:val="00333B8A"/>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474F"/>
    <w:rsid w:val="003603CB"/>
    <w:rsid w:val="003609B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68B6"/>
    <w:rsid w:val="003935F4"/>
    <w:rsid w:val="00395524"/>
    <w:rsid w:val="00397877"/>
    <w:rsid w:val="003A023D"/>
    <w:rsid w:val="003A0E96"/>
    <w:rsid w:val="003A1BB1"/>
    <w:rsid w:val="003A390F"/>
    <w:rsid w:val="003A4CED"/>
    <w:rsid w:val="003A555F"/>
    <w:rsid w:val="003A6890"/>
    <w:rsid w:val="003B0938"/>
    <w:rsid w:val="003B46BD"/>
    <w:rsid w:val="003B5E1A"/>
    <w:rsid w:val="003B7457"/>
    <w:rsid w:val="003C0198"/>
    <w:rsid w:val="003C0B6A"/>
    <w:rsid w:val="003C14F1"/>
    <w:rsid w:val="003C1A93"/>
    <w:rsid w:val="003C30A8"/>
    <w:rsid w:val="003C3519"/>
    <w:rsid w:val="003D3C20"/>
    <w:rsid w:val="003D4604"/>
    <w:rsid w:val="003D5621"/>
    <w:rsid w:val="003D6991"/>
    <w:rsid w:val="003D6E84"/>
    <w:rsid w:val="003E3A9B"/>
    <w:rsid w:val="003E4161"/>
    <w:rsid w:val="003E607B"/>
    <w:rsid w:val="003F01FD"/>
    <w:rsid w:val="003F0B74"/>
    <w:rsid w:val="003F217C"/>
    <w:rsid w:val="003F37FB"/>
    <w:rsid w:val="003F4BE4"/>
    <w:rsid w:val="003F5509"/>
    <w:rsid w:val="003F5690"/>
    <w:rsid w:val="003F67EB"/>
    <w:rsid w:val="003F7122"/>
    <w:rsid w:val="004010A5"/>
    <w:rsid w:val="004016F5"/>
    <w:rsid w:val="00401CCC"/>
    <w:rsid w:val="0040488E"/>
    <w:rsid w:val="00404D8B"/>
    <w:rsid w:val="004050DF"/>
    <w:rsid w:val="004060FC"/>
    <w:rsid w:val="004126CE"/>
    <w:rsid w:val="004140F4"/>
    <w:rsid w:val="004146D3"/>
    <w:rsid w:val="00415145"/>
    <w:rsid w:val="00420C4D"/>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469F"/>
    <w:rsid w:val="00462694"/>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C043A"/>
    <w:rsid w:val="004C0873"/>
    <w:rsid w:val="004C0E1C"/>
    <w:rsid w:val="004C28A5"/>
    <w:rsid w:val="004C520C"/>
    <w:rsid w:val="004C5E53"/>
    <w:rsid w:val="004C681D"/>
    <w:rsid w:val="004D117E"/>
    <w:rsid w:val="004D1330"/>
    <w:rsid w:val="004D2D91"/>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45CC"/>
    <w:rsid w:val="00510ACF"/>
    <w:rsid w:val="00513D7D"/>
    <w:rsid w:val="00515029"/>
    <w:rsid w:val="0051648B"/>
    <w:rsid w:val="00516E89"/>
    <w:rsid w:val="005225B4"/>
    <w:rsid w:val="005225EC"/>
    <w:rsid w:val="00525014"/>
    <w:rsid w:val="00525847"/>
    <w:rsid w:val="00530D61"/>
    <w:rsid w:val="0053273E"/>
    <w:rsid w:val="005337DD"/>
    <w:rsid w:val="005374D9"/>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F12"/>
    <w:rsid w:val="005D3E2C"/>
    <w:rsid w:val="005D6F8C"/>
    <w:rsid w:val="005D774D"/>
    <w:rsid w:val="005E0314"/>
    <w:rsid w:val="005E0397"/>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B7C"/>
    <w:rsid w:val="00611B98"/>
    <w:rsid w:val="00611C97"/>
    <w:rsid w:val="006129BB"/>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5F2F"/>
    <w:rsid w:val="006460A9"/>
    <w:rsid w:val="0064779E"/>
    <w:rsid w:val="00647919"/>
    <w:rsid w:val="00650D2D"/>
    <w:rsid w:val="00651F1E"/>
    <w:rsid w:val="00652A75"/>
    <w:rsid w:val="0065314A"/>
    <w:rsid w:val="0065697E"/>
    <w:rsid w:val="00657E1F"/>
    <w:rsid w:val="00662D9E"/>
    <w:rsid w:val="00665007"/>
    <w:rsid w:val="006651E2"/>
    <w:rsid w:val="00666F8E"/>
    <w:rsid w:val="00671993"/>
    <w:rsid w:val="006729D2"/>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B0C0D"/>
    <w:rsid w:val="006B0EAD"/>
    <w:rsid w:val="006B5A48"/>
    <w:rsid w:val="006B7C22"/>
    <w:rsid w:val="006C35A6"/>
    <w:rsid w:val="006C388A"/>
    <w:rsid w:val="006C6ABC"/>
    <w:rsid w:val="006C6B58"/>
    <w:rsid w:val="006C733A"/>
    <w:rsid w:val="006D12F9"/>
    <w:rsid w:val="006D2890"/>
    <w:rsid w:val="006D5963"/>
    <w:rsid w:val="006D601A"/>
    <w:rsid w:val="006D6547"/>
    <w:rsid w:val="006D6931"/>
    <w:rsid w:val="006E04EA"/>
    <w:rsid w:val="006E0718"/>
    <w:rsid w:val="006E2710"/>
    <w:rsid w:val="006E27F5"/>
    <w:rsid w:val="006E2F15"/>
    <w:rsid w:val="006E383C"/>
    <w:rsid w:val="006E485F"/>
    <w:rsid w:val="006E5B66"/>
    <w:rsid w:val="006F1B3F"/>
    <w:rsid w:val="006F2902"/>
    <w:rsid w:val="006F3AB9"/>
    <w:rsid w:val="006F47B3"/>
    <w:rsid w:val="006F47D3"/>
    <w:rsid w:val="006F5AC8"/>
    <w:rsid w:val="006F765C"/>
    <w:rsid w:val="0070241E"/>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FA6"/>
    <w:rsid w:val="00745612"/>
    <w:rsid w:val="007466C5"/>
    <w:rsid w:val="00751E3D"/>
    <w:rsid w:val="007601B0"/>
    <w:rsid w:val="00763004"/>
    <w:rsid w:val="00770879"/>
    <w:rsid w:val="0077251E"/>
    <w:rsid w:val="00773048"/>
    <w:rsid w:val="00775D2E"/>
    <w:rsid w:val="007767FA"/>
    <w:rsid w:val="00776B8A"/>
    <w:rsid w:val="0078363B"/>
    <w:rsid w:val="00784360"/>
    <w:rsid w:val="00793017"/>
    <w:rsid w:val="00793C37"/>
    <w:rsid w:val="0079627D"/>
    <w:rsid w:val="0079694B"/>
    <w:rsid w:val="007A0939"/>
    <w:rsid w:val="007A2A3D"/>
    <w:rsid w:val="007A2C47"/>
    <w:rsid w:val="007A3375"/>
    <w:rsid w:val="007A7E47"/>
    <w:rsid w:val="007A7F8A"/>
    <w:rsid w:val="007B0012"/>
    <w:rsid w:val="007B00B8"/>
    <w:rsid w:val="007B05D6"/>
    <w:rsid w:val="007B0E41"/>
    <w:rsid w:val="007B3B39"/>
    <w:rsid w:val="007C2596"/>
    <w:rsid w:val="007C3F8C"/>
    <w:rsid w:val="007C42FA"/>
    <w:rsid w:val="007D1E07"/>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4C6F"/>
    <w:rsid w:val="00834C9C"/>
    <w:rsid w:val="00834E44"/>
    <w:rsid w:val="00836B9A"/>
    <w:rsid w:val="00836C1E"/>
    <w:rsid w:val="00841070"/>
    <w:rsid w:val="0084180B"/>
    <w:rsid w:val="008420F0"/>
    <w:rsid w:val="00842C80"/>
    <w:rsid w:val="0084389E"/>
    <w:rsid w:val="00844390"/>
    <w:rsid w:val="00845566"/>
    <w:rsid w:val="00846E59"/>
    <w:rsid w:val="00850864"/>
    <w:rsid w:val="00851A49"/>
    <w:rsid w:val="008522FD"/>
    <w:rsid w:val="008528B3"/>
    <w:rsid w:val="00853FC9"/>
    <w:rsid w:val="00855E52"/>
    <w:rsid w:val="008609B6"/>
    <w:rsid w:val="00860A6B"/>
    <w:rsid w:val="00860CDC"/>
    <w:rsid w:val="00861A39"/>
    <w:rsid w:val="0086407A"/>
    <w:rsid w:val="00864967"/>
    <w:rsid w:val="00866B7D"/>
    <w:rsid w:val="00873FD4"/>
    <w:rsid w:val="008766FF"/>
    <w:rsid w:val="00876A28"/>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544E"/>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7A8"/>
    <w:rsid w:val="00962E3A"/>
    <w:rsid w:val="009645ED"/>
    <w:rsid w:val="00966112"/>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65FE"/>
    <w:rsid w:val="009C7413"/>
    <w:rsid w:val="009C7DFE"/>
    <w:rsid w:val="009D3C54"/>
    <w:rsid w:val="009D4165"/>
    <w:rsid w:val="009D5B52"/>
    <w:rsid w:val="009D779F"/>
    <w:rsid w:val="009E38EF"/>
    <w:rsid w:val="009E3A1C"/>
    <w:rsid w:val="009E4BF1"/>
    <w:rsid w:val="009E5E13"/>
    <w:rsid w:val="009F05F2"/>
    <w:rsid w:val="009F07B1"/>
    <w:rsid w:val="009F10A2"/>
    <w:rsid w:val="009F275D"/>
    <w:rsid w:val="009F4DBE"/>
    <w:rsid w:val="00A01910"/>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40C5F"/>
    <w:rsid w:val="00A41C88"/>
    <w:rsid w:val="00A43D2C"/>
    <w:rsid w:val="00A44514"/>
    <w:rsid w:val="00A470BB"/>
    <w:rsid w:val="00A5345B"/>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6F0A"/>
    <w:rsid w:val="00AA57E4"/>
    <w:rsid w:val="00AB4E21"/>
    <w:rsid w:val="00AB6253"/>
    <w:rsid w:val="00AC20B4"/>
    <w:rsid w:val="00AC6DC8"/>
    <w:rsid w:val="00AD0B76"/>
    <w:rsid w:val="00AD283F"/>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37D8"/>
    <w:rsid w:val="00AF4AEF"/>
    <w:rsid w:val="00B0102F"/>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3810"/>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EB5"/>
    <w:rsid w:val="00BA518B"/>
    <w:rsid w:val="00BA584D"/>
    <w:rsid w:val="00BA6649"/>
    <w:rsid w:val="00BB33FF"/>
    <w:rsid w:val="00BB347B"/>
    <w:rsid w:val="00BB4C6A"/>
    <w:rsid w:val="00BB5424"/>
    <w:rsid w:val="00BB62FD"/>
    <w:rsid w:val="00BC1D7E"/>
    <w:rsid w:val="00BC2653"/>
    <w:rsid w:val="00BC2833"/>
    <w:rsid w:val="00BC3645"/>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5F63"/>
    <w:rsid w:val="00C86A9B"/>
    <w:rsid w:val="00C92897"/>
    <w:rsid w:val="00C930F0"/>
    <w:rsid w:val="00C951F5"/>
    <w:rsid w:val="00C97CD7"/>
    <w:rsid w:val="00CA5E29"/>
    <w:rsid w:val="00CB0F7E"/>
    <w:rsid w:val="00CB1B65"/>
    <w:rsid w:val="00CB3A53"/>
    <w:rsid w:val="00CB57D1"/>
    <w:rsid w:val="00CC10A7"/>
    <w:rsid w:val="00CC223A"/>
    <w:rsid w:val="00CC24EB"/>
    <w:rsid w:val="00CC69A5"/>
    <w:rsid w:val="00CC7E85"/>
    <w:rsid w:val="00CD12B9"/>
    <w:rsid w:val="00CD18DB"/>
    <w:rsid w:val="00CD2BC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A7F"/>
    <w:rsid w:val="00D10621"/>
    <w:rsid w:val="00D129CF"/>
    <w:rsid w:val="00D165D2"/>
    <w:rsid w:val="00D20955"/>
    <w:rsid w:val="00D21F65"/>
    <w:rsid w:val="00D224BE"/>
    <w:rsid w:val="00D2459B"/>
    <w:rsid w:val="00D24AFE"/>
    <w:rsid w:val="00D2642C"/>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2ED7"/>
    <w:rsid w:val="00D63746"/>
    <w:rsid w:val="00D63AED"/>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29D0"/>
    <w:rsid w:val="00E04853"/>
    <w:rsid w:val="00E05BB2"/>
    <w:rsid w:val="00E120CF"/>
    <w:rsid w:val="00E127FB"/>
    <w:rsid w:val="00E13506"/>
    <w:rsid w:val="00E13A98"/>
    <w:rsid w:val="00E13C7A"/>
    <w:rsid w:val="00E172A1"/>
    <w:rsid w:val="00E241F5"/>
    <w:rsid w:val="00E24D67"/>
    <w:rsid w:val="00E31CFE"/>
    <w:rsid w:val="00E32972"/>
    <w:rsid w:val="00E32E6C"/>
    <w:rsid w:val="00E35456"/>
    <w:rsid w:val="00E363F0"/>
    <w:rsid w:val="00E36451"/>
    <w:rsid w:val="00E36542"/>
    <w:rsid w:val="00E40C84"/>
    <w:rsid w:val="00E40CD4"/>
    <w:rsid w:val="00E411BD"/>
    <w:rsid w:val="00E423BF"/>
    <w:rsid w:val="00E42699"/>
    <w:rsid w:val="00E430EA"/>
    <w:rsid w:val="00E43345"/>
    <w:rsid w:val="00E4351A"/>
    <w:rsid w:val="00E44B62"/>
    <w:rsid w:val="00E506FB"/>
    <w:rsid w:val="00E541EA"/>
    <w:rsid w:val="00E55822"/>
    <w:rsid w:val="00E56426"/>
    <w:rsid w:val="00E57CAB"/>
    <w:rsid w:val="00E57DB6"/>
    <w:rsid w:val="00E62725"/>
    <w:rsid w:val="00E63441"/>
    <w:rsid w:val="00E67025"/>
    <w:rsid w:val="00E67709"/>
    <w:rsid w:val="00E73043"/>
    <w:rsid w:val="00E8047E"/>
    <w:rsid w:val="00E83545"/>
    <w:rsid w:val="00E8576B"/>
    <w:rsid w:val="00E8637D"/>
    <w:rsid w:val="00E903C1"/>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169D"/>
    <w:rsid w:val="00EF1E72"/>
    <w:rsid w:val="00EF353E"/>
    <w:rsid w:val="00EF4577"/>
    <w:rsid w:val="00EF4BF6"/>
    <w:rsid w:val="00EF5FFC"/>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B0D"/>
    <w:rsid w:val="00FE4A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0A5"/>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tabs>
        <w:tab w:val="clear" w:pos="643"/>
        <w:tab w:val="num" w:pos="360"/>
      </w:tabs>
      <w:ind w:left="0" w:firstLine="0"/>
    </w:pPr>
  </w:style>
  <w:style w:type="paragraph" w:styleId="Commarcadores3">
    <w:name w:val="List Bullet 3"/>
    <w:basedOn w:val="Normal"/>
    <w:semiHidden/>
    <w:rsid w:val="0017414F"/>
    <w:pPr>
      <w:numPr>
        <w:numId w:val="23"/>
      </w:numPr>
      <w:tabs>
        <w:tab w:val="clear" w:pos="926"/>
        <w:tab w:val="num" w:pos="360"/>
      </w:tabs>
      <w:ind w:left="0" w:firstLine="0"/>
    </w:pPr>
  </w:style>
  <w:style w:type="paragraph" w:styleId="Commarcadores4">
    <w:name w:val="List Bullet 4"/>
    <w:basedOn w:val="Normal"/>
    <w:semiHidden/>
    <w:rsid w:val="0017414F"/>
    <w:pPr>
      <w:numPr>
        <w:numId w:val="24"/>
      </w:numPr>
      <w:tabs>
        <w:tab w:val="clear" w:pos="1209"/>
        <w:tab w:val="num" w:pos="360"/>
      </w:tabs>
      <w:ind w:left="0" w:firstLine="0"/>
    </w:pPr>
  </w:style>
  <w:style w:type="paragraph" w:styleId="Commarcadores5">
    <w:name w:val="List Bullet 5"/>
    <w:basedOn w:val="Normal"/>
    <w:semiHidden/>
    <w:rsid w:val="0017414F"/>
    <w:pPr>
      <w:numPr>
        <w:numId w:val="25"/>
      </w:numPr>
      <w:tabs>
        <w:tab w:val="clear" w:pos="1492"/>
        <w:tab w:val="num" w:pos="360"/>
      </w:tabs>
      <w:ind w:left="0" w:firstLine="0"/>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styleId="MenoPendente">
    <w:name w:val="Unresolved Mention"/>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o">
    <w:name w:val="Revision"/>
    <w:hidden/>
    <w:uiPriority w:val="99"/>
    <w:semiHidden/>
    <w:rsid w:val="007E502D"/>
    <w:rPr>
      <w:rFonts w:ascii="Lucida Sans Unicode" w:hAnsi="Lucida Sans Unicode"/>
      <w:sz w:val="22"/>
      <w:szCs w:val="24"/>
    </w:rPr>
  </w:style>
  <w:style w:type="character" w:customStyle="1" w:styleId="tw4winMark">
    <w:name w:val="tw4winMark"/>
    <w:basedOn w:val="Fontepargpadro"/>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har">
    <w:name w:val="Título Char"/>
    <w:basedOn w:val="Fontepargpadro"/>
    <w:link w:val="Ttulo"/>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65E6A9755BA49A890BCF621E2948D" ma:contentTypeVersion="21" ma:contentTypeDescription="Create a new document." ma:contentTypeScope="" ma:versionID="127f290795cfa01962c08dbb47fad86a">
  <xsd:schema xmlns:xsd="http://www.w3.org/2001/XMLSchema" xmlns:xs="http://www.w3.org/2001/XMLSchema" xmlns:p="http://schemas.microsoft.com/office/2006/metadata/properties" xmlns:ns2="b415715e-9e5f-41fb-99b2-94fa13c59ef2" xmlns:ns3="ed93e86f-58e3-4db4-ae23-bda0ce9f8446" targetNamespace="http://schemas.microsoft.com/office/2006/metadata/properties" ma:root="true" ma:fieldsID="33d18217f67cc052c5f8c1113c1e8fcc" ns2:_="" ns3:_="">
    <xsd:import namespace="b415715e-9e5f-41fb-99b2-94fa13c59ef2"/>
    <xsd:import namespace="ed93e86f-58e3-4db4-ae23-bda0ce9f8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15e-9e5f-41fb-99b2-94fa13c59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3e86f-58e3-4db4-ae23-bda0ce9f8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fa22bc-f675-437d-8941-eb1cea8ebfe8}" ma:internalName="TaxCatchAll" ma:showField="CatchAllData" ma:web="ed93e86f-58e3-4db4-ae23-bda0ce9f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93e86f-58e3-4db4-ae23-bda0ce9f8446" xsi:nil="true"/>
    <lcf76f155ced4ddcb4097134ff3c332f xmlns="b415715e-9e5f-41fb-99b2-94fa13c59e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3A1DCF-5D45-4B0D-94BC-A037B4F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15e-9e5f-41fb-99b2-94fa13c59ef2"/>
    <ds:schemaRef ds:uri="ed93e86f-58e3-4db4-ae23-bda0ce9f8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3.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4.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ed93e86f-58e3-4db4-ae23-bda0ce9f8446"/>
    <ds:schemaRef ds:uri="b415715e-9e5f-41fb-99b2-94fa13c59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2195</Words>
  <Characters>11854</Characters>
  <Application>Microsoft Office Word</Application>
  <DocSecurity>0</DocSecurity>
  <Lines>98</Lines>
  <Paragraphs>28</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14021</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 2023 - Espanhol</dc:subject>
  <dc:creator>Taís Augusto</dc:creator>
  <cp:keywords/>
  <dc:description>Março 2024</dc:description>
  <cp:lastModifiedBy>Taís Augusto</cp:lastModifiedBy>
  <cp:revision>2</cp:revision>
  <cp:lastPrinted>2023-08-08T12:02:00Z</cp:lastPrinted>
  <dcterms:created xsi:type="dcterms:W3CDTF">2024-03-20T18:16:00Z</dcterms:created>
  <dcterms:modified xsi:type="dcterms:W3CDTF">2024-03-20T18:16:00Z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0x01010060B65E6A9755BA49A890BCF621E2948D</vt:lpwstr>
  </property>
  <property fmtid="{D5CDD505-2E9C-101B-9397-08002B2CF9AE}" pid="10" name="MediaServiceImageTags">
    <vt:lpwstr/>
  </property>
</Properties>
</file>