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02EF" w14:textId="63278855" w:rsidR="000E2897" w:rsidRPr="00D3234F" w:rsidRDefault="002952A9" w:rsidP="002952A9">
      <w:pPr>
        <w:pStyle w:val="Ttulo"/>
        <w:rPr>
          <w:lang w:val="pt-BR"/>
        </w:rPr>
      </w:pPr>
      <w:bookmarkStart w:id="0" w:name="_Int_q3zN2eWu"/>
      <w:r w:rsidRPr="00D3234F">
        <w:rPr>
          <w:lang w:val="pt-BR"/>
        </w:rPr>
        <w:t xml:space="preserve">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E2897" w:rsidRPr="00D919B4" w14:paraId="17499013" w14:textId="77777777" w:rsidTr="00251EF9">
        <w:trPr>
          <w:trHeight w:val="851"/>
        </w:trPr>
        <w:tc>
          <w:tcPr>
            <w:tcW w:w="2552" w:type="dxa"/>
            <w:shd w:val="clear" w:color="auto" w:fill="auto"/>
          </w:tcPr>
          <w:p w14:paraId="69648BA0" w14:textId="6C80F6B8" w:rsidR="000E2897" w:rsidRPr="008D6C5B" w:rsidRDefault="000E2897" w:rsidP="00251EF9">
            <w:pPr>
              <w:pStyle w:val="M7"/>
              <w:framePr w:wrap="auto" w:vAnchor="margin" w:hAnchor="text" w:xAlign="left" w:yAlign="inline"/>
              <w:suppressOverlap w:val="0"/>
              <w:rPr>
                <w:b w:val="0"/>
                <w:sz w:val="18"/>
                <w:szCs w:val="18"/>
                <w:lang w:val="pt-BR"/>
              </w:rPr>
            </w:pPr>
            <w:r>
              <w:rPr>
                <w:b w:val="0"/>
                <w:sz w:val="18"/>
                <w:szCs w:val="18"/>
                <w:lang w:val="pt-BR"/>
              </w:rPr>
              <w:t>0</w:t>
            </w:r>
            <w:r w:rsidR="00BB35C3">
              <w:rPr>
                <w:b w:val="0"/>
                <w:sz w:val="18"/>
                <w:szCs w:val="18"/>
                <w:lang w:val="pt-BR"/>
              </w:rPr>
              <w:t>7</w:t>
            </w:r>
            <w:r w:rsidRPr="008D6C5B">
              <w:rPr>
                <w:b w:val="0"/>
                <w:sz w:val="18"/>
                <w:szCs w:val="18"/>
                <w:lang w:val="pt-BR"/>
              </w:rPr>
              <w:t xml:space="preserve"> de</w:t>
            </w:r>
            <w:r>
              <w:rPr>
                <w:b w:val="0"/>
                <w:sz w:val="18"/>
                <w:szCs w:val="18"/>
                <w:lang w:val="pt-BR"/>
              </w:rPr>
              <w:t xml:space="preserve"> mar</w:t>
            </w:r>
            <w:r w:rsidR="00E03136">
              <w:rPr>
                <w:b w:val="0"/>
                <w:sz w:val="18"/>
                <w:szCs w:val="18"/>
                <w:lang w:val="pt-BR"/>
              </w:rPr>
              <w:t>z</w:t>
            </w:r>
            <w:r>
              <w:rPr>
                <w:b w:val="0"/>
                <w:sz w:val="18"/>
                <w:szCs w:val="18"/>
                <w:lang w:val="pt-BR"/>
              </w:rPr>
              <w:t xml:space="preserve">o </w:t>
            </w:r>
            <w:r w:rsidRPr="008D6C5B">
              <w:rPr>
                <w:b w:val="0"/>
                <w:sz w:val="18"/>
                <w:szCs w:val="18"/>
                <w:lang w:val="pt-BR"/>
              </w:rPr>
              <w:t>de 20</w:t>
            </w:r>
            <w:r>
              <w:rPr>
                <w:b w:val="0"/>
                <w:sz w:val="18"/>
                <w:szCs w:val="18"/>
                <w:lang w:val="pt-BR"/>
              </w:rPr>
              <w:t>2</w:t>
            </w:r>
            <w:r w:rsidR="00AD374C">
              <w:rPr>
                <w:b w:val="0"/>
                <w:sz w:val="18"/>
                <w:szCs w:val="18"/>
                <w:lang w:val="pt-BR"/>
              </w:rPr>
              <w:t>4</w:t>
            </w:r>
          </w:p>
          <w:p w14:paraId="514D5C41" w14:textId="77777777" w:rsidR="000E2897" w:rsidRPr="008D6C5B" w:rsidRDefault="000E2897" w:rsidP="00251EF9">
            <w:pPr>
              <w:pStyle w:val="M7"/>
              <w:framePr w:wrap="auto" w:vAnchor="margin" w:hAnchor="text" w:xAlign="left" w:yAlign="inline"/>
              <w:suppressOverlap w:val="0"/>
              <w:rPr>
                <w:lang w:val="pt-BR"/>
              </w:rPr>
            </w:pPr>
          </w:p>
          <w:p w14:paraId="1FD90F5E" w14:textId="77777777" w:rsidR="000E2897" w:rsidRPr="008D6C5B" w:rsidRDefault="000E2897" w:rsidP="00251EF9">
            <w:pPr>
              <w:pStyle w:val="M7"/>
              <w:framePr w:wrap="auto" w:vAnchor="margin" w:hAnchor="text" w:xAlign="left" w:yAlign="inline"/>
              <w:suppressOverlap w:val="0"/>
              <w:rPr>
                <w:lang w:val="pt-BR"/>
              </w:rPr>
            </w:pPr>
          </w:p>
          <w:p w14:paraId="652F563F" w14:textId="77777777" w:rsidR="000E2897" w:rsidRPr="008D6C5B" w:rsidRDefault="000E2897" w:rsidP="00251EF9">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640CAB91" w14:textId="77777777" w:rsidR="000E2897" w:rsidRPr="008D6C5B" w:rsidRDefault="000E2897" w:rsidP="00251EF9">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551EBD1B" w14:textId="77777777" w:rsidR="000E2897" w:rsidRPr="00D919B4" w:rsidRDefault="000E2897" w:rsidP="00251EF9">
            <w:pPr>
              <w:pStyle w:val="M10"/>
              <w:framePr w:wrap="auto" w:vAnchor="margin" w:hAnchor="text" w:xAlign="left" w:yAlign="inline"/>
              <w:suppressOverlap w:val="0"/>
              <w:rPr>
                <w:lang w:val="pt-BR"/>
              </w:rPr>
            </w:pPr>
            <w:r w:rsidRPr="008D6C5B">
              <w:rPr>
                <w:rFonts w:eastAsia="Lucida Sans Unicode" w:cs="Lucida Sans Unicode"/>
                <w:szCs w:val="13"/>
                <w:bdr w:val="nil"/>
                <w:lang w:val="pt-BR"/>
              </w:rPr>
              <w:t xml:space="preserve">regina.barbara@evonik.com </w:t>
            </w:r>
          </w:p>
        </w:tc>
      </w:tr>
      <w:tr w:rsidR="000E2897" w:rsidRPr="00D919B4" w14:paraId="47F9F722" w14:textId="77777777" w:rsidTr="00251EF9">
        <w:trPr>
          <w:trHeight w:val="851"/>
        </w:trPr>
        <w:tc>
          <w:tcPr>
            <w:tcW w:w="2552" w:type="dxa"/>
            <w:shd w:val="clear" w:color="auto" w:fill="auto"/>
          </w:tcPr>
          <w:p w14:paraId="7C28E584" w14:textId="77777777" w:rsidR="000E2897" w:rsidRPr="00D919B4" w:rsidRDefault="000E2897" w:rsidP="00251EF9">
            <w:pPr>
              <w:pStyle w:val="M10"/>
              <w:framePr w:wrap="auto" w:vAnchor="margin" w:hAnchor="text" w:xAlign="left" w:yAlign="inline"/>
              <w:suppressOverlap w:val="0"/>
              <w:rPr>
                <w:lang w:val="pt-BR"/>
              </w:rPr>
            </w:pPr>
          </w:p>
        </w:tc>
      </w:tr>
    </w:tbl>
    <w:bookmarkEnd w:id="0"/>
    <w:p w14:paraId="6D06CAA9" w14:textId="17F178DF" w:rsidR="00E03136" w:rsidRPr="00E03136" w:rsidRDefault="00E03136" w:rsidP="00E03136">
      <w:pPr>
        <w:pStyle w:val="Ttulo"/>
        <w:rPr>
          <w:strike/>
          <w:color w:val="FF0000"/>
          <w:sz w:val="28"/>
          <w:szCs w:val="28"/>
          <w:lang w:val="es-419"/>
        </w:rPr>
      </w:pPr>
      <w:r w:rsidRPr="00E03136">
        <w:rPr>
          <w:sz w:val="28"/>
          <w:szCs w:val="28"/>
          <w:lang w:val="es-419"/>
        </w:rPr>
        <w:t xml:space="preserve">Evonik vende su negocio de superabsorbentes </w:t>
      </w:r>
    </w:p>
    <w:p w14:paraId="38999621" w14:textId="77777777" w:rsidR="00E03136" w:rsidRPr="00E03136" w:rsidRDefault="00E03136" w:rsidP="00E03136">
      <w:pPr>
        <w:pStyle w:val="Ttulo"/>
        <w:rPr>
          <w:sz w:val="28"/>
          <w:szCs w:val="28"/>
          <w:lang w:val="es-419"/>
        </w:rPr>
      </w:pPr>
    </w:p>
    <w:p w14:paraId="772136A5" w14:textId="77777777" w:rsidR="00E03136" w:rsidRPr="001E1A3B" w:rsidRDefault="00E03136" w:rsidP="00E03136">
      <w:pPr>
        <w:numPr>
          <w:ilvl w:val="0"/>
          <w:numId w:val="32"/>
        </w:numPr>
        <w:tabs>
          <w:tab w:val="clear" w:pos="1425"/>
          <w:tab w:val="num" w:pos="340"/>
        </w:tabs>
        <w:ind w:left="340" w:right="85" w:hanging="340"/>
        <w:rPr>
          <w:b/>
          <w:bCs/>
          <w:lang w:val="es-419"/>
        </w:rPr>
      </w:pPr>
      <w:r w:rsidRPr="001E1A3B">
        <w:rPr>
          <w:rFonts w:cs="Lucida Sans Unicode"/>
          <w:sz w:val="24"/>
          <w:lang w:val="es-419"/>
        </w:rPr>
        <w:t xml:space="preserve">ICIG adquiere instalaciones de producción en cinco emplazamientos de Alemania y EE.UU. </w:t>
      </w:r>
    </w:p>
    <w:p w14:paraId="503A3CCB" w14:textId="310AE647" w:rsidR="00E03136" w:rsidRPr="001E1A3B" w:rsidRDefault="00E03136" w:rsidP="00E03136">
      <w:pPr>
        <w:numPr>
          <w:ilvl w:val="0"/>
          <w:numId w:val="32"/>
        </w:numPr>
        <w:tabs>
          <w:tab w:val="clear" w:pos="1425"/>
          <w:tab w:val="num" w:pos="340"/>
        </w:tabs>
        <w:ind w:left="340" w:right="85" w:hanging="340"/>
        <w:rPr>
          <w:b/>
          <w:bCs/>
          <w:lang w:val="es-419"/>
        </w:rPr>
      </w:pPr>
      <w:r w:rsidRPr="001E1A3B">
        <w:rPr>
          <w:rFonts w:cs="Lucida Sans Unicode"/>
          <w:sz w:val="24"/>
          <w:lang w:val="es-419"/>
        </w:rPr>
        <w:t xml:space="preserve">Precio de compra en </w:t>
      </w:r>
      <w:r w:rsidR="00014320">
        <w:rPr>
          <w:rFonts w:cs="Lucida Sans Unicode"/>
          <w:sz w:val="24"/>
          <w:lang w:val="es-419"/>
        </w:rPr>
        <w:t xml:space="preserve">torno a los </w:t>
      </w:r>
      <w:r w:rsidRPr="001E1A3B">
        <w:rPr>
          <w:rFonts w:cs="Lucida Sans Unicode"/>
          <w:sz w:val="24"/>
          <w:lang w:val="es-419"/>
        </w:rPr>
        <w:t xml:space="preserve">tres millones de euros </w:t>
      </w:r>
    </w:p>
    <w:p w14:paraId="653B2477" w14:textId="77777777" w:rsidR="00E03136" w:rsidRPr="001E1A3B" w:rsidRDefault="00E03136" w:rsidP="00E03136">
      <w:pPr>
        <w:numPr>
          <w:ilvl w:val="0"/>
          <w:numId w:val="32"/>
        </w:numPr>
        <w:tabs>
          <w:tab w:val="clear" w:pos="1425"/>
          <w:tab w:val="num" w:pos="340"/>
        </w:tabs>
        <w:ind w:left="340" w:right="85" w:hanging="340"/>
        <w:rPr>
          <w:b/>
          <w:bCs/>
          <w:lang w:val="es-419"/>
        </w:rPr>
      </w:pPr>
      <w:r w:rsidRPr="001E1A3B">
        <w:rPr>
          <w:rFonts w:cs="Lucida Sans Unicode"/>
          <w:sz w:val="24"/>
          <w:lang w:val="es-419"/>
        </w:rPr>
        <w:t>Cierre previsto para mediados de 2024 tras la aprobación de las autoridades de competencia</w:t>
      </w:r>
    </w:p>
    <w:p w14:paraId="28F2D893" w14:textId="77777777" w:rsidR="00E03136" w:rsidRPr="001E1A3B" w:rsidRDefault="00E03136" w:rsidP="00E03136">
      <w:pPr>
        <w:rPr>
          <w:b/>
          <w:bCs/>
          <w:lang w:val="es-419"/>
        </w:rPr>
      </w:pPr>
    </w:p>
    <w:p w14:paraId="076B5619" w14:textId="61003B61" w:rsidR="00E03136" w:rsidRPr="001E1A3B" w:rsidRDefault="00E03136" w:rsidP="00E03136">
      <w:pPr>
        <w:rPr>
          <w:lang w:val="es-419"/>
        </w:rPr>
      </w:pPr>
      <w:bookmarkStart w:id="1" w:name="SNWID_6c28a25f61a34939b81e1e62de012fa8"/>
      <w:r>
        <w:rPr>
          <w:lang w:val="es-419"/>
        </w:rPr>
        <w:br/>
      </w:r>
      <w:r w:rsidRPr="001E1A3B">
        <w:rPr>
          <w:lang w:val="es-419"/>
        </w:rPr>
        <w:t xml:space="preserve">Evonik vende su negocio de superabsorbentes a International Chemical </w:t>
      </w:r>
      <w:proofErr w:type="spellStart"/>
      <w:r w:rsidRPr="001E1A3B">
        <w:rPr>
          <w:lang w:val="es-419"/>
        </w:rPr>
        <w:t>Investors</w:t>
      </w:r>
      <w:proofErr w:type="spellEnd"/>
      <w:r w:rsidRPr="001E1A3B">
        <w:rPr>
          <w:lang w:val="es-419"/>
        </w:rPr>
        <w:t xml:space="preserve"> </w:t>
      </w:r>
      <w:proofErr w:type="spellStart"/>
      <w:r w:rsidRPr="001E1A3B">
        <w:rPr>
          <w:lang w:val="es-419"/>
        </w:rPr>
        <w:t>Group</w:t>
      </w:r>
      <w:proofErr w:type="spellEnd"/>
      <w:r w:rsidRPr="001E1A3B">
        <w:rPr>
          <w:lang w:val="es-419"/>
        </w:rPr>
        <w:t xml:space="preserve"> (ICIG). </w:t>
      </w:r>
      <w:r w:rsidR="00014320">
        <w:rPr>
          <w:lang w:val="es-419"/>
        </w:rPr>
        <w:t>Ya s</w:t>
      </w:r>
      <w:r w:rsidRPr="001E1A3B">
        <w:rPr>
          <w:lang w:val="es-419"/>
        </w:rPr>
        <w:t xml:space="preserve">e ha firmado el acuerdo correspondiente, y los empleados de las plantas alemanas han sido los primeros en ser informados al respecto esta mañana. El precio de compra (valor de empresa) se sitúa en torno a los tres millones de euros. El acuerdo también incluye la asunción de las obligaciones en materia de pensiones por parte de ICIG. El traspaso definitivo de la empresa está previsto para mediados de 2024, previa aprobación de las autoridades de competencia pertinentes. </w:t>
      </w:r>
    </w:p>
    <w:p w14:paraId="3BD2B6A1" w14:textId="77777777" w:rsidR="00E03136" w:rsidRPr="001E1A3B" w:rsidRDefault="00E03136" w:rsidP="00E03136">
      <w:pPr>
        <w:rPr>
          <w:lang w:val="es-419"/>
        </w:rPr>
      </w:pPr>
    </w:p>
    <w:p w14:paraId="1DB50526" w14:textId="0832A886" w:rsidR="00E03136" w:rsidRPr="001E1A3B" w:rsidRDefault="00E03136" w:rsidP="00E03136">
      <w:pPr>
        <w:rPr>
          <w:lang w:val="es-419"/>
        </w:rPr>
      </w:pPr>
      <w:r w:rsidRPr="001E1A3B">
        <w:rPr>
          <w:lang w:val="es-419"/>
        </w:rPr>
        <w:t xml:space="preserve">"Por su perfil, el negocio de superabsorbentes ya no encaja con nuestro carácter de empresa de especialidades químicas", afirma Christian </w:t>
      </w:r>
      <w:proofErr w:type="spellStart"/>
      <w:r w:rsidRPr="001E1A3B">
        <w:rPr>
          <w:lang w:val="es-419"/>
        </w:rPr>
        <w:t>Kullmann</w:t>
      </w:r>
      <w:proofErr w:type="spellEnd"/>
      <w:r w:rsidRPr="001E1A3B">
        <w:rPr>
          <w:lang w:val="es-419"/>
        </w:rPr>
        <w:t xml:space="preserve">, CEO de Evonik. "Hemos buscado y encontrado un inversor fiable para él. Nuestra empresa da así el segundo paso en la desinversión de nuestra división de </w:t>
      </w:r>
      <w:r w:rsidR="00014320">
        <w:rPr>
          <w:lang w:val="es-419"/>
        </w:rPr>
        <w:t xml:space="preserve">Performance </w:t>
      </w:r>
      <w:proofErr w:type="spellStart"/>
      <w:r w:rsidR="00014320">
        <w:rPr>
          <w:lang w:val="es-419"/>
        </w:rPr>
        <w:t>Materials</w:t>
      </w:r>
      <w:proofErr w:type="spellEnd"/>
      <w:r w:rsidRPr="001E1A3B">
        <w:rPr>
          <w:lang w:val="es-419"/>
        </w:rPr>
        <w:t>"</w:t>
      </w:r>
      <w:r>
        <w:rPr>
          <w:lang w:val="es-419"/>
        </w:rPr>
        <w:t>.</w:t>
      </w:r>
      <w:r w:rsidRPr="001E1A3B">
        <w:rPr>
          <w:lang w:val="es-419"/>
        </w:rPr>
        <w:t xml:space="preserve"> </w:t>
      </w:r>
    </w:p>
    <w:p w14:paraId="4493414C" w14:textId="77777777" w:rsidR="00E03136" w:rsidRPr="001E1A3B" w:rsidRDefault="00E03136" w:rsidP="00E03136">
      <w:pPr>
        <w:rPr>
          <w:lang w:val="es-419"/>
        </w:rPr>
      </w:pPr>
    </w:p>
    <w:p w14:paraId="603CC6D1" w14:textId="3C112B22" w:rsidR="00E03136" w:rsidRPr="001E1A3B" w:rsidRDefault="00E03136" w:rsidP="00E03136">
      <w:pPr>
        <w:rPr>
          <w:lang w:val="es-419"/>
        </w:rPr>
      </w:pPr>
      <w:r w:rsidRPr="001E1A3B">
        <w:rPr>
          <w:lang w:val="es-419"/>
        </w:rPr>
        <w:t xml:space="preserve">ICIG es un experimentado inversor químico con sede en </w:t>
      </w:r>
      <w:r w:rsidR="00014320" w:rsidRPr="00014320">
        <w:rPr>
          <w:lang w:val="es-419"/>
        </w:rPr>
        <w:t>Frankfurt</w:t>
      </w:r>
      <w:r w:rsidRPr="001E1A3B">
        <w:rPr>
          <w:lang w:val="es-419"/>
        </w:rPr>
        <w:t xml:space="preserve"> (Alemania). Con más de 6.200 empleados, el grupo genera unas ventas anuales de más de 4.600 millones de euros. "Estamos encantados de poder adquirir otro negocio de Evonik", afirma el Dr. </w:t>
      </w:r>
      <w:proofErr w:type="spellStart"/>
      <w:r w:rsidRPr="001E1A3B">
        <w:rPr>
          <w:lang w:val="es-419"/>
        </w:rPr>
        <w:t>Achim</w:t>
      </w:r>
      <w:proofErr w:type="spellEnd"/>
      <w:r w:rsidRPr="001E1A3B">
        <w:rPr>
          <w:lang w:val="es-419"/>
        </w:rPr>
        <w:t xml:space="preserve"> Riemann, </w:t>
      </w:r>
      <w:proofErr w:type="gramStart"/>
      <w:r w:rsidRPr="001E1A3B">
        <w:rPr>
          <w:lang w:val="es-419"/>
        </w:rPr>
        <w:t>Presidente</w:t>
      </w:r>
      <w:proofErr w:type="gramEnd"/>
      <w:r w:rsidRPr="001E1A3B">
        <w:rPr>
          <w:lang w:val="es-419"/>
        </w:rPr>
        <w:t xml:space="preserve"> del Consejo de Supervisión de ICIG. "Con su alta calidad tecnológica como nueva plataforma dentro de ICIG, el negocio de Superabsorbentes ofrecerá a nuestro Grupo nuevas oportunidades para seguir creciendo". </w:t>
      </w:r>
    </w:p>
    <w:p w14:paraId="16A42156" w14:textId="77777777" w:rsidR="00E03136" w:rsidRPr="001E1A3B" w:rsidRDefault="00E03136" w:rsidP="00E03136">
      <w:pPr>
        <w:rPr>
          <w:lang w:val="es-419"/>
        </w:rPr>
      </w:pPr>
    </w:p>
    <w:p w14:paraId="319F98D0" w14:textId="36F1A356" w:rsidR="00E03136" w:rsidRPr="001E1A3B" w:rsidRDefault="00E03136" w:rsidP="00E03136">
      <w:pPr>
        <w:rPr>
          <w:lang w:val="es-419"/>
        </w:rPr>
      </w:pPr>
      <w:r w:rsidRPr="001E1A3B">
        <w:rPr>
          <w:lang w:val="es-419"/>
        </w:rPr>
        <w:t xml:space="preserve">ICIG cuenta con una amplia experiencia en el desarrollo de centros y unidades de negocio que ya no forman parte de la actividad principal de los grupos empresariales. En abril de 2023, ICIG ya había adquirido a Evonik el emplazamiento de </w:t>
      </w:r>
      <w:proofErr w:type="spellStart"/>
      <w:r w:rsidRPr="001E1A3B">
        <w:rPr>
          <w:lang w:val="es-419"/>
        </w:rPr>
        <w:t>Luelsdorf</w:t>
      </w:r>
      <w:proofErr w:type="spellEnd"/>
      <w:r w:rsidRPr="001E1A3B">
        <w:rPr>
          <w:lang w:val="es-419"/>
        </w:rPr>
        <w:t xml:space="preserve"> y las </w:t>
      </w:r>
      <w:r w:rsidRPr="001E1A3B">
        <w:rPr>
          <w:lang w:val="es-419"/>
        </w:rPr>
        <w:lastRenderedPageBreak/>
        <w:t xml:space="preserve">actividades asociadas en </w:t>
      </w:r>
      <w:proofErr w:type="spellStart"/>
      <w:r w:rsidRPr="001E1A3B">
        <w:rPr>
          <w:lang w:val="es-419"/>
        </w:rPr>
        <w:t>Wesseling</w:t>
      </w:r>
      <w:proofErr w:type="spellEnd"/>
      <w:r w:rsidRPr="001E1A3B">
        <w:rPr>
          <w:lang w:val="es-419"/>
        </w:rPr>
        <w:t xml:space="preserve"> y había anunciado amplias inversiones allí. Al igual que el negocio de superabsorbentes, el emplazamiento pertenecía anteriormente a la división de </w:t>
      </w:r>
      <w:r w:rsidR="00014320">
        <w:rPr>
          <w:lang w:val="es-419"/>
        </w:rPr>
        <w:t xml:space="preserve">Performance </w:t>
      </w:r>
      <w:proofErr w:type="spellStart"/>
      <w:r w:rsidR="00014320">
        <w:rPr>
          <w:lang w:val="es-419"/>
        </w:rPr>
        <w:t>Materials</w:t>
      </w:r>
      <w:proofErr w:type="spellEnd"/>
      <w:r w:rsidRPr="001E1A3B">
        <w:rPr>
          <w:lang w:val="es-419"/>
        </w:rPr>
        <w:t>. Su tercera parte son productos químicos de la cadena C</w:t>
      </w:r>
      <w:r w:rsidRPr="001E1A3B">
        <w:rPr>
          <w:vertAlign w:val="subscript"/>
          <w:lang w:val="es-419"/>
        </w:rPr>
        <w:t>4</w:t>
      </w:r>
      <w:r w:rsidRPr="001E1A3B">
        <w:rPr>
          <w:lang w:val="es-419"/>
        </w:rPr>
        <w:t>, un negocio que también está en venta.</w:t>
      </w:r>
    </w:p>
    <w:p w14:paraId="52B642B8" w14:textId="77777777" w:rsidR="00E03136" w:rsidRPr="001E1A3B" w:rsidRDefault="00E03136" w:rsidP="00E03136">
      <w:pPr>
        <w:rPr>
          <w:lang w:val="es-419"/>
        </w:rPr>
      </w:pPr>
    </w:p>
    <w:p w14:paraId="352A80E9" w14:textId="3B0C3B71" w:rsidR="00E03136" w:rsidRPr="001E1A3B" w:rsidRDefault="00E03136" w:rsidP="00E03136">
      <w:pPr>
        <w:rPr>
          <w:lang w:val="es-419"/>
        </w:rPr>
      </w:pPr>
      <w:r w:rsidRPr="001E1A3B">
        <w:rPr>
          <w:lang w:val="es-419"/>
        </w:rPr>
        <w:t>Los superabsorbentes son polímeros en polvo utilizados como materiales absorbentes en pañales y otros productos de higiene. El negocio que se va a vender generó unas ventas de 892 millones de euros en 2023, con un EBITDA ajustado en el rango medio de dos dígitos de millones de euros. De media, en los últimos cinco años había logrado un EBITDA ajustado de unos 20 millones de euros. ICIG se hace cargo de todo el negocio, con unos 1.000 empleados y plantas de producción de superabsorbe</w:t>
      </w:r>
      <w:r w:rsidR="00014320">
        <w:rPr>
          <w:lang w:val="es-419"/>
        </w:rPr>
        <w:t>ntes</w:t>
      </w:r>
      <w:r w:rsidRPr="001E1A3B">
        <w:rPr>
          <w:lang w:val="es-419"/>
        </w:rPr>
        <w:t xml:space="preserve"> en Krefeld y </w:t>
      </w:r>
      <w:proofErr w:type="spellStart"/>
      <w:r w:rsidRPr="001E1A3B">
        <w:rPr>
          <w:lang w:val="es-419"/>
        </w:rPr>
        <w:t>Rheinmuenster</w:t>
      </w:r>
      <w:proofErr w:type="spellEnd"/>
      <w:r w:rsidRPr="001E1A3B">
        <w:rPr>
          <w:lang w:val="es-419"/>
        </w:rPr>
        <w:t xml:space="preserve"> (Alemania), así como dos emplazamientos en EE.UU., en Greensboro (Carolina del Norte) y </w:t>
      </w:r>
      <w:proofErr w:type="spellStart"/>
      <w:r w:rsidRPr="001E1A3B">
        <w:rPr>
          <w:lang w:val="es-419"/>
        </w:rPr>
        <w:t>Garyville</w:t>
      </w:r>
      <w:proofErr w:type="spellEnd"/>
      <w:r w:rsidRPr="001E1A3B">
        <w:rPr>
          <w:lang w:val="es-419"/>
        </w:rPr>
        <w:t xml:space="preserve"> (Luisiana). El negocio también incluye plantas en </w:t>
      </w:r>
      <w:proofErr w:type="spellStart"/>
      <w:r w:rsidRPr="001E1A3B">
        <w:rPr>
          <w:lang w:val="es-419"/>
        </w:rPr>
        <w:t>Marl</w:t>
      </w:r>
      <w:proofErr w:type="spellEnd"/>
      <w:r w:rsidRPr="001E1A3B">
        <w:rPr>
          <w:lang w:val="es-419"/>
        </w:rPr>
        <w:t xml:space="preserve">, Alemania, para la producción de ácido acrílico, la materia prima más importante para los superabsorbentes. </w:t>
      </w:r>
    </w:p>
    <w:p w14:paraId="3AA02BFC" w14:textId="77777777" w:rsidR="00E03136" w:rsidRPr="001E1A3B" w:rsidRDefault="00E03136" w:rsidP="00E03136">
      <w:pPr>
        <w:rPr>
          <w:lang w:val="es-419"/>
        </w:rPr>
      </w:pPr>
    </w:p>
    <w:p w14:paraId="2DC42502" w14:textId="25CC8DB4" w:rsidR="00E03136" w:rsidRPr="001E1A3B" w:rsidRDefault="00E03136" w:rsidP="00E03136">
      <w:pPr>
        <w:rPr>
          <w:lang w:val="es-419"/>
        </w:rPr>
      </w:pPr>
      <w:r w:rsidRPr="001E1A3B">
        <w:rPr>
          <w:lang w:val="es-419"/>
        </w:rPr>
        <w:t xml:space="preserve">Para Thomas Wessel, </w:t>
      </w:r>
      <w:proofErr w:type="gramStart"/>
      <w:r w:rsidRPr="001E1A3B">
        <w:rPr>
          <w:lang w:val="es-419"/>
        </w:rPr>
        <w:t>Jefe</w:t>
      </w:r>
      <w:proofErr w:type="gramEnd"/>
      <w:r w:rsidRPr="001E1A3B">
        <w:rPr>
          <w:lang w:val="es-419"/>
        </w:rPr>
        <w:t xml:space="preserve"> de Recursos Humanos y Director Laboral de Evonik, elegir a ICIG es una elección lógica. "ICIG ya ha demostrado ser un socio de confianza en </w:t>
      </w:r>
      <w:proofErr w:type="spellStart"/>
      <w:r w:rsidRPr="001E1A3B">
        <w:rPr>
          <w:lang w:val="es-419"/>
        </w:rPr>
        <w:t>Luelsdorf</w:t>
      </w:r>
      <w:proofErr w:type="spellEnd"/>
      <w:r w:rsidRPr="001E1A3B">
        <w:rPr>
          <w:lang w:val="es-419"/>
        </w:rPr>
        <w:t xml:space="preserve"> que también cumple todas sus promesas a los empleados", afirma Wessel. "Sabemos por experiencia que el negocio de superabsorbentes está en buenas manos. Nuestros empleados tendrán un buen nuevo hogar en el Grupo". Martin Albers, </w:t>
      </w:r>
      <w:proofErr w:type="gramStart"/>
      <w:r w:rsidRPr="001E1A3B">
        <w:rPr>
          <w:lang w:val="es-419"/>
        </w:rPr>
        <w:t>Presidente</w:t>
      </w:r>
      <w:proofErr w:type="gramEnd"/>
      <w:r w:rsidRPr="001E1A3B">
        <w:rPr>
          <w:lang w:val="es-419"/>
        </w:rPr>
        <w:t xml:space="preserve"> del Comité General de Empresa, también está satisfecho: "ICIG es un inversor experimentado que respeta los derechos de los empleados y actúa con responsabilidad. Estamos convencidos de que hemos vuelto a encontrar un inversor adecuado para el negocio de superabsorbe</w:t>
      </w:r>
      <w:r w:rsidR="00014320">
        <w:rPr>
          <w:lang w:val="es-419"/>
        </w:rPr>
        <w:t>ntes</w:t>
      </w:r>
      <w:r w:rsidRPr="001E1A3B">
        <w:rPr>
          <w:lang w:val="es-419"/>
        </w:rPr>
        <w:t xml:space="preserve"> que ofrecerá a su plantilla puestos de trabajo seguros y orientados al futuro"</w:t>
      </w:r>
      <w:r>
        <w:rPr>
          <w:lang w:val="es-419"/>
        </w:rPr>
        <w:t>.</w:t>
      </w:r>
    </w:p>
    <w:bookmarkEnd w:id="1"/>
    <w:p w14:paraId="58CC9BFC" w14:textId="77777777" w:rsidR="00E03136" w:rsidRPr="001E1A3B" w:rsidRDefault="00E03136" w:rsidP="00E03136">
      <w:pPr>
        <w:spacing w:line="240" w:lineRule="auto"/>
        <w:rPr>
          <w:lang w:val="es-419"/>
        </w:rPr>
      </w:pPr>
    </w:p>
    <w:p w14:paraId="3C88FFB8" w14:textId="77777777" w:rsidR="00E03136" w:rsidRDefault="00E03136" w:rsidP="00E03136">
      <w:pPr>
        <w:spacing w:line="240" w:lineRule="auto"/>
        <w:rPr>
          <w:lang w:val="es-419"/>
        </w:rPr>
      </w:pPr>
    </w:p>
    <w:p w14:paraId="637657D5" w14:textId="77777777" w:rsidR="00E03136" w:rsidRDefault="00E03136" w:rsidP="00E03136">
      <w:pPr>
        <w:autoSpaceDE w:val="0"/>
        <w:autoSpaceDN w:val="0"/>
        <w:adjustRightInd w:val="0"/>
        <w:spacing w:line="220" w:lineRule="exact"/>
        <w:rPr>
          <w:rFonts w:cs="Lucida Sans Unicode"/>
          <w:sz w:val="18"/>
          <w:szCs w:val="18"/>
          <w:lang w:val="es-419"/>
        </w:rPr>
      </w:pPr>
    </w:p>
    <w:p w14:paraId="4E147D97" w14:textId="77777777" w:rsidR="00E03136" w:rsidRDefault="00E03136" w:rsidP="00E03136">
      <w:pPr>
        <w:spacing w:line="220" w:lineRule="exact"/>
        <w:outlineLvl w:val="0"/>
        <w:rPr>
          <w:b/>
          <w:bCs/>
          <w:sz w:val="18"/>
          <w:szCs w:val="18"/>
          <w:lang w:val="es-ES" w:eastAsia="pt-BR"/>
        </w:rPr>
      </w:pPr>
      <w:bookmarkStart w:id="2" w:name="_Hlk131070822"/>
      <w:r>
        <w:rPr>
          <w:b/>
          <w:bCs/>
          <w:sz w:val="18"/>
          <w:szCs w:val="18"/>
          <w:lang w:val="es-ES" w:eastAsia="pt-BR"/>
        </w:rPr>
        <w:t xml:space="preserve">Información de la empresa  </w:t>
      </w:r>
    </w:p>
    <w:p w14:paraId="0322E353" w14:textId="77777777" w:rsidR="00E03136" w:rsidRDefault="00E03136" w:rsidP="00E03136">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w:t>
      </w:r>
      <w:r>
        <w:rPr>
          <w:rFonts w:cs="Lucida Sans Unicode"/>
          <w:color w:val="000000"/>
          <w:sz w:val="18"/>
          <w:szCs w:val="18"/>
          <w:lang w:val="es-ES" w:eastAsia="pt-BR"/>
        </w:rPr>
        <w:lastRenderedPageBreak/>
        <w:t>Más de 33.000 colaboradores trabajan juntos con un objetivo en común: mejorar la vida de las personas, todos los días.</w:t>
      </w:r>
    </w:p>
    <w:p w14:paraId="6C7795FB" w14:textId="77777777" w:rsidR="00E03136" w:rsidRDefault="00E03136" w:rsidP="00E03136">
      <w:pPr>
        <w:spacing w:line="220" w:lineRule="exact"/>
        <w:jc w:val="both"/>
        <w:rPr>
          <w:rFonts w:cs="Lucida Sans Unicode"/>
          <w:color w:val="000000"/>
          <w:sz w:val="18"/>
          <w:szCs w:val="18"/>
          <w:lang w:val="es-ES" w:eastAsia="pt-BR"/>
        </w:rPr>
      </w:pPr>
    </w:p>
    <w:p w14:paraId="403D0485" w14:textId="77777777" w:rsidR="00E03136" w:rsidRPr="001E1A3B" w:rsidRDefault="00E03136" w:rsidP="00E03136">
      <w:pPr>
        <w:spacing w:line="240" w:lineRule="auto"/>
        <w:rPr>
          <w:lang w:val="es-419"/>
        </w:rPr>
      </w:pPr>
      <w:r w:rsidRPr="001E1A3B">
        <w:rPr>
          <w:b/>
          <w:bCs/>
          <w:color w:val="000000"/>
          <w:sz w:val="18"/>
          <w:szCs w:val="18"/>
          <w:lang w:val="es-419"/>
        </w:rPr>
        <w:t>Información sobre la empresa ICIG</w:t>
      </w:r>
    </w:p>
    <w:p w14:paraId="7FE33BA1" w14:textId="05683250" w:rsidR="00E03136" w:rsidRPr="001E1A3B" w:rsidRDefault="00E03136" w:rsidP="00E03136">
      <w:pPr>
        <w:spacing w:line="220" w:lineRule="exact"/>
        <w:rPr>
          <w:sz w:val="18"/>
          <w:szCs w:val="18"/>
          <w:lang w:val="es-419"/>
        </w:rPr>
      </w:pPr>
      <w:r w:rsidRPr="001E1A3B">
        <w:rPr>
          <w:sz w:val="18"/>
          <w:szCs w:val="18"/>
          <w:lang w:val="es-419"/>
        </w:rPr>
        <w:t xml:space="preserve">International Chemical </w:t>
      </w:r>
      <w:proofErr w:type="spellStart"/>
      <w:r w:rsidRPr="001E1A3B">
        <w:rPr>
          <w:sz w:val="18"/>
          <w:szCs w:val="18"/>
          <w:lang w:val="es-419"/>
        </w:rPr>
        <w:t>Investors</w:t>
      </w:r>
      <w:proofErr w:type="spellEnd"/>
      <w:r w:rsidRPr="001E1A3B">
        <w:rPr>
          <w:sz w:val="18"/>
          <w:szCs w:val="18"/>
          <w:lang w:val="es-419"/>
        </w:rPr>
        <w:t xml:space="preserve"> </w:t>
      </w:r>
      <w:proofErr w:type="spellStart"/>
      <w:r w:rsidRPr="001E1A3B">
        <w:rPr>
          <w:sz w:val="18"/>
          <w:szCs w:val="18"/>
          <w:lang w:val="es-419"/>
        </w:rPr>
        <w:t>Group</w:t>
      </w:r>
      <w:proofErr w:type="spellEnd"/>
      <w:r w:rsidRPr="001E1A3B">
        <w:rPr>
          <w:sz w:val="18"/>
          <w:szCs w:val="18"/>
          <w:lang w:val="es-419"/>
        </w:rPr>
        <w:t xml:space="preserve"> es un grupo industrial privado con una facturación total de más de 4 600 millones de euros. ICIG se centra en varias plataformas principales:</w:t>
      </w:r>
      <w:r>
        <w:rPr>
          <w:sz w:val="18"/>
          <w:szCs w:val="18"/>
          <w:lang w:val="es-419"/>
        </w:rPr>
        <w:t xml:space="preserve"> </w:t>
      </w:r>
      <w:r w:rsidRPr="001E1A3B">
        <w:rPr>
          <w:sz w:val="18"/>
          <w:szCs w:val="18"/>
          <w:lang w:val="es-419"/>
        </w:rPr>
        <w:t xml:space="preserve">Química fina bajo la marca </w:t>
      </w:r>
      <w:proofErr w:type="spellStart"/>
      <w:r w:rsidRPr="001E1A3B">
        <w:rPr>
          <w:sz w:val="18"/>
          <w:szCs w:val="18"/>
          <w:lang w:val="es-419"/>
        </w:rPr>
        <w:t>WeylChem</w:t>
      </w:r>
      <w:proofErr w:type="spellEnd"/>
      <w:r w:rsidRPr="001E1A3B">
        <w:rPr>
          <w:sz w:val="18"/>
          <w:szCs w:val="18"/>
          <w:lang w:val="es-419"/>
        </w:rPr>
        <w:t xml:space="preserve">, Care </w:t>
      </w:r>
      <w:proofErr w:type="spellStart"/>
      <w:r w:rsidRPr="001E1A3B">
        <w:rPr>
          <w:sz w:val="18"/>
          <w:szCs w:val="18"/>
          <w:lang w:val="es-419"/>
        </w:rPr>
        <w:t>Chemicals</w:t>
      </w:r>
      <w:proofErr w:type="spellEnd"/>
      <w:r w:rsidRPr="001E1A3B">
        <w:rPr>
          <w:sz w:val="18"/>
          <w:szCs w:val="18"/>
          <w:lang w:val="es-419"/>
        </w:rPr>
        <w:t xml:space="preserve"> (</w:t>
      </w:r>
      <w:proofErr w:type="spellStart"/>
      <w:r w:rsidRPr="001E1A3B">
        <w:rPr>
          <w:sz w:val="18"/>
          <w:szCs w:val="18"/>
          <w:lang w:val="es-419"/>
        </w:rPr>
        <w:t>Catexel</w:t>
      </w:r>
      <w:proofErr w:type="spellEnd"/>
      <w:r w:rsidRPr="001E1A3B">
        <w:rPr>
          <w:sz w:val="18"/>
          <w:szCs w:val="18"/>
          <w:lang w:val="es-419"/>
        </w:rPr>
        <w:t xml:space="preserve">), </w:t>
      </w:r>
      <w:proofErr w:type="spellStart"/>
      <w:r w:rsidRPr="001E1A3B">
        <w:rPr>
          <w:sz w:val="18"/>
          <w:szCs w:val="18"/>
          <w:lang w:val="es-419"/>
        </w:rPr>
        <w:t>Clorovinilos</w:t>
      </w:r>
      <w:proofErr w:type="spellEnd"/>
      <w:r w:rsidRPr="001E1A3B">
        <w:rPr>
          <w:sz w:val="18"/>
          <w:szCs w:val="18"/>
          <w:lang w:val="es-419"/>
        </w:rPr>
        <w:t xml:space="preserve"> (</w:t>
      </w:r>
      <w:proofErr w:type="spellStart"/>
      <w:r w:rsidRPr="001E1A3B">
        <w:rPr>
          <w:sz w:val="18"/>
          <w:szCs w:val="18"/>
          <w:lang w:val="es-419"/>
        </w:rPr>
        <w:t>Vynova</w:t>
      </w:r>
      <w:proofErr w:type="spellEnd"/>
      <w:r w:rsidRPr="001E1A3B">
        <w:rPr>
          <w:sz w:val="18"/>
          <w:szCs w:val="18"/>
          <w:lang w:val="es-419"/>
        </w:rPr>
        <w:t>), Compuestos (</w:t>
      </w:r>
      <w:proofErr w:type="spellStart"/>
      <w:r w:rsidRPr="001E1A3B">
        <w:rPr>
          <w:sz w:val="18"/>
          <w:szCs w:val="18"/>
          <w:lang w:val="es-419"/>
        </w:rPr>
        <w:t>Benvic</w:t>
      </w:r>
      <w:proofErr w:type="spellEnd"/>
      <w:r w:rsidRPr="001E1A3B">
        <w:rPr>
          <w:sz w:val="18"/>
          <w:szCs w:val="18"/>
          <w:lang w:val="es-419"/>
        </w:rPr>
        <w:t>), Hidrocarburos y disolventes (Grupo HCS) y Empresas con negocios especializados en metales sódicos, servicios de secado industrial, productos de fermentación, filamentos de viscosa, carbón activado y productos químicos para la protección de la madera. En la actualidad, las empresas de ICIG emplean a más de 6.200 personas y gestionan más de 42 centros de producción en Europa y Estados Unidos.</w:t>
      </w:r>
    </w:p>
    <w:p w14:paraId="42C1AC2E" w14:textId="77777777" w:rsidR="00E03136" w:rsidRPr="00E03136" w:rsidRDefault="00E03136" w:rsidP="00E03136">
      <w:pPr>
        <w:spacing w:line="220" w:lineRule="exact"/>
        <w:jc w:val="both"/>
        <w:rPr>
          <w:rFonts w:cs="Lucida Sans Unicode"/>
          <w:color w:val="000000"/>
          <w:sz w:val="18"/>
          <w:szCs w:val="18"/>
          <w:lang w:val="es-419" w:eastAsia="pt-BR"/>
        </w:rPr>
      </w:pPr>
    </w:p>
    <w:p w14:paraId="1AF74425" w14:textId="77777777" w:rsidR="00E03136" w:rsidRDefault="00E03136" w:rsidP="00E03136">
      <w:pPr>
        <w:spacing w:line="220" w:lineRule="exact"/>
        <w:jc w:val="both"/>
        <w:rPr>
          <w:rFonts w:cs="Lucida Sans Unicode"/>
          <w:color w:val="000000"/>
          <w:sz w:val="18"/>
          <w:szCs w:val="18"/>
          <w:lang w:val="es-ES" w:eastAsia="pt-BR"/>
        </w:rPr>
      </w:pPr>
    </w:p>
    <w:p w14:paraId="1AFDF458" w14:textId="77777777" w:rsidR="00E03136" w:rsidRDefault="00E03136" w:rsidP="00E03136">
      <w:pPr>
        <w:spacing w:line="220" w:lineRule="exact"/>
        <w:jc w:val="both"/>
        <w:rPr>
          <w:b/>
          <w:bCs/>
          <w:sz w:val="18"/>
          <w:szCs w:val="18"/>
          <w:lang w:val="es-ES" w:eastAsia="pt-BR"/>
        </w:rPr>
      </w:pPr>
      <w:r>
        <w:rPr>
          <w:b/>
          <w:bCs/>
          <w:sz w:val="18"/>
          <w:szCs w:val="18"/>
          <w:lang w:val="es-ES" w:eastAsia="pt-BR"/>
        </w:rPr>
        <w:t>Nota legal</w:t>
      </w:r>
    </w:p>
    <w:p w14:paraId="1B939097" w14:textId="77777777" w:rsidR="00E03136" w:rsidRDefault="00E03136" w:rsidP="00E03136">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71EA250" w14:textId="77777777" w:rsidR="00E03136" w:rsidRDefault="00E03136" w:rsidP="00E03136">
      <w:pPr>
        <w:spacing w:line="220" w:lineRule="exact"/>
        <w:jc w:val="both"/>
        <w:rPr>
          <w:rFonts w:cs="Lucida Sans Unicode"/>
          <w:b/>
          <w:bCs/>
          <w:color w:val="FF0000"/>
          <w:sz w:val="18"/>
          <w:szCs w:val="18"/>
          <w:lang w:val="es-ES" w:eastAsia="pt-BR"/>
        </w:rPr>
      </w:pPr>
    </w:p>
    <w:p w14:paraId="3D45860B" w14:textId="77777777" w:rsidR="00E03136" w:rsidRDefault="00E03136" w:rsidP="00E03136">
      <w:pPr>
        <w:outlineLvl w:val="0"/>
        <w:rPr>
          <w:rFonts w:cs="Arial"/>
          <w:b/>
          <w:bCs/>
          <w:kern w:val="28"/>
          <w:sz w:val="24"/>
          <w:szCs w:val="32"/>
          <w:lang w:val="es-ES" w:eastAsia="pt-BR"/>
        </w:rPr>
      </w:pPr>
    </w:p>
    <w:p w14:paraId="2F342991" w14:textId="77777777" w:rsidR="00E03136" w:rsidRDefault="00E03136" w:rsidP="00E03136">
      <w:pPr>
        <w:spacing w:line="240" w:lineRule="auto"/>
        <w:rPr>
          <w:rFonts w:cs="Lucida Sans Unicode"/>
          <w:b/>
          <w:sz w:val="18"/>
          <w:szCs w:val="18"/>
          <w:lang w:eastAsia="pt-BR"/>
        </w:rPr>
      </w:pPr>
      <w:bookmarkStart w:id="3" w:name="_Hlk29560670"/>
      <w:bookmarkEnd w:id="3"/>
      <w:r>
        <w:rPr>
          <w:rFonts w:cs="Lucida Sans Unicode"/>
          <w:b/>
          <w:sz w:val="18"/>
          <w:szCs w:val="18"/>
          <w:lang w:eastAsia="pt-BR"/>
        </w:rPr>
        <w:t>Evonik Brasil Ltda.</w:t>
      </w:r>
    </w:p>
    <w:p w14:paraId="7F2B63C8" w14:textId="77777777" w:rsidR="00E03136" w:rsidRDefault="00E03136" w:rsidP="00E03136">
      <w:pPr>
        <w:spacing w:line="240" w:lineRule="auto"/>
        <w:rPr>
          <w:rFonts w:cs="Lucida Sans Unicode"/>
          <w:sz w:val="18"/>
          <w:szCs w:val="18"/>
          <w:lang w:eastAsia="pt-BR"/>
        </w:rPr>
      </w:pPr>
      <w:r>
        <w:rPr>
          <w:rFonts w:cs="Lucida Sans Unicode"/>
          <w:sz w:val="18"/>
          <w:szCs w:val="18"/>
          <w:lang w:eastAsia="pt-BR"/>
        </w:rPr>
        <w:t>Teléfono: (11) 3146-4100</w:t>
      </w:r>
    </w:p>
    <w:p w14:paraId="3E9FF421" w14:textId="77777777" w:rsidR="00E03136" w:rsidRDefault="00E03136" w:rsidP="00E03136">
      <w:pPr>
        <w:spacing w:line="240" w:lineRule="auto"/>
        <w:rPr>
          <w:rFonts w:cs="Lucida Sans Unicode"/>
          <w:sz w:val="18"/>
          <w:szCs w:val="18"/>
          <w:lang w:eastAsia="pt-BR"/>
        </w:rPr>
      </w:pPr>
      <w:r>
        <w:rPr>
          <w:rFonts w:cs="Lucida Sans Unicode"/>
          <w:sz w:val="18"/>
          <w:szCs w:val="18"/>
          <w:lang w:eastAsia="pt-BR"/>
        </w:rPr>
        <w:t>www.evonik.com.br</w:t>
      </w:r>
    </w:p>
    <w:p w14:paraId="1965753A" w14:textId="77777777" w:rsidR="00E03136" w:rsidRDefault="00E03136" w:rsidP="00E03136">
      <w:pPr>
        <w:spacing w:line="240" w:lineRule="auto"/>
        <w:rPr>
          <w:rFonts w:cs="Lucida Sans Unicode"/>
          <w:sz w:val="18"/>
          <w:szCs w:val="18"/>
          <w:lang w:eastAsia="pt-BR"/>
        </w:rPr>
      </w:pPr>
      <w:r>
        <w:rPr>
          <w:rFonts w:cs="Lucida Sans Unicode"/>
          <w:sz w:val="18"/>
          <w:szCs w:val="18"/>
          <w:lang w:eastAsia="pt-BR"/>
        </w:rPr>
        <w:t>facebook.com/Evonik</w:t>
      </w:r>
    </w:p>
    <w:p w14:paraId="644EE060" w14:textId="77777777" w:rsidR="00E03136" w:rsidRDefault="00E03136" w:rsidP="00E03136">
      <w:pPr>
        <w:spacing w:line="240" w:lineRule="auto"/>
        <w:rPr>
          <w:rFonts w:cs="Lucida Sans Unicode"/>
          <w:sz w:val="18"/>
          <w:szCs w:val="18"/>
          <w:lang w:eastAsia="pt-BR"/>
        </w:rPr>
      </w:pPr>
      <w:r>
        <w:rPr>
          <w:rFonts w:cs="Lucida Sans Unicode"/>
          <w:sz w:val="18"/>
          <w:szCs w:val="18"/>
          <w:lang w:eastAsia="pt-BR"/>
        </w:rPr>
        <w:t>instagram.com/Evonik.Brasil</w:t>
      </w:r>
    </w:p>
    <w:p w14:paraId="4102A674" w14:textId="77777777" w:rsidR="00E03136" w:rsidRPr="00014320" w:rsidRDefault="00E03136" w:rsidP="00E03136">
      <w:pPr>
        <w:spacing w:line="240" w:lineRule="auto"/>
        <w:rPr>
          <w:rFonts w:cs="Lucida Sans Unicode"/>
          <w:sz w:val="18"/>
          <w:szCs w:val="18"/>
          <w:lang w:val="en-US" w:eastAsia="pt-BR"/>
        </w:rPr>
      </w:pPr>
      <w:r w:rsidRPr="00014320">
        <w:rPr>
          <w:rFonts w:cs="Lucida Sans Unicode"/>
          <w:sz w:val="18"/>
          <w:szCs w:val="18"/>
          <w:lang w:val="en-US" w:eastAsia="pt-BR"/>
        </w:rPr>
        <w:t>youtube.com/</w:t>
      </w:r>
      <w:proofErr w:type="spellStart"/>
      <w:r w:rsidRPr="00014320">
        <w:rPr>
          <w:rFonts w:cs="Lucida Sans Unicode"/>
          <w:sz w:val="18"/>
          <w:szCs w:val="18"/>
          <w:lang w:val="en-US" w:eastAsia="pt-BR"/>
        </w:rPr>
        <w:t>EvonikIndustries</w:t>
      </w:r>
      <w:proofErr w:type="spellEnd"/>
    </w:p>
    <w:p w14:paraId="1DB89958" w14:textId="77777777" w:rsidR="00E03136" w:rsidRPr="00014320" w:rsidRDefault="00E03136" w:rsidP="00E03136">
      <w:pPr>
        <w:spacing w:line="240" w:lineRule="auto"/>
        <w:rPr>
          <w:rFonts w:cs="Lucida Sans Unicode"/>
          <w:sz w:val="18"/>
          <w:szCs w:val="18"/>
          <w:lang w:val="en-US" w:eastAsia="pt-BR"/>
        </w:rPr>
      </w:pPr>
      <w:r w:rsidRPr="00014320">
        <w:rPr>
          <w:rFonts w:cs="Lucida Sans Unicode"/>
          <w:sz w:val="18"/>
          <w:szCs w:val="18"/>
          <w:lang w:val="en-US" w:eastAsia="pt-BR"/>
        </w:rPr>
        <w:t>linkedin.com/company/Evonik</w:t>
      </w:r>
    </w:p>
    <w:p w14:paraId="4DDF7958" w14:textId="77777777" w:rsidR="00E03136" w:rsidRPr="00014320" w:rsidRDefault="00E03136" w:rsidP="00E03136">
      <w:pPr>
        <w:spacing w:line="220" w:lineRule="exact"/>
        <w:outlineLvl w:val="0"/>
        <w:rPr>
          <w:b/>
          <w:bCs/>
          <w:sz w:val="18"/>
          <w:szCs w:val="18"/>
          <w:lang w:val="en-US" w:eastAsia="pt-BR"/>
        </w:rPr>
      </w:pPr>
    </w:p>
    <w:p w14:paraId="113EFD8A" w14:textId="77777777" w:rsidR="00E03136" w:rsidRPr="00014320" w:rsidRDefault="00E03136" w:rsidP="00E03136">
      <w:pPr>
        <w:spacing w:line="220" w:lineRule="exact"/>
        <w:rPr>
          <w:rFonts w:eastAsia="Lucida Sans Unicode" w:cs="Lucida Sans Unicode"/>
          <w:sz w:val="18"/>
          <w:szCs w:val="18"/>
          <w:bdr w:val="none" w:sz="0" w:space="0" w:color="auto" w:frame="1"/>
          <w:lang w:val="en-US" w:eastAsia="pt-BR"/>
        </w:rPr>
      </w:pPr>
    </w:p>
    <w:p w14:paraId="38913F12" w14:textId="77777777" w:rsidR="00E03136" w:rsidRDefault="00E03136" w:rsidP="00E03136">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72D6843" w14:textId="77777777" w:rsidR="00E03136" w:rsidRDefault="00E03136" w:rsidP="00E03136">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64059A32" w14:textId="77777777" w:rsidR="00E03136" w:rsidRDefault="00E03136" w:rsidP="00E03136">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45F9516C" w14:textId="77777777" w:rsidR="00E03136" w:rsidRDefault="00E03136" w:rsidP="00E03136">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ipervnculo"/>
            <w:rFonts w:cs="Lucida Sans Unicode"/>
            <w:bCs/>
            <w:sz w:val="18"/>
            <w:szCs w:val="18"/>
            <w:lang w:eastAsia="pt-BR"/>
          </w:rPr>
          <w:t>tais@viapublicacomunicacao.com.br</w:t>
        </w:r>
      </w:hyperlink>
      <w:bookmarkEnd w:id="2"/>
    </w:p>
    <w:p w14:paraId="08B56D3C" w14:textId="77777777" w:rsidR="00E03136" w:rsidRDefault="00E03136" w:rsidP="00E03136"/>
    <w:p w14:paraId="15C598F4" w14:textId="77777777" w:rsidR="00E03136" w:rsidRPr="00BB35C3" w:rsidRDefault="00E03136" w:rsidP="00E03136">
      <w:pPr>
        <w:rPr>
          <w:sz w:val="18"/>
          <w:szCs w:val="18"/>
          <w:lang w:val="pt-BR"/>
        </w:rPr>
      </w:pPr>
    </w:p>
    <w:p w14:paraId="2A32504F" w14:textId="77777777" w:rsidR="00E03136" w:rsidRPr="00BB35C3" w:rsidRDefault="00E03136" w:rsidP="00E03136">
      <w:pPr>
        <w:rPr>
          <w:sz w:val="18"/>
          <w:szCs w:val="18"/>
          <w:lang w:val="pt-BR"/>
        </w:rPr>
      </w:pPr>
    </w:p>
    <w:p w14:paraId="706EFDAD" w14:textId="77777777" w:rsidR="00E03136" w:rsidRPr="00BB35C3" w:rsidRDefault="00E03136" w:rsidP="005E71A6">
      <w:pPr>
        <w:pStyle w:val="Ttulo"/>
        <w:rPr>
          <w:strike/>
          <w:color w:val="FF0000"/>
          <w:lang w:val="pt-BR"/>
        </w:rPr>
      </w:pPr>
    </w:p>
    <w:p w14:paraId="45B642EB" w14:textId="77777777" w:rsidR="000B1B97" w:rsidRPr="00BB35C3" w:rsidRDefault="000B1B97" w:rsidP="00C61A56">
      <w:pPr>
        <w:spacing w:line="240" w:lineRule="auto"/>
        <w:rPr>
          <w:rFonts w:cs="Lucida Sans Unicode"/>
          <w:sz w:val="18"/>
          <w:szCs w:val="18"/>
          <w:lang w:val="pt-BR"/>
        </w:rPr>
      </w:pPr>
    </w:p>
    <w:sectPr w:rsidR="000B1B97" w:rsidRPr="00BB35C3" w:rsidSect="005D6B88">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66A2" w14:textId="77777777" w:rsidR="005D6B88" w:rsidRDefault="005D6B88" w:rsidP="00FD1184">
      <w:r>
        <w:separator/>
      </w:r>
    </w:p>
  </w:endnote>
  <w:endnote w:type="continuationSeparator" w:id="0">
    <w:p w14:paraId="64A36B50" w14:textId="77777777" w:rsidR="005D6B88" w:rsidRDefault="005D6B88" w:rsidP="00FD1184">
      <w:r>
        <w:continuationSeparator/>
      </w:r>
    </w:p>
  </w:endnote>
  <w:endnote w:type="continuationNotice" w:id="1">
    <w:p w14:paraId="23722324" w14:textId="77777777" w:rsidR="005D6B88" w:rsidRDefault="005D6B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Piedepgina"/>
    </w:pPr>
  </w:p>
  <w:p w14:paraId="2893F790" w14:textId="0E8919C8" w:rsidR="004B3707" w:rsidRDefault="00B13F10">
    <w:pPr>
      <w:pStyle w:val="Piedepgina"/>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Piedepgina"/>
    </w:pPr>
  </w:p>
  <w:p w14:paraId="11E9B465" w14:textId="77777777" w:rsidR="004B3707" w:rsidRPr="005225EC" w:rsidRDefault="004B3707" w:rsidP="00316EC0">
    <w:pPr>
      <w:pStyle w:val="Piedepgina"/>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54A9" w14:textId="77777777" w:rsidR="005D6B88" w:rsidRDefault="005D6B88" w:rsidP="00FD1184">
      <w:r>
        <w:separator/>
      </w:r>
    </w:p>
  </w:footnote>
  <w:footnote w:type="continuationSeparator" w:id="0">
    <w:p w14:paraId="302CA315" w14:textId="77777777" w:rsidR="005D6B88" w:rsidRDefault="005D6B88" w:rsidP="00FD1184">
      <w:r>
        <w:continuationSeparator/>
      </w:r>
    </w:p>
  </w:footnote>
  <w:footnote w:type="continuationNotice" w:id="1">
    <w:p w14:paraId="321A8310" w14:textId="77777777" w:rsidR="005D6B88" w:rsidRDefault="005D6B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Encabezad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Encabezad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419"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1BF2"/>
    <w:rsid w:val="0000469B"/>
    <w:rsid w:val="000050F7"/>
    <w:rsid w:val="000060A3"/>
    <w:rsid w:val="0000663A"/>
    <w:rsid w:val="00007459"/>
    <w:rsid w:val="00014019"/>
    <w:rsid w:val="00014320"/>
    <w:rsid w:val="00017DD1"/>
    <w:rsid w:val="00017FD6"/>
    <w:rsid w:val="00022955"/>
    <w:rsid w:val="000261BB"/>
    <w:rsid w:val="00031C52"/>
    <w:rsid w:val="00033332"/>
    <w:rsid w:val="00033B6F"/>
    <w:rsid w:val="00035360"/>
    <w:rsid w:val="00035CA5"/>
    <w:rsid w:val="00036D31"/>
    <w:rsid w:val="00042660"/>
    <w:rsid w:val="00044EB8"/>
    <w:rsid w:val="00046D8D"/>
    <w:rsid w:val="000478DF"/>
    <w:rsid w:val="00047E57"/>
    <w:rsid w:val="00050FC3"/>
    <w:rsid w:val="00052D1E"/>
    <w:rsid w:val="00052FB1"/>
    <w:rsid w:val="00054327"/>
    <w:rsid w:val="0005492A"/>
    <w:rsid w:val="000557A8"/>
    <w:rsid w:val="0006177F"/>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67F0"/>
    <w:rsid w:val="002A777D"/>
    <w:rsid w:val="002B149D"/>
    <w:rsid w:val="002B60A3"/>
    <w:rsid w:val="002B6293"/>
    <w:rsid w:val="002B62A3"/>
    <w:rsid w:val="002B645E"/>
    <w:rsid w:val="002B6670"/>
    <w:rsid w:val="002B6B13"/>
    <w:rsid w:val="002B6E5B"/>
    <w:rsid w:val="002B787A"/>
    <w:rsid w:val="002C029B"/>
    <w:rsid w:val="002C058B"/>
    <w:rsid w:val="002C10C6"/>
    <w:rsid w:val="002C12A0"/>
    <w:rsid w:val="002D206A"/>
    <w:rsid w:val="002D2996"/>
    <w:rsid w:val="002D327B"/>
    <w:rsid w:val="002D464B"/>
    <w:rsid w:val="002E310E"/>
    <w:rsid w:val="002E698A"/>
    <w:rsid w:val="002F03E7"/>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474F"/>
    <w:rsid w:val="003603CB"/>
    <w:rsid w:val="003609B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68B6"/>
    <w:rsid w:val="003935F4"/>
    <w:rsid w:val="00395524"/>
    <w:rsid w:val="00397877"/>
    <w:rsid w:val="003A023D"/>
    <w:rsid w:val="003A0E96"/>
    <w:rsid w:val="003A1BB1"/>
    <w:rsid w:val="003A390F"/>
    <w:rsid w:val="003A4CED"/>
    <w:rsid w:val="003A555F"/>
    <w:rsid w:val="003A6890"/>
    <w:rsid w:val="003B0938"/>
    <w:rsid w:val="003B46BD"/>
    <w:rsid w:val="003B5E1A"/>
    <w:rsid w:val="003B7457"/>
    <w:rsid w:val="003C0198"/>
    <w:rsid w:val="003C0B6A"/>
    <w:rsid w:val="003C14F1"/>
    <w:rsid w:val="003C1A93"/>
    <w:rsid w:val="003C30A8"/>
    <w:rsid w:val="003C3519"/>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469F"/>
    <w:rsid w:val="00462694"/>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5768"/>
    <w:rsid w:val="004F6283"/>
    <w:rsid w:val="004F6B5C"/>
    <w:rsid w:val="005020EF"/>
    <w:rsid w:val="00502CE4"/>
    <w:rsid w:val="00503125"/>
    <w:rsid w:val="005045CC"/>
    <w:rsid w:val="00510ACF"/>
    <w:rsid w:val="00513D7D"/>
    <w:rsid w:val="00515029"/>
    <w:rsid w:val="0051648B"/>
    <w:rsid w:val="00516E89"/>
    <w:rsid w:val="005225B4"/>
    <w:rsid w:val="005225EC"/>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365A"/>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F12"/>
    <w:rsid w:val="005D3E2C"/>
    <w:rsid w:val="005D6B88"/>
    <w:rsid w:val="005D6F8C"/>
    <w:rsid w:val="005D774D"/>
    <w:rsid w:val="005E0314"/>
    <w:rsid w:val="005E0397"/>
    <w:rsid w:val="005E71A6"/>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5F2F"/>
    <w:rsid w:val="006460A9"/>
    <w:rsid w:val="0064779E"/>
    <w:rsid w:val="00647919"/>
    <w:rsid w:val="00650D2D"/>
    <w:rsid w:val="00651F1E"/>
    <w:rsid w:val="00652A75"/>
    <w:rsid w:val="0065314A"/>
    <w:rsid w:val="0065697E"/>
    <w:rsid w:val="00657E1F"/>
    <w:rsid w:val="00662D9E"/>
    <w:rsid w:val="00665007"/>
    <w:rsid w:val="006651E2"/>
    <w:rsid w:val="00666F8E"/>
    <w:rsid w:val="00671993"/>
    <w:rsid w:val="006729D2"/>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B0C0D"/>
    <w:rsid w:val="006B0EAD"/>
    <w:rsid w:val="006B5A48"/>
    <w:rsid w:val="006B7C22"/>
    <w:rsid w:val="006C35A6"/>
    <w:rsid w:val="006C388A"/>
    <w:rsid w:val="006C6ABC"/>
    <w:rsid w:val="006C6B58"/>
    <w:rsid w:val="006C733A"/>
    <w:rsid w:val="006D12F9"/>
    <w:rsid w:val="006D2890"/>
    <w:rsid w:val="006D5963"/>
    <w:rsid w:val="006D601A"/>
    <w:rsid w:val="006D6547"/>
    <w:rsid w:val="006D6931"/>
    <w:rsid w:val="006E04EA"/>
    <w:rsid w:val="006E0718"/>
    <w:rsid w:val="006E2710"/>
    <w:rsid w:val="006E27F5"/>
    <w:rsid w:val="006E2F15"/>
    <w:rsid w:val="006E383C"/>
    <w:rsid w:val="006E485F"/>
    <w:rsid w:val="006E5B66"/>
    <w:rsid w:val="006F1B3F"/>
    <w:rsid w:val="006F2902"/>
    <w:rsid w:val="006F3AB9"/>
    <w:rsid w:val="006F47B3"/>
    <w:rsid w:val="006F47D3"/>
    <w:rsid w:val="006F5AC8"/>
    <w:rsid w:val="006F765C"/>
    <w:rsid w:val="0070241E"/>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FA6"/>
    <w:rsid w:val="00745612"/>
    <w:rsid w:val="007466C5"/>
    <w:rsid w:val="00751E3D"/>
    <w:rsid w:val="007601B0"/>
    <w:rsid w:val="00763004"/>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7E47"/>
    <w:rsid w:val="007A7F8A"/>
    <w:rsid w:val="007B0012"/>
    <w:rsid w:val="007B05D6"/>
    <w:rsid w:val="007B0E41"/>
    <w:rsid w:val="007B3B39"/>
    <w:rsid w:val="007C2596"/>
    <w:rsid w:val="007C3F8C"/>
    <w:rsid w:val="007C42FA"/>
    <w:rsid w:val="007D1E07"/>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1A39"/>
    <w:rsid w:val="0086407A"/>
    <w:rsid w:val="00864967"/>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3C54"/>
    <w:rsid w:val="009D4165"/>
    <w:rsid w:val="009D5B52"/>
    <w:rsid w:val="009D779F"/>
    <w:rsid w:val="009E38EF"/>
    <w:rsid w:val="009E3A1C"/>
    <w:rsid w:val="009E4BF1"/>
    <w:rsid w:val="009E5E13"/>
    <w:rsid w:val="009F05F2"/>
    <w:rsid w:val="009F07B1"/>
    <w:rsid w:val="009F10A2"/>
    <w:rsid w:val="009F275D"/>
    <w:rsid w:val="009F4DBE"/>
    <w:rsid w:val="00A01910"/>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2764"/>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B33FF"/>
    <w:rsid w:val="00BB347B"/>
    <w:rsid w:val="00BB35C3"/>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0905"/>
    <w:rsid w:val="00C10FCB"/>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4DAB"/>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3136"/>
    <w:rsid w:val="00E04853"/>
    <w:rsid w:val="00E05BB2"/>
    <w:rsid w:val="00E120CF"/>
    <w:rsid w:val="00E127FB"/>
    <w:rsid w:val="00E13506"/>
    <w:rsid w:val="00E13A98"/>
    <w:rsid w:val="00E13C7A"/>
    <w:rsid w:val="00E172A1"/>
    <w:rsid w:val="00E241F5"/>
    <w:rsid w:val="00E24D67"/>
    <w:rsid w:val="00E31CFE"/>
    <w:rsid w:val="00E32972"/>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7CAB"/>
    <w:rsid w:val="00E57DB6"/>
    <w:rsid w:val="00E62725"/>
    <w:rsid w:val="00E63441"/>
    <w:rsid w:val="00E67025"/>
    <w:rsid w:val="00E67709"/>
    <w:rsid w:val="00E73043"/>
    <w:rsid w:val="00E8047E"/>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0A5"/>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tabs>
        <w:tab w:val="clear" w:pos="643"/>
        <w:tab w:val="num" w:pos="360"/>
      </w:tabs>
      <w:ind w:left="0" w:firstLine="0"/>
    </w:pPr>
  </w:style>
  <w:style w:type="paragraph" w:styleId="Listaconvietas3">
    <w:name w:val="List Bullet 3"/>
    <w:basedOn w:val="Normal"/>
    <w:semiHidden/>
    <w:rsid w:val="0017414F"/>
    <w:pPr>
      <w:numPr>
        <w:numId w:val="23"/>
      </w:numPr>
      <w:tabs>
        <w:tab w:val="clear" w:pos="926"/>
        <w:tab w:val="num" w:pos="360"/>
      </w:tabs>
      <w:ind w:left="0" w:firstLine="0"/>
    </w:pPr>
  </w:style>
  <w:style w:type="paragraph" w:styleId="Listaconvietas4">
    <w:name w:val="List Bullet 4"/>
    <w:basedOn w:val="Normal"/>
    <w:semiHidden/>
    <w:rsid w:val="0017414F"/>
    <w:pPr>
      <w:numPr>
        <w:numId w:val="24"/>
      </w:numPr>
      <w:tabs>
        <w:tab w:val="clear" w:pos="1209"/>
        <w:tab w:val="num" w:pos="360"/>
      </w:tabs>
      <w:ind w:left="0" w:firstLine="0"/>
    </w:pPr>
  </w:style>
  <w:style w:type="paragraph" w:styleId="Listaconvietas5">
    <w:name w:val="List Bullet 5"/>
    <w:basedOn w:val="Normal"/>
    <w:semiHidden/>
    <w:rsid w:val="0017414F"/>
    <w:pPr>
      <w:numPr>
        <w:numId w:val="25"/>
      </w:numPr>
      <w:tabs>
        <w:tab w:val="clear" w:pos="1492"/>
        <w:tab w:val="num" w:pos="360"/>
      </w:tabs>
      <w:ind w:left="0" w:firstLine="0"/>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uiPriority w:val="10"/>
    <w:qFormat/>
    <w:rsid w:val="0006177F"/>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glob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ario">
    <w:name w:val="annotation reference"/>
    <w:basedOn w:val="Fuentedeprrafopredeter"/>
    <w:semiHidden/>
    <w:unhideWhenUsed/>
    <w:rsid w:val="00E56426"/>
    <w:rPr>
      <w:sz w:val="16"/>
      <w:szCs w:val="16"/>
    </w:rPr>
  </w:style>
  <w:style w:type="paragraph" w:styleId="Textocomentario">
    <w:name w:val="annotation text"/>
    <w:basedOn w:val="Normal"/>
    <w:link w:val="TextocomentarioCar"/>
    <w:semiHidden/>
    <w:unhideWhenUsed/>
    <w:rsid w:val="00E56426"/>
    <w:pPr>
      <w:spacing w:line="240" w:lineRule="auto"/>
    </w:pPr>
    <w:rPr>
      <w:sz w:val="20"/>
      <w:szCs w:val="20"/>
    </w:rPr>
  </w:style>
  <w:style w:type="character" w:customStyle="1" w:styleId="TextocomentarioCar">
    <w:name w:val="Texto comentario Car"/>
    <w:basedOn w:val="Fuentedeprrafopredeter"/>
    <w:link w:val="Textocomentario"/>
    <w:semiHidden/>
    <w:rsid w:val="00E56426"/>
    <w:rPr>
      <w:rFonts w:ascii="Lucida Sans Unicode" w:hAnsi="Lucida Sans Unicode"/>
    </w:rPr>
  </w:style>
  <w:style w:type="paragraph" w:styleId="Asuntodelcomentario">
    <w:name w:val="annotation subject"/>
    <w:basedOn w:val="Textocomentario"/>
    <w:next w:val="Textocomentario"/>
    <w:link w:val="AsuntodelcomentarioCar"/>
    <w:semiHidden/>
    <w:unhideWhenUsed/>
    <w:rsid w:val="00E56426"/>
    <w:rPr>
      <w:b/>
      <w:bCs/>
    </w:rPr>
  </w:style>
  <w:style w:type="character" w:customStyle="1" w:styleId="AsuntodelcomentarioCar">
    <w:name w:val="Asunto del comentario Car"/>
    <w:basedOn w:val="TextocomentarioCar"/>
    <w:link w:val="Asuntodelcomentario"/>
    <w:semiHidden/>
    <w:rsid w:val="00E56426"/>
    <w:rPr>
      <w:rFonts w:ascii="Lucida Sans Unicode" w:hAnsi="Lucida Sans Unicode"/>
      <w:b/>
      <w:bCs/>
    </w:rPr>
  </w:style>
  <w:style w:type="character" w:styleId="Mencinsinresolver">
    <w:name w:val="Unresolved Mention"/>
    <w:basedOn w:val="Fuentedeprrafopredeter"/>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n">
    <w:name w:val="Revision"/>
    <w:hidden/>
    <w:uiPriority w:val="99"/>
    <w:semiHidden/>
    <w:rsid w:val="007E502D"/>
    <w:rPr>
      <w:rFonts w:ascii="Lucida Sans Unicode" w:hAnsi="Lucida Sans Unicode"/>
      <w:sz w:val="22"/>
      <w:szCs w:val="24"/>
    </w:rPr>
  </w:style>
  <w:style w:type="character" w:customStyle="1" w:styleId="tw4winMark">
    <w:name w:val="tw4winMark"/>
    <w:basedOn w:val="Fuentedeprrafopredeter"/>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ar">
    <w:name w:val="Título Car"/>
    <w:basedOn w:val="Fuentedeprrafopredeter"/>
    <w:link w:val="Ttulo"/>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ed93e86f-58e3-4db4-ae23-bda0ce9f8446"/>
    <ds:schemaRef ds:uri="b415715e-9e5f-41fb-99b2-94fa13c59ef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5192</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6085</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Venda Superabsorventes para ICIG - Espanhol</dc:subject>
  <dc:creator>Taís Augusto</dc:creator>
  <cp:keywords/>
  <dc:description>Março 2024</dc:description>
  <cp:lastModifiedBy>Batista, Sonia</cp:lastModifiedBy>
  <cp:revision>3</cp:revision>
  <cp:lastPrinted>2024-03-26T18:20:00Z</cp:lastPrinted>
  <dcterms:created xsi:type="dcterms:W3CDTF">2024-03-26T18:20:00Z</dcterms:created>
  <dcterms:modified xsi:type="dcterms:W3CDTF">2024-03-26T18:20:00Z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ies>
</file>