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A069E" w14:textId="290EAEB3" w:rsidR="001D4AEC" w:rsidRPr="00567186" w:rsidRDefault="00292C85" w:rsidP="00292C85">
      <w:pPr>
        <w:widowControl w:val="0"/>
        <w:overflowPunct w:val="0"/>
        <w:autoSpaceDE w:val="0"/>
        <w:autoSpaceDN w:val="0"/>
        <w:adjustRightInd w:val="0"/>
        <w:spacing w:line="182" w:lineRule="auto"/>
        <w:ind w:right="840"/>
        <w:rPr>
          <w:rFonts w:cs="Arial"/>
          <w:b/>
          <w:bCs/>
          <w:kern w:val="28"/>
          <w:sz w:val="24"/>
          <w:szCs w:val="32"/>
          <w:lang w:val="es-419"/>
        </w:rPr>
      </w:pPr>
      <w:bookmarkStart w:id="0" w:name="_Int_q3zN2eWu"/>
      <w:r w:rsidRPr="00567186">
        <w:rPr>
          <w:rFonts w:cs="Arial"/>
          <w:b/>
          <w:bCs/>
          <w:kern w:val="28"/>
          <w:sz w:val="24"/>
          <w:szCs w:val="32"/>
          <w:lang w:val="es-419"/>
        </w:rPr>
        <w:t>Prime</w:t>
      </w:r>
      <w:r w:rsidR="0018564D" w:rsidRPr="00567186">
        <w:rPr>
          <w:rFonts w:cs="Arial"/>
          <w:b/>
          <w:bCs/>
          <w:kern w:val="28"/>
          <w:sz w:val="24"/>
          <w:szCs w:val="32"/>
          <w:lang w:val="es-419"/>
        </w:rPr>
        <w:t>r</w:t>
      </w:r>
      <w:r w:rsidRPr="00567186">
        <w:rPr>
          <w:rFonts w:cs="Arial"/>
          <w:b/>
          <w:bCs/>
          <w:kern w:val="28"/>
          <w:sz w:val="24"/>
          <w:szCs w:val="32"/>
          <w:lang w:val="es-419"/>
        </w:rPr>
        <w:t xml:space="preserve"> trimestre d</w:t>
      </w:r>
      <w:r w:rsidR="0018564D" w:rsidRPr="00567186">
        <w:rPr>
          <w:rFonts w:cs="Arial"/>
          <w:b/>
          <w:bCs/>
          <w:kern w:val="28"/>
          <w:sz w:val="24"/>
          <w:szCs w:val="32"/>
          <w:lang w:val="es-419"/>
        </w:rPr>
        <w:t>e</w:t>
      </w:r>
      <w:r w:rsidRPr="00567186">
        <w:rPr>
          <w:rFonts w:cs="Arial"/>
          <w:b/>
          <w:bCs/>
          <w:kern w:val="28"/>
          <w:sz w:val="24"/>
          <w:szCs w:val="32"/>
          <w:lang w:val="es-419"/>
        </w:rPr>
        <w:t xml:space="preserve"> Evonik supera expectativas: </w:t>
      </w:r>
    </w:p>
    <w:p w14:paraId="0CB1C70E" w14:textId="135DDB96" w:rsidR="00292C85" w:rsidRPr="00567186" w:rsidRDefault="003D46C0" w:rsidP="00292C85">
      <w:pPr>
        <w:widowControl w:val="0"/>
        <w:overflowPunct w:val="0"/>
        <w:autoSpaceDE w:val="0"/>
        <w:autoSpaceDN w:val="0"/>
        <w:adjustRightInd w:val="0"/>
        <w:spacing w:line="182" w:lineRule="auto"/>
        <w:ind w:right="840"/>
        <w:rPr>
          <w:rFonts w:ascii="Times New Roman" w:hAnsi="Times New Roman"/>
          <w:lang w:val="es-419"/>
        </w:rPr>
      </w:pPr>
      <w:r>
        <w:rPr>
          <w:rFonts w:cs="Arial"/>
          <w:b/>
          <w:bCs/>
          <w:kern w:val="28"/>
          <w:sz w:val="24"/>
          <w:szCs w:val="32"/>
          <w:lang w:val="es-419"/>
        </w:rPr>
        <w:t xml:space="preserve">se </w:t>
      </w:r>
      <w:r w:rsidR="00292C85" w:rsidRPr="0018564D">
        <w:rPr>
          <w:rFonts w:cs="Arial"/>
          <w:b/>
          <w:bCs/>
          <w:kern w:val="28"/>
          <w:sz w:val="24"/>
          <w:szCs w:val="32"/>
          <w:lang w:val="es-419"/>
        </w:rPr>
        <w:t xml:space="preserve">confirma </w:t>
      </w:r>
      <w:r w:rsidR="0018564D" w:rsidRPr="0018564D">
        <w:rPr>
          <w:rFonts w:cs="Arial"/>
          <w:b/>
          <w:bCs/>
          <w:kern w:val="28"/>
          <w:sz w:val="24"/>
          <w:szCs w:val="32"/>
          <w:lang w:val="es-419"/>
        </w:rPr>
        <w:t>l</w:t>
      </w:r>
      <w:r w:rsidR="00292C85" w:rsidRPr="0018564D">
        <w:rPr>
          <w:rFonts w:cs="Arial"/>
          <w:b/>
          <w:bCs/>
          <w:kern w:val="28"/>
          <w:sz w:val="24"/>
          <w:szCs w:val="32"/>
          <w:lang w:val="es-419"/>
        </w:rPr>
        <w:t>a pro</w:t>
      </w:r>
      <w:r w:rsidR="0018564D" w:rsidRPr="0018564D">
        <w:rPr>
          <w:rFonts w:cs="Arial"/>
          <w:b/>
          <w:bCs/>
          <w:kern w:val="28"/>
          <w:sz w:val="24"/>
          <w:szCs w:val="32"/>
          <w:lang w:val="es-419"/>
        </w:rPr>
        <w:t>y</w:t>
      </w:r>
      <w:r w:rsidR="00292C85" w:rsidRPr="0018564D">
        <w:rPr>
          <w:rFonts w:cs="Arial"/>
          <w:b/>
          <w:bCs/>
          <w:kern w:val="28"/>
          <w:sz w:val="24"/>
          <w:szCs w:val="32"/>
          <w:lang w:val="es-419"/>
        </w:rPr>
        <w:t>e</w:t>
      </w:r>
      <w:r w:rsidR="0018564D" w:rsidRPr="0018564D">
        <w:rPr>
          <w:rFonts w:cs="Arial"/>
          <w:b/>
          <w:bCs/>
          <w:kern w:val="28"/>
          <w:sz w:val="24"/>
          <w:szCs w:val="32"/>
          <w:lang w:val="es-419"/>
        </w:rPr>
        <w:t>cción</w:t>
      </w:r>
      <w:r w:rsidR="00292C85" w:rsidRPr="0018564D">
        <w:rPr>
          <w:rFonts w:cs="Arial"/>
          <w:b/>
          <w:bCs/>
          <w:kern w:val="28"/>
          <w:sz w:val="24"/>
          <w:szCs w:val="32"/>
          <w:lang w:val="es-419"/>
        </w:rPr>
        <w:t xml:space="preserve"> de resultados </w:t>
      </w:r>
    </w:p>
    <w:p w14:paraId="2486A1C2" w14:textId="1B2E2234" w:rsidR="003D3082" w:rsidRPr="00567186" w:rsidRDefault="003D3082" w:rsidP="003D3082">
      <w:pPr>
        <w:pStyle w:val="Title"/>
        <w:rPr>
          <w:lang w:val="es-419"/>
        </w:rPr>
      </w:pPr>
    </w:p>
    <w:p w14:paraId="5BF8572E" w14:textId="77777777" w:rsidR="003D3082" w:rsidRPr="00567186" w:rsidRDefault="003D3082" w:rsidP="003D3082">
      <w:pPr>
        <w:rPr>
          <w:rFonts w:cs="Lucida Sans Unicode"/>
          <w:b/>
          <w:bCs/>
          <w:szCs w:val="22"/>
          <w:lang w:val="es-419"/>
        </w:rPr>
      </w:pPr>
    </w:p>
    <w:p w14:paraId="06240E41" w14:textId="77777777" w:rsidR="0018564D" w:rsidRPr="00567186" w:rsidRDefault="00AF152A" w:rsidP="000357E5">
      <w:pPr>
        <w:widowControl w:val="0"/>
        <w:numPr>
          <w:ilvl w:val="0"/>
          <w:numId w:val="33"/>
        </w:numPr>
        <w:tabs>
          <w:tab w:val="clear" w:pos="720"/>
          <w:tab w:val="num" w:pos="340"/>
        </w:tabs>
        <w:overflowPunct w:val="0"/>
        <w:autoSpaceDE w:val="0"/>
        <w:autoSpaceDN w:val="0"/>
        <w:adjustRightInd w:val="0"/>
        <w:spacing w:line="195" w:lineRule="auto"/>
        <w:ind w:left="340" w:hanging="339"/>
        <w:jc w:val="both"/>
        <w:rPr>
          <w:rFonts w:cs="Lucida Sans Unicode"/>
          <w:b/>
          <w:bCs/>
          <w:i/>
          <w:iCs/>
          <w:lang w:val="es-419"/>
        </w:rPr>
      </w:pPr>
      <w:r w:rsidRPr="00C944B1">
        <w:rPr>
          <w:rFonts w:eastAsia="Lucida Sans Unicode" w:cs="Lucida Sans Unicode"/>
          <w:b/>
          <w:bCs/>
          <w:i/>
          <w:iCs/>
          <w:sz w:val="24"/>
          <w:bdr w:val="nil"/>
          <w:lang w:val="es-419" w:eastAsia="pt-BR"/>
        </w:rPr>
        <w:t xml:space="preserve">Números preliminares validados: aumento </w:t>
      </w:r>
      <w:r w:rsidR="0018564D" w:rsidRPr="00567186">
        <w:rPr>
          <w:b/>
          <w:bCs/>
          <w:i/>
          <w:iCs/>
          <w:color w:val="000000"/>
          <w:sz w:val="24"/>
          <w:lang w:val="es-419"/>
        </w:rPr>
        <w:t>del 28% en el EBITDA ajustado, alcanzando los 522 millones de euros en el primer trimestre</w:t>
      </w:r>
      <w:r w:rsidR="0018564D" w:rsidRPr="00C944B1">
        <w:rPr>
          <w:rFonts w:eastAsia="Lucida Sans Unicode" w:cs="Lucida Sans Unicode"/>
          <w:b/>
          <w:bCs/>
          <w:i/>
          <w:iCs/>
          <w:sz w:val="24"/>
          <w:bdr w:val="nil"/>
          <w:lang w:val="es-419" w:eastAsia="pt-BR"/>
        </w:rPr>
        <w:t xml:space="preserve"> </w:t>
      </w:r>
    </w:p>
    <w:p w14:paraId="133390E6" w14:textId="5351334A" w:rsidR="00AF152A" w:rsidRPr="00567186" w:rsidRDefault="00AF152A" w:rsidP="000357E5">
      <w:pPr>
        <w:widowControl w:val="0"/>
        <w:numPr>
          <w:ilvl w:val="0"/>
          <w:numId w:val="33"/>
        </w:numPr>
        <w:tabs>
          <w:tab w:val="clear" w:pos="720"/>
          <w:tab w:val="num" w:pos="340"/>
        </w:tabs>
        <w:overflowPunct w:val="0"/>
        <w:autoSpaceDE w:val="0"/>
        <w:autoSpaceDN w:val="0"/>
        <w:adjustRightInd w:val="0"/>
        <w:spacing w:line="195" w:lineRule="auto"/>
        <w:ind w:left="340" w:hanging="339"/>
        <w:jc w:val="both"/>
        <w:rPr>
          <w:rFonts w:cs="Lucida Sans Unicode"/>
          <w:b/>
          <w:bCs/>
          <w:i/>
          <w:iCs/>
          <w:lang w:val="es-419"/>
        </w:rPr>
      </w:pPr>
      <w:r w:rsidRPr="00C944B1">
        <w:rPr>
          <w:rFonts w:eastAsia="Lucida Sans Unicode" w:cs="Lucida Sans Unicode"/>
          <w:b/>
          <w:bCs/>
          <w:i/>
          <w:iCs/>
          <w:sz w:val="24"/>
          <w:bdr w:val="nil"/>
          <w:lang w:val="es-419" w:eastAsia="pt-BR"/>
        </w:rPr>
        <w:t>Robusto flu</w:t>
      </w:r>
      <w:r w:rsidR="0018564D" w:rsidRPr="00C944B1">
        <w:rPr>
          <w:rFonts w:eastAsia="Lucida Sans Unicode" w:cs="Lucida Sans Unicode"/>
          <w:b/>
          <w:bCs/>
          <w:i/>
          <w:iCs/>
          <w:sz w:val="24"/>
          <w:bdr w:val="nil"/>
          <w:lang w:val="es-419" w:eastAsia="pt-BR"/>
        </w:rPr>
        <w:t>j</w:t>
      </w:r>
      <w:r w:rsidRPr="00C944B1">
        <w:rPr>
          <w:rFonts w:eastAsia="Lucida Sans Unicode" w:cs="Lucida Sans Unicode"/>
          <w:b/>
          <w:bCs/>
          <w:i/>
          <w:iCs/>
          <w:sz w:val="24"/>
          <w:bdr w:val="nil"/>
          <w:lang w:val="es-419" w:eastAsia="pt-BR"/>
        </w:rPr>
        <w:t xml:space="preserve">o de </w:t>
      </w:r>
      <w:r w:rsidR="0018564D" w:rsidRPr="00567186">
        <w:rPr>
          <w:b/>
          <w:bCs/>
          <w:i/>
          <w:iCs/>
          <w:color w:val="000000"/>
          <w:sz w:val="24"/>
          <w:lang w:val="es-419"/>
        </w:rPr>
        <w:t>caja libre de 127 millones de euros</w:t>
      </w:r>
    </w:p>
    <w:p w14:paraId="3C4A7D6E" w14:textId="06884E0D" w:rsidR="00AF152A" w:rsidRPr="00567186" w:rsidRDefault="00AF152A" w:rsidP="00AF152A">
      <w:pPr>
        <w:widowControl w:val="0"/>
        <w:numPr>
          <w:ilvl w:val="0"/>
          <w:numId w:val="33"/>
        </w:numPr>
        <w:tabs>
          <w:tab w:val="clear" w:pos="720"/>
          <w:tab w:val="num" w:pos="340"/>
        </w:tabs>
        <w:overflowPunct w:val="0"/>
        <w:autoSpaceDE w:val="0"/>
        <w:autoSpaceDN w:val="0"/>
        <w:adjustRightInd w:val="0"/>
        <w:spacing w:line="202" w:lineRule="auto"/>
        <w:ind w:left="340" w:hanging="339"/>
        <w:jc w:val="both"/>
        <w:rPr>
          <w:rFonts w:cs="Lucida Sans Unicode"/>
          <w:b/>
          <w:bCs/>
          <w:i/>
          <w:iCs/>
          <w:lang w:val="es-419"/>
        </w:rPr>
      </w:pPr>
      <w:r w:rsidRPr="00C944B1">
        <w:rPr>
          <w:rFonts w:eastAsia="Lucida Sans Unicode" w:cs="Lucida Sans Unicode"/>
          <w:b/>
          <w:bCs/>
          <w:i/>
          <w:iCs/>
          <w:sz w:val="24"/>
          <w:bdr w:val="nil"/>
          <w:lang w:val="es-419" w:eastAsia="pt-BR"/>
        </w:rPr>
        <w:t>Aumento de</w:t>
      </w:r>
      <w:r w:rsidR="0018564D" w:rsidRPr="00C944B1">
        <w:rPr>
          <w:rFonts w:eastAsia="Lucida Sans Unicode" w:cs="Lucida Sans Unicode"/>
          <w:b/>
          <w:bCs/>
          <w:i/>
          <w:iCs/>
          <w:sz w:val="24"/>
          <w:bdr w:val="nil"/>
          <w:lang w:val="es-419" w:eastAsia="pt-BR"/>
        </w:rPr>
        <w:t>l</w:t>
      </w:r>
      <w:r w:rsidRPr="00C944B1">
        <w:rPr>
          <w:rFonts w:eastAsia="Lucida Sans Unicode" w:cs="Lucida Sans Unicode"/>
          <w:b/>
          <w:bCs/>
          <w:i/>
          <w:iCs/>
          <w:sz w:val="24"/>
          <w:bdr w:val="nil"/>
          <w:lang w:val="es-419" w:eastAsia="pt-BR"/>
        </w:rPr>
        <w:t xml:space="preserve"> 4% </w:t>
      </w:r>
      <w:r w:rsidR="0018564D" w:rsidRPr="00C944B1">
        <w:rPr>
          <w:rFonts w:eastAsia="Lucida Sans Unicode" w:cs="Lucida Sans Unicode"/>
          <w:b/>
          <w:bCs/>
          <w:i/>
          <w:iCs/>
          <w:sz w:val="24"/>
          <w:bdr w:val="nil"/>
          <w:lang w:val="es-419" w:eastAsia="pt-BR"/>
        </w:rPr>
        <w:t>en el</w:t>
      </w:r>
      <w:r w:rsidRPr="00C944B1">
        <w:rPr>
          <w:rFonts w:eastAsia="Lucida Sans Unicode" w:cs="Lucida Sans Unicode"/>
          <w:b/>
          <w:bCs/>
          <w:i/>
          <w:iCs/>
          <w:sz w:val="24"/>
          <w:bdr w:val="nil"/>
          <w:lang w:val="es-419" w:eastAsia="pt-BR"/>
        </w:rPr>
        <w:t xml:space="preserve"> volume</w:t>
      </w:r>
      <w:r w:rsidR="0018564D" w:rsidRPr="00C944B1">
        <w:rPr>
          <w:rFonts w:eastAsia="Lucida Sans Unicode" w:cs="Lucida Sans Unicode"/>
          <w:b/>
          <w:bCs/>
          <w:i/>
          <w:iCs/>
          <w:sz w:val="24"/>
          <w:bdr w:val="nil"/>
          <w:lang w:val="es-419" w:eastAsia="pt-BR"/>
        </w:rPr>
        <w:t>n</w:t>
      </w:r>
      <w:r w:rsidRPr="00C944B1">
        <w:rPr>
          <w:rFonts w:eastAsia="Lucida Sans Unicode" w:cs="Lucida Sans Unicode"/>
          <w:b/>
          <w:bCs/>
          <w:i/>
          <w:iCs/>
          <w:sz w:val="24"/>
          <w:bdr w:val="nil"/>
          <w:lang w:val="es-419" w:eastAsia="pt-BR"/>
        </w:rPr>
        <w:t xml:space="preserve"> de ven</w:t>
      </w:r>
      <w:r w:rsidR="0018564D" w:rsidRPr="00C944B1">
        <w:rPr>
          <w:rFonts w:eastAsia="Lucida Sans Unicode" w:cs="Lucida Sans Unicode"/>
          <w:b/>
          <w:bCs/>
          <w:i/>
          <w:iCs/>
          <w:sz w:val="24"/>
          <w:bdr w:val="nil"/>
          <w:lang w:val="es-419" w:eastAsia="pt-BR"/>
        </w:rPr>
        <w:t>t</w:t>
      </w:r>
      <w:r w:rsidRPr="00C944B1">
        <w:rPr>
          <w:rFonts w:eastAsia="Lucida Sans Unicode" w:cs="Lucida Sans Unicode"/>
          <w:b/>
          <w:bCs/>
          <w:i/>
          <w:iCs/>
          <w:sz w:val="24"/>
          <w:bdr w:val="nil"/>
          <w:lang w:val="es-419" w:eastAsia="pt-BR"/>
        </w:rPr>
        <w:t xml:space="preserve">as </w:t>
      </w:r>
    </w:p>
    <w:p w14:paraId="4F164987" w14:textId="77777777" w:rsidR="003D3082" w:rsidRPr="00567186" w:rsidRDefault="003D3082" w:rsidP="003D3082">
      <w:pPr>
        <w:ind w:right="85"/>
        <w:rPr>
          <w:color w:val="000000"/>
          <w:sz w:val="24"/>
          <w:lang w:val="es-419"/>
        </w:rPr>
      </w:pPr>
    </w:p>
    <w:p w14:paraId="04BEE8E1" w14:textId="77777777" w:rsidR="007036F1" w:rsidRPr="00510BFA" w:rsidRDefault="007036F1" w:rsidP="007036F1">
      <w:pPr>
        <w:rPr>
          <w:color w:val="000000"/>
          <w:lang w:val="es-419"/>
        </w:rPr>
      </w:pPr>
    </w:p>
    <w:p w14:paraId="2AF8B53D" w14:textId="77777777" w:rsidR="007036F1" w:rsidRPr="007036F1" w:rsidRDefault="007036F1" w:rsidP="007036F1">
      <w:pPr>
        <w:rPr>
          <w:color w:val="000000"/>
          <w:lang w:val="es-419"/>
        </w:rPr>
      </w:pPr>
      <w:r w:rsidRPr="007036F1">
        <w:rPr>
          <w:color w:val="000000"/>
          <w:lang w:val="es-419"/>
        </w:rPr>
        <w:t>Evonik superó las previsiones del mercado de capitales a principios de 2024. Los resultados del primer trimestre de 2024 de la empresa de especialidades químicas confirmaron los datos preliminares divulgados el 16 de abril. El EBITDA ajustado aumentó un 28% en comparación con el mismo período del año anterior, totalizando 522 millones de euros. También hubo un incremento significativo del flujo de caja libre: 127 millones de euros, una elevación expresiva respecto al nivel registrado en el primer trimestre de 2023 (21 millones de euros).</w:t>
      </w:r>
    </w:p>
    <w:p w14:paraId="224DB32A" w14:textId="77777777" w:rsidR="007036F1" w:rsidRPr="007036F1" w:rsidRDefault="007036F1" w:rsidP="007036F1">
      <w:pPr>
        <w:rPr>
          <w:color w:val="000000"/>
          <w:lang w:val="es-419"/>
        </w:rPr>
      </w:pPr>
    </w:p>
    <w:p w14:paraId="19DF091C" w14:textId="420CFFD6" w:rsidR="007036F1" w:rsidRPr="007036F1" w:rsidRDefault="007036F1" w:rsidP="007036F1">
      <w:pPr>
        <w:rPr>
          <w:color w:val="000000"/>
          <w:lang w:val="es-419"/>
        </w:rPr>
      </w:pPr>
      <w:r w:rsidRPr="007036F1">
        <w:rPr>
          <w:color w:val="000000"/>
          <w:lang w:val="es-419"/>
        </w:rPr>
        <w:t>“Muchos de nuestros clientes están volviendo a comprar”, con</w:t>
      </w:r>
      <w:r w:rsidR="003D46C0">
        <w:rPr>
          <w:color w:val="000000"/>
          <w:lang w:val="es-419"/>
        </w:rPr>
        <w:t>firma</w:t>
      </w:r>
      <w:r w:rsidRPr="007036F1">
        <w:rPr>
          <w:color w:val="000000"/>
          <w:lang w:val="es-419"/>
        </w:rPr>
        <w:t xml:space="preserve"> Christian Kullmann, CEO de Evonik. “Sin embargo, debido a las restricciones que persisten en algunas industrias y mercados, aún no vislumbramos una expansión generalizada de una recuperación.”</w:t>
      </w:r>
    </w:p>
    <w:p w14:paraId="1C6D2927" w14:textId="77777777" w:rsidR="007036F1" w:rsidRPr="007036F1" w:rsidRDefault="007036F1" w:rsidP="007036F1">
      <w:pPr>
        <w:rPr>
          <w:color w:val="000000"/>
          <w:lang w:val="es-419"/>
        </w:rPr>
      </w:pPr>
    </w:p>
    <w:p w14:paraId="22D07691" w14:textId="77777777" w:rsidR="007036F1" w:rsidRPr="007036F1" w:rsidRDefault="007036F1" w:rsidP="007036F1">
      <w:pPr>
        <w:rPr>
          <w:color w:val="000000"/>
          <w:lang w:val="es-419"/>
        </w:rPr>
      </w:pPr>
      <w:r w:rsidRPr="007036F1">
        <w:rPr>
          <w:color w:val="000000"/>
          <w:lang w:val="es-419"/>
        </w:rPr>
        <w:t>Los volúmenes de ventas avanzaron un 4% en el primer trimestre. Se observó, por otro lado, una reducción del 5% en los precios, impulsada parcialmente por la transferencia del menor costo de las materias primas. Los ingresos totalizaron 3.800 millones de euros, una reducción del 5%, mientras que el beneficio neto consolidado fue de 156 millones de euros, frente a los 47 millones de euros del primer trimestre de 2023. El margen EBITDA ajustado registró un aumento de 3,6 puntos porcentuales, llegando al 13,8%.</w:t>
      </w:r>
    </w:p>
    <w:p w14:paraId="32615166" w14:textId="77777777" w:rsidR="007036F1" w:rsidRPr="007036F1" w:rsidRDefault="007036F1" w:rsidP="007036F1">
      <w:pPr>
        <w:rPr>
          <w:color w:val="000000"/>
          <w:lang w:val="es-419"/>
        </w:rPr>
      </w:pPr>
    </w:p>
    <w:p w14:paraId="5A7C7CC9" w14:textId="77777777" w:rsidR="007036F1" w:rsidRPr="007036F1" w:rsidRDefault="007036F1" w:rsidP="007036F1">
      <w:pPr>
        <w:rPr>
          <w:color w:val="000000"/>
          <w:lang w:val="es-419"/>
        </w:rPr>
      </w:pPr>
      <w:r w:rsidRPr="007036F1">
        <w:rPr>
          <w:color w:val="000000"/>
          <w:lang w:val="es-419"/>
        </w:rPr>
        <w:t xml:space="preserve">“El desempeño positivo del margen EBITDA señala que estamos en el camino correcto”, afirma la CFO, Maike Schuh. “Nuestras medidas para la reducción de costos están produciendo efectos </w:t>
      </w:r>
      <w:r w:rsidRPr="007036F1">
        <w:rPr>
          <w:color w:val="000000"/>
          <w:lang w:val="es-419"/>
        </w:rPr>
        <w:lastRenderedPageBreak/>
        <w:t>cada vez mayores, lo que es particularmente importante considerando las nuevas caídas en los precios. Todavía hay un largo camino por recorrer hasta alcanzar nuestras metas financieras. Necesitamos esforzarnos para cada pequeña mejora.”</w:t>
      </w:r>
    </w:p>
    <w:p w14:paraId="74CC16D7" w14:textId="77777777" w:rsidR="007036F1" w:rsidRPr="007036F1" w:rsidRDefault="007036F1" w:rsidP="007036F1">
      <w:pPr>
        <w:rPr>
          <w:color w:val="000000"/>
          <w:lang w:val="es-419"/>
        </w:rPr>
      </w:pPr>
    </w:p>
    <w:p w14:paraId="54951E8E" w14:textId="77777777" w:rsidR="007036F1" w:rsidRPr="007036F1" w:rsidRDefault="007036F1" w:rsidP="007036F1">
      <w:pPr>
        <w:rPr>
          <w:color w:val="000000"/>
          <w:lang w:val="es-419"/>
        </w:rPr>
      </w:pPr>
      <w:r w:rsidRPr="007036F1">
        <w:rPr>
          <w:color w:val="000000"/>
          <w:lang w:val="es-419"/>
        </w:rPr>
        <w:t>Evonik mantiene las metas para todo el año y proyecta un EBITDA ajustado en el rango de 1.700 millones a 2.000 millones de euros. Las ventas deberán permanecer entre 15.000 millones y 17.000 millones de euros. Evonik prevé una tasa de conversión de caja en torno al 40% y un ROCE significativamente superior al del año anterior. Para el segundo trimestre de 2024, Evonik espera un EBITDA ajustado prácticamente en el mismo nivel del primer trimestre.</w:t>
      </w:r>
    </w:p>
    <w:p w14:paraId="77C20F84" w14:textId="77777777" w:rsidR="007036F1" w:rsidRPr="007036F1" w:rsidRDefault="007036F1" w:rsidP="007036F1">
      <w:pPr>
        <w:rPr>
          <w:color w:val="000000"/>
          <w:lang w:val="es-419"/>
        </w:rPr>
      </w:pPr>
    </w:p>
    <w:p w14:paraId="6ADA244D" w14:textId="77777777" w:rsidR="007036F1" w:rsidRPr="007036F1" w:rsidRDefault="007036F1" w:rsidP="007036F1">
      <w:pPr>
        <w:rPr>
          <w:color w:val="000000"/>
          <w:lang w:val="es-419"/>
        </w:rPr>
      </w:pPr>
      <w:r w:rsidRPr="007036F1">
        <w:rPr>
          <w:color w:val="000000"/>
          <w:lang w:val="es-419"/>
        </w:rPr>
        <w:t>El programa de eficiencia “Evonik Tailor Made” traerá ahorros iniciales hasta finales de año. Se han concluido las negociaciones sobre los puntos principales relacionados con despidos socialmente responsables. Su implementación está en marcha mediante consulta alineada con los representantes de los empleados. Hasta el tercer trimestre, se finalizarán los detalles sobre la reorganización de Evonik. Luego, el programa entrará en vigor considerando los derechos de participación relevantes de los representantes de los empleados. También está en progreso la anunciada división del área de Tecnología e Infraestructura en dos unidades.</w:t>
      </w:r>
    </w:p>
    <w:p w14:paraId="4DAF86CC" w14:textId="77777777" w:rsidR="007036F1" w:rsidRDefault="007036F1" w:rsidP="007036F1">
      <w:pPr>
        <w:rPr>
          <w:color w:val="000000"/>
          <w:lang w:val="es-419"/>
        </w:rPr>
      </w:pPr>
    </w:p>
    <w:p w14:paraId="330204D2" w14:textId="682CB0A1" w:rsidR="007036F1" w:rsidRPr="007036F1" w:rsidRDefault="007036F1" w:rsidP="007036F1">
      <w:pPr>
        <w:rPr>
          <w:b/>
          <w:bCs/>
          <w:color w:val="000000"/>
          <w:lang w:val="es-419"/>
        </w:rPr>
      </w:pPr>
      <w:r w:rsidRPr="007036F1">
        <w:rPr>
          <w:b/>
          <w:bCs/>
          <w:color w:val="000000"/>
          <w:lang w:val="es-419"/>
        </w:rPr>
        <w:t>Desarrollo de las divisiones químicas</w:t>
      </w:r>
    </w:p>
    <w:p w14:paraId="6F7FB438" w14:textId="77777777" w:rsidR="007036F1" w:rsidRPr="007036F1" w:rsidRDefault="007036F1" w:rsidP="007036F1">
      <w:pPr>
        <w:rPr>
          <w:color w:val="000000"/>
          <w:lang w:val="es-419"/>
        </w:rPr>
      </w:pPr>
    </w:p>
    <w:p w14:paraId="1131B092" w14:textId="1095C891" w:rsidR="007036F1" w:rsidRPr="007036F1" w:rsidRDefault="007036F1" w:rsidP="007036F1">
      <w:pPr>
        <w:rPr>
          <w:color w:val="000000"/>
          <w:lang w:val="es-419"/>
        </w:rPr>
      </w:pPr>
      <w:r w:rsidRPr="007036F1">
        <w:rPr>
          <w:b/>
          <w:bCs/>
          <w:color w:val="000000"/>
          <w:lang w:val="es-419"/>
        </w:rPr>
        <w:t>Specialty Additives:</w:t>
      </w:r>
      <w:r w:rsidRPr="007036F1">
        <w:rPr>
          <w:color w:val="000000"/>
          <w:lang w:val="es-419"/>
        </w:rPr>
        <w:t xml:space="preserve"> La división de aditivos especiales registró mayores volúmenes de ventas impulsados por el reabastecimiento de los bajos niveles de inventarios de los clientes. A pesar de haber alcanzado los 908 millones de euros, las ventas del primer trimestre de 2024 sufrieron una leve caída en comparación con el año anterior. Esta reducción se debe a menores precios de venta, motivados principalmente por la transferencia de los costos más bajos de materias primas y los efectos cambiarios levemente desfavorables. Los productos para los sectores de construcción y revestimientos registraron un aumento significativo de ventas debido al crecimiento del volumen. Los aditivos para espumas de poliuretano y bienes de consumo duraderos vieron crecer sus </w:t>
      </w:r>
      <w:r w:rsidRPr="007036F1">
        <w:rPr>
          <w:color w:val="000000"/>
          <w:lang w:val="es-419"/>
        </w:rPr>
        <w:lastRenderedPageBreak/>
        <w:t>volúmenes, pero los precios en caída mantuvieron las ventas prácticamente estables. Los aditivos para el sector automotriz registraron mayor demanda, resultando en ventas cercanas al nivel del año anterior. El EBITDA ajustado creció un 10%, alcanzando los 185 millones de euros, impulsado por una mayor utilización de las fábricas. El margen de EBITDA ajustado avanzó del 18,2% al 20,4%.</w:t>
      </w:r>
    </w:p>
    <w:p w14:paraId="3A4F9DFE" w14:textId="77777777" w:rsidR="007036F1" w:rsidRPr="007036F1" w:rsidRDefault="007036F1" w:rsidP="007036F1">
      <w:pPr>
        <w:rPr>
          <w:color w:val="000000"/>
          <w:lang w:val="es-419"/>
        </w:rPr>
      </w:pPr>
    </w:p>
    <w:p w14:paraId="1B6CE1A8" w14:textId="12BE8873" w:rsidR="007036F1" w:rsidRPr="007036F1" w:rsidRDefault="007036F1" w:rsidP="007036F1">
      <w:pPr>
        <w:rPr>
          <w:color w:val="000000"/>
          <w:lang w:val="es-419"/>
        </w:rPr>
      </w:pPr>
      <w:r w:rsidRPr="007036F1">
        <w:rPr>
          <w:b/>
          <w:bCs/>
          <w:color w:val="000000"/>
          <w:lang w:val="es-419"/>
        </w:rPr>
        <w:t>Nutrition &amp; Care:</w:t>
      </w:r>
      <w:r w:rsidRPr="007036F1">
        <w:rPr>
          <w:color w:val="000000"/>
          <w:lang w:val="es-419"/>
        </w:rPr>
        <w:t xml:space="preserve"> Impulsadas por una mayor demanda y precios de venta en leve ascenso, las ventas del primer trimestre registraron un aumento del 2%, alcanzando los 900 millones de euros. Los efectos cambiarios atenuaron esta tendencia positiva. El negocio de aminoácidos esenciales (Animal Nutrition) se vio favorecido por el aumento de los volúmenes de ventas y precios ligeramente más elevados. Las ventas presentaron un avance significativo. En Health &amp; Care, los productos Care Solutions presentaron una tendencia positiva de aumento de volumen. Las ventas de Health &amp; Care, sin embargo, permanecieron predominantemente por debajo del nivel del año anterior, impactadas por precios de venta ligeramente inferiores. Motivado por mayores volúmenes, costos variables más bajos y economías provenientes de la optimización del modelo de negocio en el área de Animal Nutrition, el EBITDA ajustado de la división disparó un 84%, alcanzando los 140 millones de euros. El margen de EBITDA ajustado avanzó del 8,6% al 15,6%.</w:t>
      </w:r>
    </w:p>
    <w:p w14:paraId="31997436" w14:textId="77777777" w:rsidR="007036F1" w:rsidRDefault="007036F1" w:rsidP="007036F1">
      <w:pPr>
        <w:rPr>
          <w:color w:val="000000"/>
          <w:lang w:val="es-419"/>
        </w:rPr>
      </w:pPr>
    </w:p>
    <w:p w14:paraId="6368771E" w14:textId="62C8D6E7" w:rsidR="007036F1" w:rsidRPr="007036F1" w:rsidRDefault="007036F1" w:rsidP="007036F1">
      <w:pPr>
        <w:rPr>
          <w:color w:val="000000"/>
          <w:lang w:val="es-419"/>
        </w:rPr>
      </w:pPr>
      <w:r w:rsidRPr="007036F1">
        <w:rPr>
          <w:b/>
          <w:bCs/>
          <w:color w:val="000000"/>
          <w:lang w:val="es-419"/>
        </w:rPr>
        <w:t>Smart Materials:</w:t>
      </w:r>
      <w:r w:rsidRPr="007036F1">
        <w:rPr>
          <w:color w:val="000000"/>
          <w:lang w:val="es-419"/>
        </w:rPr>
        <w:t xml:space="preserve"> La división Smart Materials presentó una disminución del 8% en las ventas en el primer trimestre de 2024, registrando 1,09 mil millones de euros. Los volúmenes se mantuvieron prácticamente estables, sin embargo, se trasladó la reducción en los costos de materia prima y energía. La demanda de productos inorgánicos continuó registrando una caída. Las ventas de polímeros disminuyeron debido a los efectos de precio y cambio. Aun así, con 159 millones de euros, el EBITDA ajustado fue solo ligeramente inferior al registrado el año anterior. La venta de una licencia para el proceso de producción de peróxido de hidrógeno generó un impacto positivo. El margen EBITDA ajustado aumentó del 13,8% al 14,5%.</w:t>
      </w:r>
    </w:p>
    <w:p w14:paraId="39AEA3EC" w14:textId="77777777" w:rsidR="007036F1" w:rsidRPr="007036F1" w:rsidRDefault="007036F1" w:rsidP="007036F1">
      <w:pPr>
        <w:rPr>
          <w:color w:val="000000"/>
          <w:lang w:val="es-419"/>
        </w:rPr>
      </w:pPr>
    </w:p>
    <w:p w14:paraId="7BD36F65" w14:textId="290A4B4D" w:rsidR="007036F1" w:rsidRPr="007036F1" w:rsidRDefault="007036F1" w:rsidP="007036F1">
      <w:pPr>
        <w:rPr>
          <w:color w:val="000000"/>
          <w:lang w:val="pt-BR"/>
        </w:rPr>
      </w:pPr>
      <w:r w:rsidRPr="007036F1">
        <w:rPr>
          <w:b/>
          <w:bCs/>
          <w:color w:val="000000"/>
          <w:lang w:val="es-419"/>
        </w:rPr>
        <w:lastRenderedPageBreak/>
        <w:t>Performance Materials:</w:t>
      </w:r>
      <w:r w:rsidRPr="007036F1">
        <w:rPr>
          <w:color w:val="000000"/>
          <w:lang w:val="es-419"/>
        </w:rPr>
        <w:t xml:space="preserve"> En la división de Performance Materials, las ventas disminuyeron un 9%, llegando a los 646 millones de euros. Los efectos positivos del mayor volumen se vieron significativamente impactados por los precios más bajos y los efectos cambiarios negativos. El resultado del año anterior también consideró las ventas provenientes de la unidad de Luelsdorf, que se vendió el 30 de junio de 2023. A pesar de los precios más bajos, los productos de la cadena C4 (Intermediarios de Performance) impulsaron las ventas debido a la mayor demanda de volumen. Los superabsorbentes se beneficiaron de mayores volúmenes de ventas. El EBITDA ajustado aumentó un 16%, llegando a los 43 millones de euros, debido principalmente a los volúmenes más elevados. </w:t>
      </w:r>
      <w:r w:rsidRPr="007036F1">
        <w:rPr>
          <w:color w:val="000000"/>
          <w:lang w:val="pt-BR"/>
        </w:rPr>
        <w:t>El margen de EBITDA ajustado creció del 5,2% al 6,7%.</w:t>
      </w:r>
    </w:p>
    <w:p w14:paraId="79656DA6" w14:textId="77777777" w:rsidR="007036F1" w:rsidRPr="007036F1" w:rsidRDefault="007036F1" w:rsidP="007036F1">
      <w:pPr>
        <w:rPr>
          <w:color w:val="000000"/>
          <w:lang w:val="pt-BR"/>
        </w:rPr>
      </w:pPr>
    </w:p>
    <w:p w14:paraId="60CB0AA8" w14:textId="77777777" w:rsidR="004649B4" w:rsidRPr="00322F18" w:rsidRDefault="004649B4" w:rsidP="00322F18">
      <w:pPr>
        <w:rPr>
          <w:rFonts w:cs="Lucida Sans Unicode"/>
          <w:color w:val="000000"/>
          <w:szCs w:val="22"/>
          <w:lang w:val="pt-BR"/>
        </w:rPr>
      </w:pPr>
    </w:p>
    <w:p w14:paraId="1DA469CD" w14:textId="77777777" w:rsidR="00462845" w:rsidRPr="00356629" w:rsidRDefault="00462845" w:rsidP="00462845">
      <w:pPr>
        <w:rPr>
          <w:color w:val="000000"/>
          <w:lang w:val="pt-BR"/>
        </w:rPr>
      </w:pPr>
    </w:p>
    <w:tbl>
      <w:tblPr>
        <w:tblW w:w="9781" w:type="dxa"/>
        <w:tblLayout w:type="fixed"/>
        <w:tblCellMar>
          <w:left w:w="0" w:type="dxa"/>
          <w:right w:w="0" w:type="dxa"/>
        </w:tblCellMar>
        <w:tblLook w:val="04A0" w:firstRow="1" w:lastRow="0" w:firstColumn="1" w:lastColumn="0" w:noHBand="0" w:noVBand="1"/>
        <w:tblDescription w:val="SNEID_e9d1e4f83f5740ff9c30245b0b9f1953"/>
      </w:tblPr>
      <w:tblGrid>
        <w:gridCol w:w="6333"/>
        <w:gridCol w:w="119"/>
        <w:gridCol w:w="1021"/>
        <w:gridCol w:w="119"/>
        <w:gridCol w:w="1021"/>
        <w:gridCol w:w="119"/>
        <w:gridCol w:w="1049"/>
      </w:tblGrid>
      <w:tr w:rsidR="00462845" w:rsidRPr="00567186" w14:paraId="6E15022D" w14:textId="77777777" w:rsidTr="00462845">
        <w:tc>
          <w:tcPr>
            <w:tcW w:w="9781" w:type="dxa"/>
            <w:gridSpan w:val="7"/>
            <w:vAlign w:val="bottom"/>
          </w:tcPr>
          <w:p w14:paraId="477BA926" w14:textId="6CD44ABC" w:rsidR="00462845" w:rsidRPr="001F6672" w:rsidRDefault="001F6672" w:rsidP="00F0526A">
            <w:pPr>
              <w:pStyle w:val="TTitleText"/>
              <w:rPr>
                <w:lang w:val="es-419"/>
              </w:rPr>
            </w:pPr>
            <w:bookmarkStart w:id="1" w:name="SNEID_e9d1e4f83f5740ff9c30245b0b9f1953"/>
            <w:r w:rsidRPr="007F5EDB">
              <w:rPr>
                <w:lang w:val="es-AR"/>
              </w:rPr>
              <w:t>Resumen del Estado de resultados</w:t>
            </w:r>
          </w:p>
        </w:tc>
      </w:tr>
      <w:tr w:rsidR="00462845" w:rsidRPr="00567186" w14:paraId="40D4B12A" w14:textId="77777777" w:rsidTr="00462845">
        <w:tc>
          <w:tcPr>
            <w:tcW w:w="6333" w:type="dxa"/>
            <w:tcBorders>
              <w:top w:val="single" w:sz="8" w:space="0" w:color="000000"/>
            </w:tcBorders>
            <w:vAlign w:val="bottom"/>
          </w:tcPr>
          <w:p w14:paraId="37015D5A" w14:textId="77777777" w:rsidR="00462845" w:rsidRPr="001F6672" w:rsidRDefault="00462845" w:rsidP="00F0526A">
            <w:pPr>
              <w:pStyle w:val="TDummy"/>
              <w:keepNext/>
              <w:rPr>
                <w:lang w:val="es-419"/>
              </w:rPr>
            </w:pPr>
          </w:p>
        </w:tc>
        <w:tc>
          <w:tcPr>
            <w:tcW w:w="119" w:type="dxa"/>
            <w:tcBorders>
              <w:top w:val="single" w:sz="8" w:space="0" w:color="000000"/>
            </w:tcBorders>
            <w:vAlign w:val="bottom"/>
          </w:tcPr>
          <w:p w14:paraId="4A6719D7" w14:textId="77777777" w:rsidR="00462845" w:rsidRPr="001F6672" w:rsidRDefault="00462845" w:rsidP="00F0526A">
            <w:pPr>
              <w:pStyle w:val="TDummy"/>
              <w:keepNext/>
              <w:rPr>
                <w:lang w:val="es-419"/>
              </w:rPr>
            </w:pPr>
          </w:p>
        </w:tc>
        <w:tc>
          <w:tcPr>
            <w:tcW w:w="1021" w:type="dxa"/>
            <w:tcBorders>
              <w:top w:val="single" w:sz="8" w:space="0" w:color="000000"/>
            </w:tcBorders>
            <w:vAlign w:val="bottom"/>
          </w:tcPr>
          <w:p w14:paraId="70572644" w14:textId="77777777" w:rsidR="00462845" w:rsidRPr="001F6672" w:rsidRDefault="00462845" w:rsidP="00F0526A">
            <w:pPr>
              <w:pStyle w:val="TDummy"/>
              <w:keepNext/>
              <w:rPr>
                <w:lang w:val="es-419"/>
              </w:rPr>
            </w:pPr>
          </w:p>
        </w:tc>
        <w:tc>
          <w:tcPr>
            <w:tcW w:w="119" w:type="dxa"/>
            <w:tcBorders>
              <w:top w:val="single" w:sz="8" w:space="0" w:color="000000"/>
            </w:tcBorders>
            <w:vAlign w:val="bottom"/>
          </w:tcPr>
          <w:p w14:paraId="5A6404C0" w14:textId="77777777" w:rsidR="00462845" w:rsidRPr="001F6672" w:rsidRDefault="00462845" w:rsidP="00F0526A">
            <w:pPr>
              <w:pStyle w:val="TDummy"/>
              <w:keepNext/>
              <w:rPr>
                <w:lang w:val="es-419"/>
              </w:rPr>
            </w:pPr>
          </w:p>
        </w:tc>
        <w:tc>
          <w:tcPr>
            <w:tcW w:w="1021" w:type="dxa"/>
            <w:tcBorders>
              <w:top w:val="single" w:sz="8" w:space="0" w:color="000000"/>
            </w:tcBorders>
            <w:vAlign w:val="bottom"/>
          </w:tcPr>
          <w:p w14:paraId="4A1711F1" w14:textId="77777777" w:rsidR="00462845" w:rsidRPr="001F6672" w:rsidRDefault="00462845" w:rsidP="00F0526A">
            <w:pPr>
              <w:pStyle w:val="TDummy"/>
              <w:keepNext/>
              <w:rPr>
                <w:lang w:val="es-419"/>
              </w:rPr>
            </w:pPr>
          </w:p>
        </w:tc>
        <w:tc>
          <w:tcPr>
            <w:tcW w:w="119" w:type="dxa"/>
            <w:tcBorders>
              <w:top w:val="single" w:sz="8" w:space="0" w:color="000000"/>
            </w:tcBorders>
            <w:vAlign w:val="bottom"/>
          </w:tcPr>
          <w:p w14:paraId="72181C5F" w14:textId="77777777" w:rsidR="00462845" w:rsidRPr="001F6672" w:rsidRDefault="00462845" w:rsidP="00F0526A">
            <w:pPr>
              <w:pStyle w:val="TDummy"/>
              <w:keepNext/>
              <w:rPr>
                <w:lang w:val="es-419"/>
              </w:rPr>
            </w:pPr>
          </w:p>
        </w:tc>
        <w:tc>
          <w:tcPr>
            <w:tcW w:w="1049" w:type="dxa"/>
            <w:tcBorders>
              <w:top w:val="single" w:sz="8" w:space="0" w:color="000000"/>
            </w:tcBorders>
            <w:vAlign w:val="bottom"/>
          </w:tcPr>
          <w:p w14:paraId="22054FD7" w14:textId="77777777" w:rsidR="00462845" w:rsidRPr="001F6672" w:rsidRDefault="00462845" w:rsidP="00F0526A">
            <w:pPr>
              <w:pStyle w:val="TDummy"/>
              <w:keepNext/>
              <w:rPr>
                <w:lang w:val="es-419"/>
              </w:rPr>
            </w:pPr>
          </w:p>
        </w:tc>
      </w:tr>
      <w:tr w:rsidR="00462845" w14:paraId="1AA85CDB" w14:textId="77777777" w:rsidTr="00462845">
        <w:tc>
          <w:tcPr>
            <w:tcW w:w="6333" w:type="dxa"/>
            <w:shd w:val="clear" w:color="000000" w:fill="FFFFFF"/>
            <w:vAlign w:val="bottom"/>
          </w:tcPr>
          <w:p w14:paraId="3A9D6BBB" w14:textId="77777777" w:rsidR="00462845" w:rsidRPr="001F6672" w:rsidRDefault="00462845" w:rsidP="00F0526A">
            <w:pPr>
              <w:pStyle w:val="THeadfirstNumber"/>
              <w:rPr>
                <w:lang w:val="es-419"/>
              </w:rPr>
            </w:pPr>
          </w:p>
        </w:tc>
        <w:tc>
          <w:tcPr>
            <w:tcW w:w="119" w:type="dxa"/>
            <w:vAlign w:val="bottom"/>
          </w:tcPr>
          <w:p w14:paraId="443AA5BF" w14:textId="77777777" w:rsidR="00462845" w:rsidRPr="001F6672" w:rsidRDefault="00462845" w:rsidP="00F0526A">
            <w:pPr>
              <w:pStyle w:val="THeadfirstNumber"/>
              <w:rPr>
                <w:lang w:val="es-419"/>
              </w:rPr>
            </w:pPr>
          </w:p>
        </w:tc>
        <w:tc>
          <w:tcPr>
            <w:tcW w:w="3329" w:type="dxa"/>
            <w:gridSpan w:val="5"/>
            <w:tcBorders>
              <w:bottom w:val="single" w:sz="4" w:space="0" w:color="A59C94"/>
            </w:tcBorders>
            <w:shd w:val="clear" w:color="000000" w:fill="FFFFFF"/>
            <w:vAlign w:val="bottom"/>
          </w:tcPr>
          <w:p w14:paraId="18F56ECD" w14:textId="77777777" w:rsidR="00462845" w:rsidRDefault="00462845" w:rsidP="00F0526A">
            <w:pPr>
              <w:pStyle w:val="THeadfirstNumber"/>
            </w:pPr>
            <w:r>
              <w:t>1º trimestre</w:t>
            </w:r>
          </w:p>
        </w:tc>
      </w:tr>
      <w:tr w:rsidR="00462845" w14:paraId="46635BFF" w14:textId="77777777" w:rsidTr="00462845">
        <w:tc>
          <w:tcPr>
            <w:tcW w:w="6333" w:type="dxa"/>
            <w:tcBorders>
              <w:bottom w:val="single" w:sz="4" w:space="0" w:color="000000"/>
            </w:tcBorders>
            <w:shd w:val="clear" w:color="000000" w:fill="FFFFFF"/>
            <w:vAlign w:val="bottom"/>
          </w:tcPr>
          <w:p w14:paraId="47FF01BE" w14:textId="1C9F2B90" w:rsidR="00462845" w:rsidRDefault="001F6672" w:rsidP="00F0526A">
            <w:pPr>
              <w:pStyle w:val="THeadlastText"/>
            </w:pPr>
            <w:r>
              <w:t>en millones de euros</w:t>
            </w:r>
          </w:p>
        </w:tc>
        <w:tc>
          <w:tcPr>
            <w:tcW w:w="119" w:type="dxa"/>
            <w:vAlign w:val="bottom"/>
          </w:tcPr>
          <w:p w14:paraId="1CF2BB1B" w14:textId="77777777" w:rsidR="00462845" w:rsidRDefault="00462845" w:rsidP="00F0526A">
            <w:pPr>
              <w:pStyle w:val="THeadlastNumber"/>
            </w:pPr>
          </w:p>
        </w:tc>
        <w:tc>
          <w:tcPr>
            <w:tcW w:w="1021" w:type="dxa"/>
            <w:tcBorders>
              <w:top w:val="single" w:sz="4" w:space="0" w:color="A59C94"/>
              <w:bottom w:val="single" w:sz="4" w:space="0" w:color="000000"/>
            </w:tcBorders>
            <w:shd w:val="clear" w:color="000000" w:fill="FFFFFF"/>
            <w:vAlign w:val="bottom"/>
          </w:tcPr>
          <w:p w14:paraId="2700AF8F" w14:textId="77777777" w:rsidR="00462845" w:rsidRDefault="00462845" w:rsidP="00F0526A">
            <w:pPr>
              <w:pStyle w:val="THeadlastNumber"/>
            </w:pPr>
            <w:r>
              <w:t>2023</w:t>
            </w:r>
          </w:p>
        </w:tc>
        <w:tc>
          <w:tcPr>
            <w:tcW w:w="119" w:type="dxa"/>
            <w:vAlign w:val="bottom"/>
          </w:tcPr>
          <w:p w14:paraId="605BD5FE" w14:textId="77777777" w:rsidR="00462845" w:rsidRDefault="00462845" w:rsidP="00F0526A">
            <w:pPr>
              <w:pStyle w:val="THeadlastNumber"/>
            </w:pPr>
          </w:p>
        </w:tc>
        <w:tc>
          <w:tcPr>
            <w:tcW w:w="1021" w:type="dxa"/>
            <w:tcBorders>
              <w:top w:val="single" w:sz="4" w:space="0" w:color="A59C94"/>
              <w:bottom w:val="single" w:sz="4" w:space="0" w:color="000000"/>
            </w:tcBorders>
            <w:shd w:val="clear" w:color="000000" w:fill="FFFFFF"/>
            <w:vAlign w:val="bottom"/>
          </w:tcPr>
          <w:p w14:paraId="3E2D5155" w14:textId="77777777" w:rsidR="00462845" w:rsidRDefault="00462845" w:rsidP="00F0526A">
            <w:pPr>
              <w:pStyle w:val="THeadlastNumberbold"/>
            </w:pPr>
            <w:r>
              <w:t>2024</w:t>
            </w:r>
          </w:p>
        </w:tc>
        <w:tc>
          <w:tcPr>
            <w:tcW w:w="119" w:type="dxa"/>
            <w:vAlign w:val="bottom"/>
          </w:tcPr>
          <w:p w14:paraId="6B95FE78" w14:textId="77777777" w:rsidR="00462845" w:rsidRDefault="00462845" w:rsidP="00F0526A">
            <w:pPr>
              <w:pStyle w:val="THeadlastNumber"/>
            </w:pPr>
          </w:p>
        </w:tc>
        <w:tc>
          <w:tcPr>
            <w:tcW w:w="1049" w:type="dxa"/>
            <w:tcBorders>
              <w:top w:val="single" w:sz="4" w:space="0" w:color="A59C94"/>
              <w:bottom w:val="single" w:sz="4" w:space="0" w:color="000000"/>
            </w:tcBorders>
            <w:shd w:val="clear" w:color="000000" w:fill="FFFFFF"/>
            <w:vAlign w:val="bottom"/>
          </w:tcPr>
          <w:p w14:paraId="74504491" w14:textId="002F59DE" w:rsidR="00462845" w:rsidRDefault="001F6672" w:rsidP="00F0526A">
            <w:pPr>
              <w:pStyle w:val="THeaddifferenceNumber"/>
              <w:keepNext/>
            </w:pPr>
            <w:r w:rsidRPr="007F5EDB">
              <w:rPr>
                <w:lang w:val="es-AR"/>
              </w:rPr>
              <w:t>Cambio</w:t>
            </w:r>
            <w:r>
              <w:t xml:space="preserve"> en %</w:t>
            </w:r>
          </w:p>
        </w:tc>
      </w:tr>
      <w:tr w:rsidR="00462845" w14:paraId="320ABF81" w14:textId="77777777" w:rsidTr="00462845">
        <w:tc>
          <w:tcPr>
            <w:tcW w:w="6333" w:type="dxa"/>
            <w:tcBorders>
              <w:top w:val="single" w:sz="4" w:space="0" w:color="000000"/>
              <w:bottom w:val="single" w:sz="4" w:space="0" w:color="A59C94"/>
            </w:tcBorders>
            <w:vAlign w:val="bottom"/>
          </w:tcPr>
          <w:p w14:paraId="6CCD2013" w14:textId="6CC5DFC9" w:rsidR="00462845" w:rsidRDefault="00462845" w:rsidP="00F0526A">
            <w:pPr>
              <w:pStyle w:val="TBodysubtotalText"/>
              <w:keepNext/>
            </w:pPr>
            <w:r>
              <w:t>Ven</w:t>
            </w:r>
            <w:r w:rsidR="001F6672">
              <w:t>t</w:t>
            </w:r>
            <w:r>
              <w:t>as</w:t>
            </w:r>
          </w:p>
        </w:tc>
        <w:tc>
          <w:tcPr>
            <w:tcW w:w="119" w:type="dxa"/>
            <w:vAlign w:val="bottom"/>
          </w:tcPr>
          <w:p w14:paraId="14545BF6" w14:textId="77777777" w:rsidR="00462845" w:rsidRDefault="00462845" w:rsidP="00F0526A">
            <w:pPr>
              <w:pStyle w:val="TBodysubtotalNumber"/>
              <w:keepNext/>
            </w:pPr>
          </w:p>
        </w:tc>
        <w:tc>
          <w:tcPr>
            <w:tcW w:w="1021" w:type="dxa"/>
            <w:tcBorders>
              <w:top w:val="single" w:sz="4" w:space="0" w:color="000000"/>
              <w:bottom w:val="single" w:sz="4" w:space="0" w:color="A59C94"/>
            </w:tcBorders>
            <w:vAlign w:val="bottom"/>
          </w:tcPr>
          <w:p w14:paraId="0358A4F1" w14:textId="15ECD364" w:rsidR="00462845" w:rsidRDefault="00462845" w:rsidP="00F0526A">
            <w:pPr>
              <w:pStyle w:val="TBodysubtotalNumber"/>
              <w:keepNext/>
            </w:pPr>
            <w:r>
              <w:t>4</w:t>
            </w:r>
            <w:r w:rsidR="00644028">
              <w:t>.</w:t>
            </w:r>
            <w:r>
              <w:t>005</w:t>
            </w:r>
          </w:p>
        </w:tc>
        <w:tc>
          <w:tcPr>
            <w:tcW w:w="119" w:type="dxa"/>
            <w:vAlign w:val="bottom"/>
          </w:tcPr>
          <w:p w14:paraId="7ABC6A58" w14:textId="77777777" w:rsidR="00462845" w:rsidRDefault="00462845" w:rsidP="00F0526A">
            <w:pPr>
              <w:pStyle w:val="TBodysubtotalNumber"/>
              <w:keepNext/>
            </w:pPr>
          </w:p>
        </w:tc>
        <w:tc>
          <w:tcPr>
            <w:tcW w:w="1021" w:type="dxa"/>
            <w:tcBorders>
              <w:top w:val="single" w:sz="4" w:space="0" w:color="000000"/>
              <w:bottom w:val="single" w:sz="4" w:space="0" w:color="A59C94"/>
            </w:tcBorders>
            <w:shd w:val="clear" w:color="000000" w:fill="DAD5C9"/>
            <w:vAlign w:val="bottom"/>
          </w:tcPr>
          <w:p w14:paraId="2948A609" w14:textId="0E8D9040" w:rsidR="00462845" w:rsidRDefault="00462845" w:rsidP="00F0526A">
            <w:pPr>
              <w:pStyle w:val="TBodysubtotalNumber"/>
              <w:keepNext/>
            </w:pPr>
            <w:r>
              <w:t>3</w:t>
            </w:r>
            <w:r w:rsidR="00644028">
              <w:t>.</w:t>
            </w:r>
            <w:r>
              <w:t>796</w:t>
            </w:r>
          </w:p>
        </w:tc>
        <w:tc>
          <w:tcPr>
            <w:tcW w:w="119" w:type="dxa"/>
            <w:vAlign w:val="bottom"/>
          </w:tcPr>
          <w:p w14:paraId="631668AE" w14:textId="77777777" w:rsidR="00462845" w:rsidRDefault="00462845" w:rsidP="00F0526A">
            <w:pPr>
              <w:pStyle w:val="TBodysubtotalNumber"/>
              <w:keepNext/>
            </w:pPr>
          </w:p>
        </w:tc>
        <w:tc>
          <w:tcPr>
            <w:tcW w:w="1049" w:type="dxa"/>
            <w:tcBorders>
              <w:top w:val="single" w:sz="4" w:space="0" w:color="000000"/>
              <w:bottom w:val="single" w:sz="4" w:space="0" w:color="A59C94"/>
            </w:tcBorders>
            <w:vAlign w:val="bottom"/>
          </w:tcPr>
          <w:p w14:paraId="6DBACB00" w14:textId="77777777" w:rsidR="00462845" w:rsidRDefault="00462845" w:rsidP="00F0526A">
            <w:pPr>
              <w:pStyle w:val="TBodysubtotalNumber"/>
              <w:keepNext/>
            </w:pPr>
            <w:r>
              <w:t>-5</w:t>
            </w:r>
          </w:p>
        </w:tc>
      </w:tr>
      <w:tr w:rsidR="00462845" w14:paraId="7058FF9C" w14:textId="77777777" w:rsidTr="00462845">
        <w:tc>
          <w:tcPr>
            <w:tcW w:w="6333" w:type="dxa"/>
            <w:tcBorders>
              <w:top w:val="single" w:sz="4" w:space="0" w:color="A59C94"/>
              <w:bottom w:val="single" w:sz="4" w:space="0" w:color="A59C94"/>
            </w:tcBorders>
            <w:vAlign w:val="bottom"/>
          </w:tcPr>
          <w:p w14:paraId="61617F1E" w14:textId="77777777" w:rsidR="00462845" w:rsidRDefault="00462845" w:rsidP="00F0526A">
            <w:pPr>
              <w:pStyle w:val="TBodysubtotalText"/>
              <w:keepNext/>
            </w:pPr>
            <w:r>
              <w:t>EBITDA ajustado</w:t>
            </w:r>
          </w:p>
        </w:tc>
        <w:tc>
          <w:tcPr>
            <w:tcW w:w="119" w:type="dxa"/>
            <w:vAlign w:val="bottom"/>
          </w:tcPr>
          <w:p w14:paraId="74569822" w14:textId="77777777" w:rsidR="00462845" w:rsidRDefault="00462845" w:rsidP="00F0526A">
            <w:pPr>
              <w:pStyle w:val="TBodysubtotalNumber"/>
              <w:keepNext/>
            </w:pPr>
          </w:p>
        </w:tc>
        <w:tc>
          <w:tcPr>
            <w:tcW w:w="1021" w:type="dxa"/>
            <w:tcBorders>
              <w:top w:val="single" w:sz="4" w:space="0" w:color="A59C94"/>
              <w:bottom w:val="single" w:sz="4" w:space="0" w:color="A59C94"/>
            </w:tcBorders>
            <w:vAlign w:val="bottom"/>
          </w:tcPr>
          <w:p w14:paraId="39174251" w14:textId="77777777" w:rsidR="00462845" w:rsidRDefault="00462845" w:rsidP="00F0526A">
            <w:pPr>
              <w:pStyle w:val="TBodysubtotalNumber"/>
              <w:keepNext/>
            </w:pPr>
            <w:r>
              <w:t>409</w:t>
            </w:r>
          </w:p>
        </w:tc>
        <w:tc>
          <w:tcPr>
            <w:tcW w:w="119" w:type="dxa"/>
            <w:vAlign w:val="bottom"/>
          </w:tcPr>
          <w:p w14:paraId="4C5801E7" w14:textId="77777777" w:rsidR="00462845" w:rsidRDefault="00462845" w:rsidP="00F0526A">
            <w:pPr>
              <w:pStyle w:val="TBodysubtotalNumber"/>
              <w:keepNext/>
            </w:pPr>
          </w:p>
        </w:tc>
        <w:tc>
          <w:tcPr>
            <w:tcW w:w="1021" w:type="dxa"/>
            <w:tcBorders>
              <w:top w:val="single" w:sz="4" w:space="0" w:color="A59C94"/>
              <w:bottom w:val="single" w:sz="4" w:space="0" w:color="A59C94"/>
            </w:tcBorders>
            <w:shd w:val="clear" w:color="000000" w:fill="DAD5C9"/>
            <w:vAlign w:val="bottom"/>
          </w:tcPr>
          <w:p w14:paraId="674DEB02" w14:textId="77777777" w:rsidR="00462845" w:rsidRDefault="00462845" w:rsidP="00F0526A">
            <w:pPr>
              <w:pStyle w:val="TBodysubtotalNumber"/>
              <w:keepNext/>
            </w:pPr>
            <w:r>
              <w:t>522</w:t>
            </w:r>
          </w:p>
        </w:tc>
        <w:tc>
          <w:tcPr>
            <w:tcW w:w="119" w:type="dxa"/>
            <w:vAlign w:val="bottom"/>
          </w:tcPr>
          <w:p w14:paraId="333DA1BD" w14:textId="77777777" w:rsidR="00462845" w:rsidRDefault="00462845" w:rsidP="00F0526A">
            <w:pPr>
              <w:pStyle w:val="TBodysubtotalNumber"/>
              <w:keepNext/>
            </w:pPr>
          </w:p>
        </w:tc>
        <w:tc>
          <w:tcPr>
            <w:tcW w:w="1049" w:type="dxa"/>
            <w:tcBorders>
              <w:top w:val="single" w:sz="4" w:space="0" w:color="A59C94"/>
              <w:bottom w:val="single" w:sz="4" w:space="0" w:color="A59C94"/>
            </w:tcBorders>
            <w:vAlign w:val="bottom"/>
          </w:tcPr>
          <w:p w14:paraId="5E72ACB8" w14:textId="77777777" w:rsidR="00462845" w:rsidRDefault="00462845" w:rsidP="00F0526A">
            <w:pPr>
              <w:pStyle w:val="TBodysubtotalNumber"/>
              <w:keepNext/>
            </w:pPr>
            <w:r>
              <w:t>28</w:t>
            </w:r>
          </w:p>
        </w:tc>
      </w:tr>
      <w:tr w:rsidR="00462845" w14:paraId="5276C0D2" w14:textId="77777777" w:rsidTr="00462845">
        <w:tc>
          <w:tcPr>
            <w:tcW w:w="6333" w:type="dxa"/>
            <w:tcBorders>
              <w:top w:val="single" w:sz="4" w:space="0" w:color="A59C94"/>
              <w:bottom w:val="single" w:sz="4" w:space="0" w:color="A59C94"/>
            </w:tcBorders>
            <w:vAlign w:val="bottom"/>
          </w:tcPr>
          <w:p w14:paraId="2152EBAD" w14:textId="77777777" w:rsidR="00462845" w:rsidRDefault="00462845" w:rsidP="00F0526A">
            <w:pPr>
              <w:pStyle w:val="TBodysubtotalText"/>
              <w:keepNext/>
            </w:pPr>
            <w:r>
              <w:t>EBIT ajustado</w:t>
            </w:r>
          </w:p>
        </w:tc>
        <w:tc>
          <w:tcPr>
            <w:tcW w:w="119" w:type="dxa"/>
            <w:vAlign w:val="bottom"/>
          </w:tcPr>
          <w:p w14:paraId="052803D3" w14:textId="77777777" w:rsidR="00462845" w:rsidRDefault="00462845" w:rsidP="00F0526A">
            <w:pPr>
              <w:pStyle w:val="TBodysubtotalNumber"/>
              <w:keepNext/>
            </w:pPr>
          </w:p>
        </w:tc>
        <w:tc>
          <w:tcPr>
            <w:tcW w:w="1021" w:type="dxa"/>
            <w:tcBorders>
              <w:top w:val="single" w:sz="4" w:space="0" w:color="A59C94"/>
              <w:bottom w:val="single" w:sz="4" w:space="0" w:color="A59C94"/>
            </w:tcBorders>
            <w:vAlign w:val="bottom"/>
          </w:tcPr>
          <w:p w14:paraId="6B275D10" w14:textId="77777777" w:rsidR="00462845" w:rsidRDefault="00462845" w:rsidP="00F0526A">
            <w:pPr>
              <w:pStyle w:val="TBodysubtotalNumber"/>
              <w:keepNext/>
            </w:pPr>
            <w:r>
              <w:t>130</w:t>
            </w:r>
          </w:p>
        </w:tc>
        <w:tc>
          <w:tcPr>
            <w:tcW w:w="119" w:type="dxa"/>
            <w:vAlign w:val="bottom"/>
          </w:tcPr>
          <w:p w14:paraId="602A1D7B" w14:textId="77777777" w:rsidR="00462845" w:rsidRDefault="00462845" w:rsidP="00F0526A">
            <w:pPr>
              <w:pStyle w:val="TBodysubtotalNumber"/>
              <w:keepNext/>
            </w:pPr>
          </w:p>
        </w:tc>
        <w:tc>
          <w:tcPr>
            <w:tcW w:w="1021" w:type="dxa"/>
            <w:tcBorders>
              <w:top w:val="single" w:sz="4" w:space="0" w:color="A59C94"/>
              <w:bottom w:val="single" w:sz="4" w:space="0" w:color="A59C94"/>
            </w:tcBorders>
            <w:shd w:val="clear" w:color="000000" w:fill="DAD5C9"/>
            <w:vAlign w:val="bottom"/>
          </w:tcPr>
          <w:p w14:paraId="4AB9DC76" w14:textId="77777777" w:rsidR="00462845" w:rsidRDefault="00462845" w:rsidP="00F0526A">
            <w:pPr>
              <w:pStyle w:val="TBodysubtotalNumber"/>
              <w:keepNext/>
            </w:pPr>
            <w:r>
              <w:t>266</w:t>
            </w:r>
          </w:p>
        </w:tc>
        <w:tc>
          <w:tcPr>
            <w:tcW w:w="119" w:type="dxa"/>
            <w:vAlign w:val="bottom"/>
          </w:tcPr>
          <w:p w14:paraId="574B8078" w14:textId="77777777" w:rsidR="00462845" w:rsidRDefault="00462845" w:rsidP="00F0526A">
            <w:pPr>
              <w:pStyle w:val="TBodysubtotalNumber"/>
              <w:keepNext/>
            </w:pPr>
          </w:p>
        </w:tc>
        <w:tc>
          <w:tcPr>
            <w:tcW w:w="1049" w:type="dxa"/>
            <w:tcBorders>
              <w:top w:val="single" w:sz="4" w:space="0" w:color="A59C94"/>
              <w:bottom w:val="single" w:sz="4" w:space="0" w:color="A59C94"/>
            </w:tcBorders>
            <w:vAlign w:val="bottom"/>
          </w:tcPr>
          <w:p w14:paraId="068C6120" w14:textId="77777777" w:rsidR="00462845" w:rsidRDefault="00462845" w:rsidP="00F0526A">
            <w:pPr>
              <w:pStyle w:val="TBodysubtotalNumber"/>
              <w:keepNext/>
            </w:pPr>
            <w:r>
              <w:t>105</w:t>
            </w:r>
          </w:p>
        </w:tc>
      </w:tr>
      <w:tr w:rsidR="00462845" w14:paraId="03538E1E" w14:textId="77777777" w:rsidTr="00462845">
        <w:tc>
          <w:tcPr>
            <w:tcW w:w="6333" w:type="dxa"/>
            <w:tcBorders>
              <w:top w:val="single" w:sz="4" w:space="0" w:color="A59C94"/>
              <w:bottom w:val="single" w:sz="4" w:space="0" w:color="A59C94"/>
            </w:tcBorders>
            <w:vAlign w:val="bottom"/>
          </w:tcPr>
          <w:p w14:paraId="30D01AF9" w14:textId="77777777" w:rsidR="00462845" w:rsidRDefault="00462845" w:rsidP="00F0526A">
            <w:pPr>
              <w:pStyle w:val="TBodynormalText"/>
            </w:pPr>
            <w:r>
              <w:t>Ajustes</w:t>
            </w:r>
          </w:p>
        </w:tc>
        <w:tc>
          <w:tcPr>
            <w:tcW w:w="119" w:type="dxa"/>
            <w:vAlign w:val="bottom"/>
          </w:tcPr>
          <w:p w14:paraId="3AA77E66" w14:textId="77777777" w:rsidR="00462845" w:rsidRDefault="00462845" w:rsidP="00F0526A">
            <w:pPr>
              <w:pStyle w:val="TBodynormalNumber"/>
              <w:keepNext/>
            </w:pPr>
          </w:p>
        </w:tc>
        <w:tc>
          <w:tcPr>
            <w:tcW w:w="1021" w:type="dxa"/>
            <w:tcBorders>
              <w:top w:val="single" w:sz="4" w:space="0" w:color="A59C94"/>
              <w:bottom w:val="single" w:sz="4" w:space="0" w:color="A59C94"/>
            </w:tcBorders>
            <w:vAlign w:val="bottom"/>
          </w:tcPr>
          <w:p w14:paraId="46A8F4E2" w14:textId="77777777" w:rsidR="00462845" w:rsidRDefault="00462845" w:rsidP="00F0526A">
            <w:pPr>
              <w:pStyle w:val="TBodynormalNumber"/>
              <w:keepNext/>
            </w:pPr>
            <w:r>
              <w:t>-47</w:t>
            </w:r>
          </w:p>
        </w:tc>
        <w:tc>
          <w:tcPr>
            <w:tcW w:w="119" w:type="dxa"/>
            <w:vAlign w:val="bottom"/>
          </w:tcPr>
          <w:p w14:paraId="5AC7562B" w14:textId="77777777" w:rsidR="00462845" w:rsidRDefault="00462845" w:rsidP="00F0526A">
            <w:pPr>
              <w:pStyle w:val="TBodynormalNumber"/>
              <w:keepNext/>
            </w:pPr>
          </w:p>
        </w:tc>
        <w:tc>
          <w:tcPr>
            <w:tcW w:w="1021" w:type="dxa"/>
            <w:tcBorders>
              <w:top w:val="single" w:sz="4" w:space="0" w:color="A59C94"/>
              <w:bottom w:val="single" w:sz="4" w:space="0" w:color="A59C94"/>
            </w:tcBorders>
            <w:shd w:val="clear" w:color="000000" w:fill="DAD5C9"/>
            <w:vAlign w:val="bottom"/>
          </w:tcPr>
          <w:p w14:paraId="2C41A82F" w14:textId="77777777" w:rsidR="00462845" w:rsidRDefault="00462845" w:rsidP="00F0526A">
            <w:pPr>
              <w:pStyle w:val="TBodynormalNumber"/>
              <w:keepNext/>
            </w:pPr>
            <w:r>
              <w:t>-14</w:t>
            </w:r>
          </w:p>
        </w:tc>
        <w:tc>
          <w:tcPr>
            <w:tcW w:w="119" w:type="dxa"/>
            <w:vAlign w:val="bottom"/>
          </w:tcPr>
          <w:p w14:paraId="6DDDD083" w14:textId="77777777" w:rsidR="00462845" w:rsidRDefault="00462845" w:rsidP="00F0526A">
            <w:pPr>
              <w:pStyle w:val="TBodynormalNumber"/>
              <w:keepNext/>
            </w:pPr>
          </w:p>
        </w:tc>
        <w:tc>
          <w:tcPr>
            <w:tcW w:w="1049" w:type="dxa"/>
            <w:tcBorders>
              <w:top w:val="single" w:sz="4" w:space="0" w:color="A59C94"/>
              <w:bottom w:val="single" w:sz="4" w:space="0" w:color="A59C94"/>
            </w:tcBorders>
            <w:vAlign w:val="bottom"/>
          </w:tcPr>
          <w:p w14:paraId="71952FB1" w14:textId="77777777" w:rsidR="00462845" w:rsidRDefault="00462845" w:rsidP="00F0526A">
            <w:pPr>
              <w:pStyle w:val="TBodynormalNumber"/>
              <w:keepNext/>
            </w:pPr>
          </w:p>
        </w:tc>
      </w:tr>
      <w:tr w:rsidR="00462845" w14:paraId="32859E7C" w14:textId="77777777" w:rsidTr="00462845">
        <w:tc>
          <w:tcPr>
            <w:tcW w:w="6333" w:type="dxa"/>
            <w:tcBorders>
              <w:top w:val="single" w:sz="4" w:space="0" w:color="A59C94"/>
              <w:bottom w:val="single" w:sz="4" w:space="0" w:color="A59C94"/>
            </w:tcBorders>
            <w:vAlign w:val="bottom"/>
          </w:tcPr>
          <w:p w14:paraId="377FCF45" w14:textId="5D6F9113" w:rsidR="00462845" w:rsidRDefault="001F6672" w:rsidP="00F0526A">
            <w:pPr>
              <w:pStyle w:val="TBodynormalText"/>
            </w:pPr>
            <w:r>
              <w:t>Resultado financiero</w:t>
            </w:r>
          </w:p>
        </w:tc>
        <w:tc>
          <w:tcPr>
            <w:tcW w:w="119" w:type="dxa"/>
            <w:vAlign w:val="bottom"/>
          </w:tcPr>
          <w:p w14:paraId="3D3F50A7" w14:textId="77777777" w:rsidR="00462845" w:rsidRDefault="00462845" w:rsidP="00F0526A">
            <w:pPr>
              <w:pStyle w:val="TBodynormalNumber"/>
              <w:keepNext/>
            </w:pPr>
          </w:p>
        </w:tc>
        <w:tc>
          <w:tcPr>
            <w:tcW w:w="1021" w:type="dxa"/>
            <w:tcBorders>
              <w:top w:val="single" w:sz="4" w:space="0" w:color="A59C94"/>
              <w:bottom w:val="single" w:sz="4" w:space="0" w:color="A59C94"/>
            </w:tcBorders>
            <w:vAlign w:val="bottom"/>
          </w:tcPr>
          <w:p w14:paraId="4105E531" w14:textId="77777777" w:rsidR="00462845" w:rsidRDefault="00462845" w:rsidP="00F0526A">
            <w:pPr>
              <w:pStyle w:val="TBodynormalNumber"/>
              <w:keepNext/>
            </w:pPr>
            <w:r>
              <w:t>-14</w:t>
            </w:r>
          </w:p>
        </w:tc>
        <w:tc>
          <w:tcPr>
            <w:tcW w:w="119" w:type="dxa"/>
            <w:vAlign w:val="bottom"/>
          </w:tcPr>
          <w:p w14:paraId="1A36706E" w14:textId="77777777" w:rsidR="00462845" w:rsidRDefault="00462845" w:rsidP="00F0526A">
            <w:pPr>
              <w:pStyle w:val="TBodynormalNumber"/>
              <w:keepNext/>
            </w:pPr>
          </w:p>
        </w:tc>
        <w:tc>
          <w:tcPr>
            <w:tcW w:w="1021" w:type="dxa"/>
            <w:tcBorders>
              <w:top w:val="single" w:sz="4" w:space="0" w:color="A59C94"/>
              <w:bottom w:val="single" w:sz="4" w:space="0" w:color="A59C94"/>
            </w:tcBorders>
            <w:shd w:val="clear" w:color="000000" w:fill="DAD5C9"/>
            <w:vAlign w:val="bottom"/>
          </w:tcPr>
          <w:p w14:paraId="3583E774" w14:textId="77777777" w:rsidR="00462845" w:rsidRDefault="00462845" w:rsidP="00F0526A">
            <w:pPr>
              <w:pStyle w:val="TBodynormalNumber"/>
              <w:keepNext/>
            </w:pPr>
            <w:r>
              <w:t>-33</w:t>
            </w:r>
          </w:p>
        </w:tc>
        <w:tc>
          <w:tcPr>
            <w:tcW w:w="119" w:type="dxa"/>
            <w:vAlign w:val="bottom"/>
          </w:tcPr>
          <w:p w14:paraId="20532F86" w14:textId="77777777" w:rsidR="00462845" w:rsidRDefault="00462845" w:rsidP="00F0526A">
            <w:pPr>
              <w:pStyle w:val="TBodynormalNumber"/>
              <w:keepNext/>
            </w:pPr>
          </w:p>
        </w:tc>
        <w:tc>
          <w:tcPr>
            <w:tcW w:w="1049" w:type="dxa"/>
            <w:tcBorders>
              <w:top w:val="single" w:sz="4" w:space="0" w:color="A59C94"/>
              <w:bottom w:val="single" w:sz="4" w:space="0" w:color="A59C94"/>
            </w:tcBorders>
            <w:vAlign w:val="bottom"/>
          </w:tcPr>
          <w:p w14:paraId="3252EE1D" w14:textId="77777777" w:rsidR="00462845" w:rsidRDefault="00462845" w:rsidP="00F0526A">
            <w:pPr>
              <w:pStyle w:val="TBodynormalNumber"/>
              <w:keepNext/>
            </w:pPr>
          </w:p>
        </w:tc>
      </w:tr>
      <w:tr w:rsidR="00462845" w14:paraId="7030FF44" w14:textId="77777777" w:rsidTr="00462845">
        <w:tc>
          <w:tcPr>
            <w:tcW w:w="6333" w:type="dxa"/>
            <w:tcBorders>
              <w:top w:val="single" w:sz="4" w:space="0" w:color="A59C94"/>
              <w:bottom w:val="single" w:sz="4" w:space="0" w:color="000000"/>
            </w:tcBorders>
            <w:vAlign w:val="bottom"/>
          </w:tcPr>
          <w:p w14:paraId="4B1DCD9E" w14:textId="44334D28" w:rsidR="00462845" w:rsidRPr="00F53E96" w:rsidRDefault="001F6672" w:rsidP="00F0526A">
            <w:pPr>
              <w:pStyle w:val="TBodysubtotalText"/>
              <w:keepNext/>
              <w:rPr>
                <w:lang w:val="pt-BR"/>
              </w:rPr>
            </w:pPr>
            <w:r w:rsidRPr="00903101">
              <w:rPr>
                <w:lang w:val="es-AR"/>
              </w:rPr>
              <w:t>Ingresos antes de</w:t>
            </w:r>
            <w:r>
              <w:rPr>
                <w:lang w:val="es-AR"/>
              </w:rPr>
              <w:t xml:space="preserve"> IR,</w:t>
            </w:r>
            <w:r w:rsidRPr="00903101">
              <w:rPr>
                <w:lang w:val="es-AR"/>
              </w:rPr>
              <w:t xml:space="preserve"> operaciones continuas</w:t>
            </w:r>
          </w:p>
        </w:tc>
        <w:tc>
          <w:tcPr>
            <w:tcW w:w="119" w:type="dxa"/>
            <w:vAlign w:val="bottom"/>
          </w:tcPr>
          <w:p w14:paraId="516606AE" w14:textId="77777777" w:rsidR="00462845" w:rsidRPr="00F53E96" w:rsidRDefault="00462845" w:rsidP="00F0526A">
            <w:pPr>
              <w:pStyle w:val="TBodysubtotalNumber"/>
              <w:keepNext/>
              <w:rPr>
                <w:lang w:val="pt-BR"/>
              </w:rPr>
            </w:pPr>
          </w:p>
        </w:tc>
        <w:tc>
          <w:tcPr>
            <w:tcW w:w="1021" w:type="dxa"/>
            <w:tcBorders>
              <w:top w:val="single" w:sz="4" w:space="0" w:color="A59C94"/>
              <w:bottom w:val="single" w:sz="4" w:space="0" w:color="000000"/>
            </w:tcBorders>
            <w:vAlign w:val="bottom"/>
          </w:tcPr>
          <w:p w14:paraId="521B2AB6" w14:textId="77777777" w:rsidR="00462845" w:rsidRDefault="00462845" w:rsidP="00F0526A">
            <w:pPr>
              <w:pStyle w:val="TBodysubtotalNumber"/>
              <w:keepNext/>
            </w:pPr>
            <w:r>
              <w:t>69</w:t>
            </w:r>
          </w:p>
        </w:tc>
        <w:tc>
          <w:tcPr>
            <w:tcW w:w="119" w:type="dxa"/>
            <w:vAlign w:val="bottom"/>
          </w:tcPr>
          <w:p w14:paraId="7742585D" w14:textId="77777777" w:rsidR="00462845" w:rsidRDefault="00462845" w:rsidP="00F0526A">
            <w:pPr>
              <w:pStyle w:val="TBodysubtotalNumber"/>
              <w:keepNext/>
            </w:pPr>
          </w:p>
        </w:tc>
        <w:tc>
          <w:tcPr>
            <w:tcW w:w="1021" w:type="dxa"/>
            <w:tcBorders>
              <w:top w:val="single" w:sz="4" w:space="0" w:color="A59C94"/>
              <w:bottom w:val="single" w:sz="4" w:space="0" w:color="000000"/>
            </w:tcBorders>
            <w:shd w:val="clear" w:color="000000" w:fill="DAD5C9"/>
            <w:vAlign w:val="bottom"/>
          </w:tcPr>
          <w:p w14:paraId="4744D63B" w14:textId="77777777" w:rsidR="00462845" w:rsidRDefault="00462845" w:rsidP="00F0526A">
            <w:pPr>
              <w:pStyle w:val="TBodysubtotalNumber"/>
              <w:keepNext/>
            </w:pPr>
            <w:r>
              <w:t>219</w:t>
            </w:r>
          </w:p>
        </w:tc>
        <w:tc>
          <w:tcPr>
            <w:tcW w:w="119" w:type="dxa"/>
            <w:vAlign w:val="bottom"/>
          </w:tcPr>
          <w:p w14:paraId="36DB6562" w14:textId="77777777" w:rsidR="00462845" w:rsidRDefault="00462845" w:rsidP="00F0526A">
            <w:pPr>
              <w:pStyle w:val="TBodysubtotalNumber"/>
              <w:keepNext/>
            </w:pPr>
          </w:p>
        </w:tc>
        <w:tc>
          <w:tcPr>
            <w:tcW w:w="1049" w:type="dxa"/>
            <w:tcBorders>
              <w:top w:val="single" w:sz="4" w:space="0" w:color="A59C94"/>
              <w:bottom w:val="single" w:sz="4" w:space="0" w:color="000000"/>
            </w:tcBorders>
            <w:vAlign w:val="bottom"/>
          </w:tcPr>
          <w:p w14:paraId="19CD332D" w14:textId="77777777" w:rsidR="00462845" w:rsidRDefault="00462845" w:rsidP="00F0526A">
            <w:pPr>
              <w:pStyle w:val="TBodysubtotalNumber"/>
              <w:keepNext/>
            </w:pPr>
            <w:r>
              <w:t>217</w:t>
            </w:r>
          </w:p>
        </w:tc>
      </w:tr>
      <w:tr w:rsidR="00462845" w14:paraId="0C597BBE" w14:textId="77777777" w:rsidTr="00462845">
        <w:tc>
          <w:tcPr>
            <w:tcW w:w="6333" w:type="dxa"/>
            <w:tcBorders>
              <w:top w:val="single" w:sz="4" w:space="0" w:color="000000"/>
              <w:bottom w:val="single" w:sz="4" w:space="0" w:color="A59C94"/>
            </w:tcBorders>
            <w:vAlign w:val="bottom"/>
          </w:tcPr>
          <w:p w14:paraId="22BDBD34" w14:textId="7E22AED5" w:rsidR="00462845" w:rsidRPr="003B50BB" w:rsidRDefault="001F6672" w:rsidP="00F0526A">
            <w:pPr>
              <w:pStyle w:val="TBodynormalText"/>
              <w:rPr>
                <w:color w:val="auto"/>
              </w:rPr>
            </w:pPr>
            <w:r>
              <w:t>Impuestos sobre la renta</w:t>
            </w:r>
          </w:p>
        </w:tc>
        <w:tc>
          <w:tcPr>
            <w:tcW w:w="119" w:type="dxa"/>
            <w:vAlign w:val="bottom"/>
          </w:tcPr>
          <w:p w14:paraId="64104423" w14:textId="77777777" w:rsidR="00462845" w:rsidRDefault="00462845" w:rsidP="00F0526A">
            <w:pPr>
              <w:pStyle w:val="TBodynormalNumber"/>
              <w:keepNext/>
            </w:pPr>
          </w:p>
        </w:tc>
        <w:tc>
          <w:tcPr>
            <w:tcW w:w="1021" w:type="dxa"/>
            <w:tcBorders>
              <w:top w:val="single" w:sz="4" w:space="0" w:color="000000"/>
              <w:bottom w:val="single" w:sz="4" w:space="0" w:color="A59C94"/>
            </w:tcBorders>
            <w:vAlign w:val="bottom"/>
          </w:tcPr>
          <w:p w14:paraId="5F12E128" w14:textId="77777777" w:rsidR="00462845" w:rsidRDefault="00462845" w:rsidP="00F0526A">
            <w:pPr>
              <w:pStyle w:val="TBodynormalNumber"/>
              <w:keepNext/>
            </w:pPr>
            <w:r>
              <w:t>-20</w:t>
            </w:r>
          </w:p>
        </w:tc>
        <w:tc>
          <w:tcPr>
            <w:tcW w:w="119" w:type="dxa"/>
            <w:vAlign w:val="bottom"/>
          </w:tcPr>
          <w:p w14:paraId="7254B1B1" w14:textId="77777777" w:rsidR="00462845" w:rsidRDefault="00462845" w:rsidP="00F0526A">
            <w:pPr>
              <w:pStyle w:val="TBodynormalNumber"/>
              <w:keepNext/>
            </w:pPr>
          </w:p>
        </w:tc>
        <w:tc>
          <w:tcPr>
            <w:tcW w:w="1021" w:type="dxa"/>
            <w:tcBorders>
              <w:top w:val="single" w:sz="4" w:space="0" w:color="000000"/>
              <w:bottom w:val="single" w:sz="4" w:space="0" w:color="A59C94"/>
            </w:tcBorders>
            <w:shd w:val="clear" w:color="000000" w:fill="DAD5C9"/>
            <w:vAlign w:val="bottom"/>
          </w:tcPr>
          <w:p w14:paraId="3631BE4D" w14:textId="77777777" w:rsidR="00462845" w:rsidRDefault="00462845" w:rsidP="00F0526A">
            <w:pPr>
              <w:pStyle w:val="TBodynormalNumber"/>
              <w:keepNext/>
            </w:pPr>
            <w:r>
              <w:t>-59</w:t>
            </w:r>
          </w:p>
        </w:tc>
        <w:tc>
          <w:tcPr>
            <w:tcW w:w="119" w:type="dxa"/>
            <w:vAlign w:val="bottom"/>
          </w:tcPr>
          <w:p w14:paraId="2D5E5223" w14:textId="77777777" w:rsidR="00462845" w:rsidRDefault="00462845" w:rsidP="00F0526A">
            <w:pPr>
              <w:pStyle w:val="TBodynormalNumber"/>
              <w:keepNext/>
            </w:pPr>
          </w:p>
        </w:tc>
        <w:tc>
          <w:tcPr>
            <w:tcW w:w="1049" w:type="dxa"/>
            <w:tcBorders>
              <w:top w:val="single" w:sz="4" w:space="0" w:color="000000"/>
              <w:bottom w:val="single" w:sz="4" w:space="0" w:color="A59C94"/>
            </w:tcBorders>
            <w:vAlign w:val="bottom"/>
          </w:tcPr>
          <w:p w14:paraId="1681CB1B" w14:textId="77777777" w:rsidR="00462845" w:rsidRDefault="00462845" w:rsidP="00F0526A">
            <w:pPr>
              <w:pStyle w:val="TBodynormalNumber"/>
              <w:keepNext/>
            </w:pPr>
          </w:p>
        </w:tc>
      </w:tr>
      <w:tr w:rsidR="00462845" w14:paraId="36EB4336" w14:textId="77777777" w:rsidTr="00462845">
        <w:tc>
          <w:tcPr>
            <w:tcW w:w="6333" w:type="dxa"/>
            <w:tcBorders>
              <w:top w:val="single" w:sz="4" w:space="0" w:color="A59C94"/>
              <w:bottom w:val="single" w:sz="4" w:space="0" w:color="000000"/>
            </w:tcBorders>
            <w:vAlign w:val="bottom"/>
          </w:tcPr>
          <w:p w14:paraId="5FECCC96" w14:textId="04944E82" w:rsidR="00462845" w:rsidRPr="003B50BB" w:rsidRDefault="001F6672" w:rsidP="00F0526A">
            <w:pPr>
              <w:pStyle w:val="TBodysubtotalText"/>
              <w:keepNext/>
              <w:rPr>
                <w:color w:val="auto"/>
              </w:rPr>
            </w:pPr>
            <w:r>
              <w:rPr>
                <w:lang w:val="es-AR"/>
              </w:rPr>
              <w:t>Resultado después de impuestos</w:t>
            </w:r>
          </w:p>
        </w:tc>
        <w:tc>
          <w:tcPr>
            <w:tcW w:w="119" w:type="dxa"/>
            <w:vAlign w:val="bottom"/>
          </w:tcPr>
          <w:p w14:paraId="1A7188E9" w14:textId="77777777" w:rsidR="00462845" w:rsidRDefault="00462845" w:rsidP="00F0526A">
            <w:pPr>
              <w:pStyle w:val="TBodysubtotalNumber"/>
              <w:keepNext/>
            </w:pPr>
          </w:p>
        </w:tc>
        <w:tc>
          <w:tcPr>
            <w:tcW w:w="1021" w:type="dxa"/>
            <w:tcBorders>
              <w:top w:val="single" w:sz="4" w:space="0" w:color="A59C94"/>
              <w:bottom w:val="single" w:sz="4" w:space="0" w:color="000000"/>
            </w:tcBorders>
            <w:vAlign w:val="bottom"/>
          </w:tcPr>
          <w:p w14:paraId="109E1423" w14:textId="77777777" w:rsidR="00462845" w:rsidRDefault="00462845" w:rsidP="00F0526A">
            <w:pPr>
              <w:pStyle w:val="TBodysubtotalNumber"/>
              <w:keepNext/>
            </w:pPr>
            <w:r>
              <w:t>49</w:t>
            </w:r>
          </w:p>
        </w:tc>
        <w:tc>
          <w:tcPr>
            <w:tcW w:w="119" w:type="dxa"/>
            <w:vAlign w:val="bottom"/>
          </w:tcPr>
          <w:p w14:paraId="1B772CC1" w14:textId="77777777" w:rsidR="00462845" w:rsidRDefault="00462845" w:rsidP="00F0526A">
            <w:pPr>
              <w:pStyle w:val="TBodysubtotalNumber"/>
              <w:keepNext/>
            </w:pPr>
          </w:p>
        </w:tc>
        <w:tc>
          <w:tcPr>
            <w:tcW w:w="1021" w:type="dxa"/>
            <w:tcBorders>
              <w:top w:val="single" w:sz="4" w:space="0" w:color="A59C94"/>
              <w:bottom w:val="single" w:sz="4" w:space="0" w:color="000000"/>
            </w:tcBorders>
            <w:shd w:val="clear" w:color="000000" w:fill="DAD5C9"/>
            <w:vAlign w:val="bottom"/>
          </w:tcPr>
          <w:p w14:paraId="45FC97C5" w14:textId="77777777" w:rsidR="00462845" w:rsidRDefault="00462845" w:rsidP="00F0526A">
            <w:pPr>
              <w:pStyle w:val="TBodysubtotalNumber"/>
              <w:keepNext/>
            </w:pPr>
            <w:r>
              <w:t>160</w:t>
            </w:r>
          </w:p>
        </w:tc>
        <w:tc>
          <w:tcPr>
            <w:tcW w:w="119" w:type="dxa"/>
            <w:vAlign w:val="bottom"/>
          </w:tcPr>
          <w:p w14:paraId="06572820" w14:textId="77777777" w:rsidR="00462845" w:rsidRDefault="00462845" w:rsidP="00F0526A">
            <w:pPr>
              <w:pStyle w:val="TBodysubtotalNumber"/>
              <w:keepNext/>
            </w:pPr>
          </w:p>
        </w:tc>
        <w:tc>
          <w:tcPr>
            <w:tcW w:w="1049" w:type="dxa"/>
            <w:tcBorders>
              <w:top w:val="single" w:sz="4" w:space="0" w:color="A59C94"/>
              <w:bottom w:val="single" w:sz="4" w:space="0" w:color="000000"/>
            </w:tcBorders>
            <w:vAlign w:val="bottom"/>
          </w:tcPr>
          <w:p w14:paraId="58AB1902" w14:textId="77777777" w:rsidR="00462845" w:rsidRDefault="00462845" w:rsidP="00F0526A">
            <w:pPr>
              <w:pStyle w:val="TBodysubtotalNumber"/>
              <w:keepNext/>
            </w:pPr>
            <w:r>
              <w:t>227</w:t>
            </w:r>
          </w:p>
        </w:tc>
      </w:tr>
      <w:tr w:rsidR="001F6672" w14:paraId="341064E7" w14:textId="77777777" w:rsidTr="00462845">
        <w:tc>
          <w:tcPr>
            <w:tcW w:w="6333" w:type="dxa"/>
            <w:tcBorders>
              <w:top w:val="single" w:sz="4" w:space="0" w:color="000000"/>
              <w:bottom w:val="single" w:sz="4" w:space="0" w:color="A59C94"/>
            </w:tcBorders>
            <w:vAlign w:val="bottom"/>
          </w:tcPr>
          <w:p w14:paraId="7A7E2E27" w14:textId="25677548" w:rsidR="001F6672" w:rsidRPr="001F6672" w:rsidRDefault="001F6672" w:rsidP="001F6672">
            <w:pPr>
              <w:pStyle w:val="TBodyindent5Text"/>
              <w:keepNext/>
              <w:ind w:left="0"/>
              <w:rPr>
                <w:lang w:val="es-419"/>
              </w:rPr>
            </w:pPr>
            <w:r w:rsidRPr="00A23564">
              <w:rPr>
                <w:lang w:val="es-ES"/>
              </w:rPr>
              <w:t xml:space="preserve">De ello </w:t>
            </w:r>
            <w:r>
              <w:rPr>
                <w:lang w:val="es-ES"/>
              </w:rPr>
              <w:t xml:space="preserve">imputable </w:t>
            </w:r>
            <w:r w:rsidRPr="00A23564">
              <w:rPr>
                <w:lang w:val="es-ES"/>
              </w:rPr>
              <w:t>a intereses minoritarios</w:t>
            </w:r>
          </w:p>
        </w:tc>
        <w:tc>
          <w:tcPr>
            <w:tcW w:w="119" w:type="dxa"/>
            <w:vAlign w:val="bottom"/>
          </w:tcPr>
          <w:p w14:paraId="55BD8F91" w14:textId="77777777" w:rsidR="001F6672" w:rsidRPr="001F6672" w:rsidRDefault="001F6672" w:rsidP="001F6672">
            <w:pPr>
              <w:pStyle w:val="TBodyindent3Number"/>
              <w:keepNext/>
              <w:rPr>
                <w:lang w:val="es-419"/>
              </w:rPr>
            </w:pPr>
          </w:p>
        </w:tc>
        <w:tc>
          <w:tcPr>
            <w:tcW w:w="1021" w:type="dxa"/>
            <w:tcBorders>
              <w:top w:val="single" w:sz="4" w:space="0" w:color="000000"/>
              <w:bottom w:val="single" w:sz="4" w:space="0" w:color="A59C94"/>
            </w:tcBorders>
            <w:vAlign w:val="bottom"/>
          </w:tcPr>
          <w:p w14:paraId="6439A230" w14:textId="77777777" w:rsidR="001F6672" w:rsidRDefault="001F6672" w:rsidP="001F6672">
            <w:pPr>
              <w:pStyle w:val="TBodyindent3Number"/>
              <w:keepNext/>
            </w:pPr>
            <w:r>
              <w:t>2</w:t>
            </w:r>
          </w:p>
        </w:tc>
        <w:tc>
          <w:tcPr>
            <w:tcW w:w="119" w:type="dxa"/>
            <w:vAlign w:val="bottom"/>
          </w:tcPr>
          <w:p w14:paraId="120FF697" w14:textId="77777777" w:rsidR="001F6672" w:rsidRDefault="001F6672" w:rsidP="001F6672">
            <w:pPr>
              <w:pStyle w:val="TBodyindent3Number"/>
              <w:keepNext/>
            </w:pPr>
          </w:p>
        </w:tc>
        <w:tc>
          <w:tcPr>
            <w:tcW w:w="1021" w:type="dxa"/>
            <w:tcBorders>
              <w:top w:val="single" w:sz="4" w:space="0" w:color="000000"/>
              <w:bottom w:val="single" w:sz="4" w:space="0" w:color="A59C94"/>
            </w:tcBorders>
            <w:shd w:val="clear" w:color="000000" w:fill="DAD5C9"/>
            <w:vAlign w:val="bottom"/>
          </w:tcPr>
          <w:p w14:paraId="0973A898" w14:textId="77777777" w:rsidR="001F6672" w:rsidRDefault="001F6672" w:rsidP="001F6672">
            <w:pPr>
              <w:pStyle w:val="TBodyindent3Number"/>
              <w:keepNext/>
            </w:pPr>
            <w:r>
              <w:t>4</w:t>
            </w:r>
          </w:p>
        </w:tc>
        <w:tc>
          <w:tcPr>
            <w:tcW w:w="119" w:type="dxa"/>
            <w:vAlign w:val="bottom"/>
          </w:tcPr>
          <w:p w14:paraId="3517895D" w14:textId="77777777" w:rsidR="001F6672" w:rsidRDefault="001F6672" w:rsidP="001F6672">
            <w:pPr>
              <w:pStyle w:val="TBodyindent3Number"/>
              <w:keepNext/>
            </w:pPr>
          </w:p>
        </w:tc>
        <w:tc>
          <w:tcPr>
            <w:tcW w:w="1049" w:type="dxa"/>
            <w:tcBorders>
              <w:top w:val="single" w:sz="4" w:space="0" w:color="000000"/>
              <w:bottom w:val="single" w:sz="4" w:space="0" w:color="A59C94"/>
            </w:tcBorders>
            <w:vAlign w:val="bottom"/>
          </w:tcPr>
          <w:p w14:paraId="62FD8CD3" w14:textId="77777777" w:rsidR="001F6672" w:rsidRDefault="001F6672" w:rsidP="001F6672">
            <w:pPr>
              <w:pStyle w:val="TBodyindent3Number"/>
              <w:keepNext/>
            </w:pPr>
          </w:p>
        </w:tc>
      </w:tr>
      <w:tr w:rsidR="001F6672" w14:paraId="61BFD7AF" w14:textId="77777777" w:rsidTr="00462845">
        <w:tc>
          <w:tcPr>
            <w:tcW w:w="6333" w:type="dxa"/>
            <w:tcBorders>
              <w:top w:val="single" w:sz="4" w:space="0" w:color="A59C94"/>
              <w:bottom w:val="single" w:sz="4" w:space="0" w:color="000000"/>
            </w:tcBorders>
            <w:vAlign w:val="bottom"/>
          </w:tcPr>
          <w:p w14:paraId="73FBBB1F" w14:textId="590F66C4" w:rsidR="001F6672" w:rsidRDefault="001F6672" w:rsidP="001F6672">
            <w:pPr>
              <w:pStyle w:val="TBodysubtotalText"/>
              <w:keepNext/>
            </w:pPr>
            <w:r w:rsidRPr="007F5EDB">
              <w:rPr>
                <w:lang w:val="es-AR"/>
              </w:rPr>
              <w:t>Ingreso neto</w:t>
            </w:r>
          </w:p>
        </w:tc>
        <w:tc>
          <w:tcPr>
            <w:tcW w:w="119" w:type="dxa"/>
            <w:vAlign w:val="bottom"/>
          </w:tcPr>
          <w:p w14:paraId="1B467FDC" w14:textId="77777777" w:rsidR="001F6672" w:rsidRDefault="001F6672" w:rsidP="001F6672">
            <w:pPr>
              <w:pStyle w:val="TBodysubtotalNumber"/>
              <w:keepNext/>
            </w:pPr>
          </w:p>
        </w:tc>
        <w:tc>
          <w:tcPr>
            <w:tcW w:w="1021" w:type="dxa"/>
            <w:tcBorders>
              <w:top w:val="single" w:sz="4" w:space="0" w:color="A59C94"/>
              <w:bottom w:val="single" w:sz="4" w:space="0" w:color="000000"/>
            </w:tcBorders>
            <w:vAlign w:val="bottom"/>
          </w:tcPr>
          <w:p w14:paraId="7AA3EE77" w14:textId="77777777" w:rsidR="001F6672" w:rsidRDefault="001F6672" w:rsidP="001F6672">
            <w:pPr>
              <w:pStyle w:val="TBodysubtotalNumber"/>
              <w:keepNext/>
            </w:pPr>
            <w:r>
              <w:t>47</w:t>
            </w:r>
          </w:p>
        </w:tc>
        <w:tc>
          <w:tcPr>
            <w:tcW w:w="119" w:type="dxa"/>
            <w:vAlign w:val="bottom"/>
          </w:tcPr>
          <w:p w14:paraId="7E00395F" w14:textId="77777777" w:rsidR="001F6672" w:rsidRDefault="001F6672" w:rsidP="001F6672">
            <w:pPr>
              <w:pStyle w:val="TBodysubtotalNumber"/>
              <w:keepNext/>
            </w:pPr>
          </w:p>
        </w:tc>
        <w:tc>
          <w:tcPr>
            <w:tcW w:w="1021" w:type="dxa"/>
            <w:tcBorders>
              <w:top w:val="single" w:sz="4" w:space="0" w:color="A59C94"/>
              <w:bottom w:val="single" w:sz="4" w:space="0" w:color="000000"/>
            </w:tcBorders>
            <w:shd w:val="clear" w:color="000000" w:fill="DAD5C9"/>
            <w:vAlign w:val="bottom"/>
          </w:tcPr>
          <w:p w14:paraId="69A5F250" w14:textId="77777777" w:rsidR="001F6672" w:rsidRDefault="001F6672" w:rsidP="001F6672">
            <w:pPr>
              <w:pStyle w:val="TBodysubtotalNumber"/>
              <w:keepNext/>
            </w:pPr>
            <w:r>
              <w:t>156</w:t>
            </w:r>
          </w:p>
        </w:tc>
        <w:tc>
          <w:tcPr>
            <w:tcW w:w="119" w:type="dxa"/>
            <w:vAlign w:val="bottom"/>
          </w:tcPr>
          <w:p w14:paraId="1E4DCA32" w14:textId="77777777" w:rsidR="001F6672" w:rsidRDefault="001F6672" w:rsidP="001F6672">
            <w:pPr>
              <w:pStyle w:val="TBodysubtotalNumber"/>
              <w:keepNext/>
            </w:pPr>
          </w:p>
        </w:tc>
        <w:tc>
          <w:tcPr>
            <w:tcW w:w="1049" w:type="dxa"/>
            <w:tcBorders>
              <w:top w:val="single" w:sz="4" w:space="0" w:color="A59C94"/>
              <w:bottom w:val="single" w:sz="4" w:space="0" w:color="000000"/>
            </w:tcBorders>
            <w:vAlign w:val="bottom"/>
          </w:tcPr>
          <w:p w14:paraId="29529F8E" w14:textId="77777777" w:rsidR="001F6672" w:rsidRDefault="001F6672" w:rsidP="001F6672">
            <w:pPr>
              <w:pStyle w:val="TBodysubtotalNumber"/>
              <w:keepNext/>
            </w:pPr>
            <w:r>
              <w:t>232</w:t>
            </w:r>
          </w:p>
        </w:tc>
      </w:tr>
      <w:tr w:rsidR="001F6672" w14:paraId="3FA9CB7F" w14:textId="77777777" w:rsidTr="00462845">
        <w:tc>
          <w:tcPr>
            <w:tcW w:w="6333" w:type="dxa"/>
            <w:tcBorders>
              <w:top w:val="single" w:sz="4" w:space="0" w:color="000000"/>
              <w:bottom w:val="single" w:sz="16" w:space="0" w:color="991D85"/>
            </w:tcBorders>
            <w:vAlign w:val="bottom"/>
          </w:tcPr>
          <w:p w14:paraId="17C25142" w14:textId="7E317FB9" w:rsidR="001F6672" w:rsidRDefault="001F6672" w:rsidP="001F6672">
            <w:pPr>
              <w:pStyle w:val="TBodytotalText"/>
            </w:pPr>
            <w:r w:rsidRPr="007F5EDB">
              <w:rPr>
                <w:lang w:val="es-AR"/>
              </w:rPr>
              <w:t>Ingreso neto ajustado</w:t>
            </w:r>
          </w:p>
        </w:tc>
        <w:tc>
          <w:tcPr>
            <w:tcW w:w="119" w:type="dxa"/>
            <w:tcBorders>
              <w:bottom w:val="single" w:sz="16" w:space="0" w:color="991D85"/>
            </w:tcBorders>
            <w:vAlign w:val="bottom"/>
          </w:tcPr>
          <w:p w14:paraId="14B40E0C" w14:textId="77777777" w:rsidR="001F6672" w:rsidRDefault="001F6672" w:rsidP="001F6672">
            <w:pPr>
              <w:pStyle w:val="TBodytotalNumber"/>
            </w:pPr>
          </w:p>
        </w:tc>
        <w:tc>
          <w:tcPr>
            <w:tcW w:w="1021" w:type="dxa"/>
            <w:tcBorders>
              <w:top w:val="single" w:sz="4" w:space="0" w:color="000000"/>
              <w:bottom w:val="single" w:sz="16" w:space="0" w:color="991D85"/>
            </w:tcBorders>
            <w:vAlign w:val="bottom"/>
          </w:tcPr>
          <w:p w14:paraId="5A8B9742" w14:textId="77777777" w:rsidR="001F6672" w:rsidRDefault="001F6672" w:rsidP="001F6672">
            <w:pPr>
              <w:pStyle w:val="TBodytotalNumber"/>
            </w:pPr>
            <w:r>
              <w:t>115</w:t>
            </w:r>
          </w:p>
        </w:tc>
        <w:tc>
          <w:tcPr>
            <w:tcW w:w="119" w:type="dxa"/>
            <w:tcBorders>
              <w:bottom w:val="single" w:sz="16" w:space="0" w:color="991D85"/>
            </w:tcBorders>
            <w:vAlign w:val="bottom"/>
          </w:tcPr>
          <w:p w14:paraId="3836A1F5" w14:textId="77777777" w:rsidR="001F6672" w:rsidRDefault="001F6672" w:rsidP="001F6672">
            <w:pPr>
              <w:pStyle w:val="TBodytotalNumber"/>
            </w:pPr>
          </w:p>
        </w:tc>
        <w:tc>
          <w:tcPr>
            <w:tcW w:w="1021" w:type="dxa"/>
            <w:tcBorders>
              <w:top w:val="single" w:sz="4" w:space="0" w:color="000000"/>
              <w:bottom w:val="single" w:sz="16" w:space="0" w:color="991D85"/>
            </w:tcBorders>
            <w:shd w:val="clear" w:color="000000" w:fill="DAD5C9"/>
            <w:vAlign w:val="bottom"/>
          </w:tcPr>
          <w:p w14:paraId="22F00BD2" w14:textId="77777777" w:rsidR="001F6672" w:rsidRDefault="001F6672" w:rsidP="001F6672">
            <w:pPr>
              <w:pStyle w:val="TBodytotalNumber"/>
            </w:pPr>
            <w:r>
              <w:t>197</w:t>
            </w:r>
          </w:p>
        </w:tc>
        <w:tc>
          <w:tcPr>
            <w:tcW w:w="119" w:type="dxa"/>
            <w:tcBorders>
              <w:bottom w:val="single" w:sz="16" w:space="0" w:color="991D85"/>
            </w:tcBorders>
            <w:vAlign w:val="bottom"/>
          </w:tcPr>
          <w:p w14:paraId="6E024CA1" w14:textId="77777777" w:rsidR="001F6672" w:rsidRDefault="001F6672" w:rsidP="001F6672">
            <w:pPr>
              <w:pStyle w:val="TBodytotalNumber"/>
            </w:pPr>
          </w:p>
        </w:tc>
        <w:tc>
          <w:tcPr>
            <w:tcW w:w="1049" w:type="dxa"/>
            <w:tcBorders>
              <w:top w:val="single" w:sz="4" w:space="0" w:color="000000"/>
              <w:bottom w:val="single" w:sz="16" w:space="0" w:color="991D85"/>
            </w:tcBorders>
            <w:vAlign w:val="bottom"/>
          </w:tcPr>
          <w:p w14:paraId="6942B86B" w14:textId="77777777" w:rsidR="001F6672" w:rsidRDefault="001F6672" w:rsidP="001F6672">
            <w:pPr>
              <w:pStyle w:val="TBodytotalNumber"/>
            </w:pPr>
            <w:r>
              <w:t>71</w:t>
            </w:r>
          </w:p>
        </w:tc>
      </w:tr>
      <w:bookmarkEnd w:id="1"/>
    </w:tbl>
    <w:p w14:paraId="6FF08CD1" w14:textId="77777777" w:rsidR="00462845" w:rsidRDefault="00462845" w:rsidP="00462845">
      <w:pPr>
        <w:rPr>
          <w:color w:val="000000"/>
          <w:lang w:val="en-US"/>
        </w:rPr>
      </w:pPr>
    </w:p>
    <w:p w14:paraId="7A572B47" w14:textId="77777777" w:rsidR="00462845" w:rsidRDefault="00462845" w:rsidP="00462845">
      <w:pPr>
        <w:rPr>
          <w:color w:val="000000"/>
          <w:lang w:val="en-US"/>
        </w:rPr>
      </w:pPr>
    </w:p>
    <w:tbl>
      <w:tblPr>
        <w:tblW w:w="9752" w:type="dxa"/>
        <w:tblLayout w:type="fixed"/>
        <w:tblCellMar>
          <w:left w:w="0" w:type="dxa"/>
          <w:right w:w="0" w:type="dxa"/>
        </w:tblCellMar>
        <w:tblLook w:val="04A0" w:firstRow="1" w:lastRow="0" w:firstColumn="1" w:lastColumn="0" w:noHBand="0" w:noVBand="1"/>
        <w:tblCaption w:val="Pressemitteilung - Tabelle en!outarea_segmenteq1"/>
        <w:tblDescription w:val="SNEID_3c00ec5e54e644f88a0a198056030d76"/>
      </w:tblPr>
      <w:tblGrid>
        <w:gridCol w:w="2912"/>
        <w:gridCol w:w="119"/>
        <w:gridCol w:w="1021"/>
        <w:gridCol w:w="119"/>
        <w:gridCol w:w="1021"/>
        <w:gridCol w:w="119"/>
        <w:gridCol w:w="1021"/>
        <w:gridCol w:w="119"/>
        <w:gridCol w:w="1021"/>
        <w:gridCol w:w="119"/>
        <w:gridCol w:w="1021"/>
        <w:gridCol w:w="119"/>
        <w:gridCol w:w="1021"/>
      </w:tblGrid>
      <w:tr w:rsidR="00462845" w:rsidRPr="00567186" w14:paraId="728449E2" w14:textId="77777777" w:rsidTr="00272DA4">
        <w:tc>
          <w:tcPr>
            <w:tcW w:w="9752" w:type="dxa"/>
            <w:gridSpan w:val="13"/>
            <w:noWrap/>
            <w:vAlign w:val="bottom"/>
          </w:tcPr>
          <w:p w14:paraId="7D243EA5" w14:textId="652EDB02" w:rsidR="00462845" w:rsidRPr="001F6672" w:rsidRDefault="001F6672" w:rsidP="00F0526A">
            <w:pPr>
              <w:pStyle w:val="TTitleText"/>
              <w:rPr>
                <w:lang w:val="es-419"/>
              </w:rPr>
            </w:pPr>
            <w:bookmarkStart w:id="2" w:name="SNEID_3c00ec5e54e644f88a0a198056030d76"/>
            <w:r>
              <w:rPr>
                <w:lang w:val="es-AR"/>
              </w:rPr>
              <w:lastRenderedPageBreak/>
              <w:t xml:space="preserve">Rendimiento por división </w:t>
            </w:r>
            <w:r w:rsidR="00462845" w:rsidRPr="001F6672">
              <w:rPr>
                <w:lang w:val="es-419"/>
              </w:rPr>
              <w:t>- 1º trimestre</w:t>
            </w:r>
          </w:p>
        </w:tc>
      </w:tr>
      <w:tr w:rsidR="00462845" w:rsidRPr="00567186" w14:paraId="58085485" w14:textId="77777777" w:rsidTr="00272DA4">
        <w:tc>
          <w:tcPr>
            <w:tcW w:w="2912" w:type="dxa"/>
            <w:tcBorders>
              <w:top w:val="single" w:sz="8" w:space="0" w:color="000000"/>
            </w:tcBorders>
            <w:noWrap/>
            <w:vAlign w:val="bottom"/>
          </w:tcPr>
          <w:p w14:paraId="58134C60" w14:textId="77777777" w:rsidR="00462845" w:rsidRPr="001F6672" w:rsidRDefault="00462845" w:rsidP="00F0526A">
            <w:pPr>
              <w:pStyle w:val="TDummy"/>
              <w:keepNext/>
              <w:rPr>
                <w:lang w:val="es-419"/>
              </w:rPr>
            </w:pPr>
          </w:p>
        </w:tc>
        <w:tc>
          <w:tcPr>
            <w:tcW w:w="119" w:type="dxa"/>
            <w:tcBorders>
              <w:top w:val="single" w:sz="8" w:space="0" w:color="000000"/>
            </w:tcBorders>
            <w:noWrap/>
            <w:vAlign w:val="bottom"/>
          </w:tcPr>
          <w:p w14:paraId="7765E0A7" w14:textId="77777777" w:rsidR="00462845" w:rsidRPr="001F6672" w:rsidRDefault="00462845" w:rsidP="00F0526A">
            <w:pPr>
              <w:pStyle w:val="TDummy"/>
              <w:keepNext/>
              <w:rPr>
                <w:lang w:val="es-419"/>
              </w:rPr>
            </w:pPr>
          </w:p>
        </w:tc>
        <w:tc>
          <w:tcPr>
            <w:tcW w:w="1021" w:type="dxa"/>
            <w:tcBorders>
              <w:top w:val="single" w:sz="8" w:space="0" w:color="000000"/>
            </w:tcBorders>
            <w:noWrap/>
            <w:vAlign w:val="bottom"/>
          </w:tcPr>
          <w:p w14:paraId="1A686872" w14:textId="77777777" w:rsidR="00462845" w:rsidRPr="001F6672" w:rsidRDefault="00462845" w:rsidP="00F0526A">
            <w:pPr>
              <w:pStyle w:val="TDummy"/>
              <w:keepNext/>
              <w:rPr>
                <w:lang w:val="es-419"/>
              </w:rPr>
            </w:pPr>
          </w:p>
        </w:tc>
        <w:tc>
          <w:tcPr>
            <w:tcW w:w="119" w:type="dxa"/>
            <w:tcBorders>
              <w:top w:val="single" w:sz="8" w:space="0" w:color="000000"/>
            </w:tcBorders>
            <w:noWrap/>
            <w:vAlign w:val="bottom"/>
          </w:tcPr>
          <w:p w14:paraId="327BA7F8" w14:textId="77777777" w:rsidR="00462845" w:rsidRPr="001F6672" w:rsidRDefault="00462845" w:rsidP="00F0526A">
            <w:pPr>
              <w:pStyle w:val="TDummy"/>
              <w:keepNext/>
              <w:rPr>
                <w:lang w:val="es-419"/>
              </w:rPr>
            </w:pPr>
          </w:p>
        </w:tc>
        <w:tc>
          <w:tcPr>
            <w:tcW w:w="1021" w:type="dxa"/>
            <w:tcBorders>
              <w:top w:val="single" w:sz="8" w:space="0" w:color="000000"/>
            </w:tcBorders>
            <w:noWrap/>
            <w:vAlign w:val="bottom"/>
          </w:tcPr>
          <w:p w14:paraId="4CE7A4AB" w14:textId="77777777" w:rsidR="00462845" w:rsidRPr="001F6672" w:rsidRDefault="00462845" w:rsidP="00F0526A">
            <w:pPr>
              <w:pStyle w:val="TDummy"/>
              <w:keepNext/>
              <w:rPr>
                <w:lang w:val="es-419"/>
              </w:rPr>
            </w:pPr>
          </w:p>
        </w:tc>
        <w:tc>
          <w:tcPr>
            <w:tcW w:w="119" w:type="dxa"/>
            <w:tcBorders>
              <w:top w:val="single" w:sz="8" w:space="0" w:color="000000"/>
            </w:tcBorders>
            <w:noWrap/>
            <w:vAlign w:val="bottom"/>
          </w:tcPr>
          <w:p w14:paraId="6DA50A36" w14:textId="77777777" w:rsidR="00462845" w:rsidRPr="001F6672" w:rsidRDefault="00462845" w:rsidP="00F0526A">
            <w:pPr>
              <w:pStyle w:val="TDummy"/>
              <w:keepNext/>
              <w:rPr>
                <w:lang w:val="es-419"/>
              </w:rPr>
            </w:pPr>
          </w:p>
        </w:tc>
        <w:tc>
          <w:tcPr>
            <w:tcW w:w="1021" w:type="dxa"/>
            <w:tcBorders>
              <w:top w:val="single" w:sz="8" w:space="0" w:color="000000"/>
            </w:tcBorders>
            <w:noWrap/>
            <w:vAlign w:val="bottom"/>
          </w:tcPr>
          <w:p w14:paraId="6F85AE81" w14:textId="77777777" w:rsidR="00462845" w:rsidRPr="001F6672" w:rsidRDefault="00462845" w:rsidP="00F0526A">
            <w:pPr>
              <w:pStyle w:val="TDummy"/>
              <w:keepNext/>
              <w:rPr>
                <w:lang w:val="es-419"/>
              </w:rPr>
            </w:pPr>
          </w:p>
        </w:tc>
        <w:tc>
          <w:tcPr>
            <w:tcW w:w="119" w:type="dxa"/>
            <w:tcBorders>
              <w:top w:val="single" w:sz="8" w:space="0" w:color="000000"/>
            </w:tcBorders>
            <w:noWrap/>
            <w:vAlign w:val="bottom"/>
          </w:tcPr>
          <w:p w14:paraId="7684727C" w14:textId="77777777" w:rsidR="00462845" w:rsidRPr="001F6672" w:rsidRDefault="00462845" w:rsidP="00F0526A">
            <w:pPr>
              <w:pStyle w:val="TDummy"/>
              <w:keepNext/>
              <w:rPr>
                <w:lang w:val="es-419"/>
              </w:rPr>
            </w:pPr>
          </w:p>
        </w:tc>
        <w:tc>
          <w:tcPr>
            <w:tcW w:w="1021" w:type="dxa"/>
            <w:tcBorders>
              <w:top w:val="single" w:sz="8" w:space="0" w:color="000000"/>
            </w:tcBorders>
            <w:noWrap/>
            <w:vAlign w:val="bottom"/>
          </w:tcPr>
          <w:p w14:paraId="52290757" w14:textId="77777777" w:rsidR="00462845" w:rsidRPr="001F6672" w:rsidRDefault="00462845" w:rsidP="00F0526A">
            <w:pPr>
              <w:pStyle w:val="TDummy"/>
              <w:keepNext/>
              <w:rPr>
                <w:lang w:val="es-419"/>
              </w:rPr>
            </w:pPr>
          </w:p>
        </w:tc>
        <w:tc>
          <w:tcPr>
            <w:tcW w:w="119" w:type="dxa"/>
            <w:tcBorders>
              <w:top w:val="single" w:sz="8" w:space="0" w:color="000000"/>
            </w:tcBorders>
            <w:noWrap/>
            <w:vAlign w:val="bottom"/>
          </w:tcPr>
          <w:p w14:paraId="0B0B7E08" w14:textId="77777777" w:rsidR="00462845" w:rsidRPr="001F6672" w:rsidRDefault="00462845" w:rsidP="00F0526A">
            <w:pPr>
              <w:pStyle w:val="TDummy"/>
              <w:keepNext/>
              <w:rPr>
                <w:lang w:val="es-419"/>
              </w:rPr>
            </w:pPr>
          </w:p>
        </w:tc>
        <w:tc>
          <w:tcPr>
            <w:tcW w:w="1021" w:type="dxa"/>
            <w:tcBorders>
              <w:top w:val="single" w:sz="8" w:space="0" w:color="000000"/>
            </w:tcBorders>
            <w:noWrap/>
            <w:vAlign w:val="bottom"/>
          </w:tcPr>
          <w:p w14:paraId="52EEC22F" w14:textId="77777777" w:rsidR="00462845" w:rsidRPr="001F6672" w:rsidRDefault="00462845" w:rsidP="00F0526A">
            <w:pPr>
              <w:pStyle w:val="TDummy"/>
              <w:keepNext/>
              <w:rPr>
                <w:lang w:val="es-419"/>
              </w:rPr>
            </w:pPr>
          </w:p>
        </w:tc>
        <w:tc>
          <w:tcPr>
            <w:tcW w:w="119" w:type="dxa"/>
            <w:tcBorders>
              <w:top w:val="single" w:sz="8" w:space="0" w:color="000000"/>
            </w:tcBorders>
            <w:noWrap/>
            <w:vAlign w:val="bottom"/>
          </w:tcPr>
          <w:p w14:paraId="2C9C77A4" w14:textId="77777777" w:rsidR="00462845" w:rsidRPr="001F6672" w:rsidRDefault="00462845" w:rsidP="00F0526A">
            <w:pPr>
              <w:pStyle w:val="TDummy"/>
              <w:keepNext/>
              <w:rPr>
                <w:lang w:val="es-419"/>
              </w:rPr>
            </w:pPr>
          </w:p>
        </w:tc>
        <w:tc>
          <w:tcPr>
            <w:tcW w:w="1021" w:type="dxa"/>
            <w:tcBorders>
              <w:top w:val="single" w:sz="8" w:space="0" w:color="000000"/>
            </w:tcBorders>
            <w:noWrap/>
            <w:vAlign w:val="bottom"/>
          </w:tcPr>
          <w:p w14:paraId="09A69E01" w14:textId="77777777" w:rsidR="00462845" w:rsidRPr="001F6672" w:rsidRDefault="00462845" w:rsidP="00F0526A">
            <w:pPr>
              <w:pStyle w:val="TDummy"/>
              <w:keepNext/>
              <w:rPr>
                <w:lang w:val="es-419"/>
              </w:rPr>
            </w:pPr>
          </w:p>
        </w:tc>
      </w:tr>
      <w:tr w:rsidR="00462845" w14:paraId="29921EE0" w14:textId="77777777" w:rsidTr="00272DA4">
        <w:tc>
          <w:tcPr>
            <w:tcW w:w="2912" w:type="dxa"/>
            <w:shd w:val="clear" w:color="000000" w:fill="FFFFFF"/>
            <w:noWrap/>
            <w:vAlign w:val="bottom"/>
          </w:tcPr>
          <w:p w14:paraId="529F4915" w14:textId="77777777" w:rsidR="00462845" w:rsidRPr="00567186" w:rsidRDefault="00462845" w:rsidP="00F0526A">
            <w:pPr>
              <w:pStyle w:val="THeadfirstNumber"/>
              <w:rPr>
                <w:lang w:val="es-419"/>
              </w:rPr>
            </w:pPr>
            <w:bookmarkStart w:id="3" w:name="RANGE!B25:N25"/>
            <w:bookmarkStart w:id="4" w:name="RANGE!B25"/>
            <w:bookmarkEnd w:id="3"/>
            <w:bookmarkEnd w:id="4"/>
          </w:p>
        </w:tc>
        <w:tc>
          <w:tcPr>
            <w:tcW w:w="119" w:type="dxa"/>
            <w:noWrap/>
            <w:vAlign w:val="bottom"/>
          </w:tcPr>
          <w:p w14:paraId="43C39181" w14:textId="77777777" w:rsidR="00462845" w:rsidRPr="00567186" w:rsidRDefault="00462845" w:rsidP="00F0526A">
            <w:pPr>
              <w:pStyle w:val="THeadfirstNumber"/>
              <w:rPr>
                <w:lang w:val="es-419"/>
              </w:rPr>
            </w:pPr>
          </w:p>
        </w:tc>
        <w:tc>
          <w:tcPr>
            <w:tcW w:w="3301" w:type="dxa"/>
            <w:gridSpan w:val="5"/>
            <w:tcBorders>
              <w:bottom w:val="single" w:sz="4" w:space="0" w:color="A59C94"/>
            </w:tcBorders>
            <w:shd w:val="clear" w:color="000000" w:fill="FFFFFF"/>
            <w:vAlign w:val="bottom"/>
          </w:tcPr>
          <w:p w14:paraId="40B1EAC3" w14:textId="59A16B7F" w:rsidR="00462845" w:rsidRDefault="00462845" w:rsidP="00F0526A">
            <w:pPr>
              <w:pStyle w:val="THeadfirstNumber"/>
            </w:pPr>
            <w:r>
              <w:t>Ven</w:t>
            </w:r>
            <w:r w:rsidR="001F6672">
              <w:t>t</w:t>
            </w:r>
            <w:r>
              <w:t>as</w:t>
            </w:r>
          </w:p>
        </w:tc>
        <w:tc>
          <w:tcPr>
            <w:tcW w:w="119" w:type="dxa"/>
            <w:vAlign w:val="bottom"/>
          </w:tcPr>
          <w:p w14:paraId="04882012" w14:textId="77777777" w:rsidR="00462845" w:rsidRDefault="00462845" w:rsidP="00F0526A">
            <w:pPr>
              <w:pStyle w:val="THeadfirstNumber"/>
            </w:pPr>
          </w:p>
        </w:tc>
        <w:tc>
          <w:tcPr>
            <w:tcW w:w="3301" w:type="dxa"/>
            <w:gridSpan w:val="5"/>
            <w:tcBorders>
              <w:bottom w:val="single" w:sz="4" w:space="0" w:color="A59C94"/>
            </w:tcBorders>
            <w:shd w:val="clear" w:color="000000" w:fill="FFFFFF"/>
            <w:vAlign w:val="bottom"/>
          </w:tcPr>
          <w:p w14:paraId="75431539" w14:textId="77777777" w:rsidR="00462845" w:rsidRDefault="00462845" w:rsidP="00F0526A">
            <w:pPr>
              <w:pStyle w:val="THeadfirstNumber"/>
            </w:pPr>
            <w:r>
              <w:t>EBITDA ajustado</w:t>
            </w:r>
          </w:p>
        </w:tc>
      </w:tr>
      <w:tr w:rsidR="00462845" w14:paraId="0A8958FF" w14:textId="77777777" w:rsidTr="00272DA4">
        <w:tc>
          <w:tcPr>
            <w:tcW w:w="2912" w:type="dxa"/>
            <w:tcBorders>
              <w:bottom w:val="single" w:sz="4" w:space="0" w:color="000000"/>
            </w:tcBorders>
            <w:shd w:val="clear" w:color="000000" w:fill="FFFFFF"/>
            <w:noWrap/>
            <w:vAlign w:val="bottom"/>
          </w:tcPr>
          <w:p w14:paraId="65B731E4" w14:textId="5C408024" w:rsidR="00462845" w:rsidRDefault="001F6672" w:rsidP="00F0526A">
            <w:pPr>
              <w:pStyle w:val="THeadlastText"/>
            </w:pPr>
            <w:bookmarkStart w:id="5" w:name="RANGE!B26:N26"/>
            <w:bookmarkEnd w:id="5"/>
            <w:r>
              <w:t>en millones de euros</w:t>
            </w:r>
          </w:p>
        </w:tc>
        <w:tc>
          <w:tcPr>
            <w:tcW w:w="119" w:type="dxa"/>
            <w:noWrap/>
            <w:vAlign w:val="bottom"/>
          </w:tcPr>
          <w:p w14:paraId="4001F2B6" w14:textId="77777777" w:rsidR="00462845" w:rsidRDefault="00462845" w:rsidP="00F0526A">
            <w:pPr>
              <w:pStyle w:val="THeadlastNumber"/>
            </w:pPr>
          </w:p>
        </w:tc>
        <w:tc>
          <w:tcPr>
            <w:tcW w:w="1021" w:type="dxa"/>
            <w:tcBorders>
              <w:top w:val="single" w:sz="4" w:space="0" w:color="A59C94"/>
              <w:bottom w:val="single" w:sz="4" w:space="0" w:color="000000"/>
            </w:tcBorders>
            <w:shd w:val="clear" w:color="000000" w:fill="FFFFFF"/>
            <w:vAlign w:val="bottom"/>
          </w:tcPr>
          <w:p w14:paraId="25C905C3" w14:textId="77777777" w:rsidR="00462845" w:rsidRDefault="00462845" w:rsidP="00F0526A">
            <w:pPr>
              <w:pStyle w:val="THeadlastNumber"/>
            </w:pPr>
            <w:r>
              <w:t>2023</w:t>
            </w:r>
          </w:p>
        </w:tc>
        <w:tc>
          <w:tcPr>
            <w:tcW w:w="119" w:type="dxa"/>
            <w:vAlign w:val="bottom"/>
          </w:tcPr>
          <w:p w14:paraId="2BEED4EB" w14:textId="77777777" w:rsidR="00462845" w:rsidRDefault="00462845" w:rsidP="00F0526A">
            <w:pPr>
              <w:pStyle w:val="THeadlastNumber"/>
            </w:pPr>
          </w:p>
        </w:tc>
        <w:tc>
          <w:tcPr>
            <w:tcW w:w="1021" w:type="dxa"/>
            <w:tcBorders>
              <w:top w:val="single" w:sz="4" w:space="0" w:color="A59C94"/>
              <w:bottom w:val="single" w:sz="4" w:space="0" w:color="000000"/>
            </w:tcBorders>
            <w:shd w:val="clear" w:color="000000" w:fill="FFFFFF"/>
            <w:vAlign w:val="bottom"/>
          </w:tcPr>
          <w:p w14:paraId="046B155D" w14:textId="77777777" w:rsidR="00462845" w:rsidRDefault="00462845" w:rsidP="00F0526A">
            <w:pPr>
              <w:pStyle w:val="THeadlastNumberbold"/>
            </w:pPr>
            <w:bookmarkStart w:id="6" w:name="RANGE!F26:F33"/>
            <w:bookmarkEnd w:id="6"/>
            <w:r>
              <w:t>2024</w:t>
            </w:r>
          </w:p>
        </w:tc>
        <w:tc>
          <w:tcPr>
            <w:tcW w:w="119" w:type="dxa"/>
            <w:vAlign w:val="bottom"/>
          </w:tcPr>
          <w:p w14:paraId="1B1F4A08" w14:textId="77777777" w:rsidR="00462845" w:rsidRDefault="00462845" w:rsidP="00F0526A">
            <w:pPr>
              <w:pStyle w:val="THeadlastNumber"/>
            </w:pPr>
          </w:p>
        </w:tc>
        <w:tc>
          <w:tcPr>
            <w:tcW w:w="1021" w:type="dxa"/>
            <w:tcBorders>
              <w:top w:val="single" w:sz="4" w:space="0" w:color="A59C94"/>
              <w:bottom w:val="single" w:sz="4" w:space="0" w:color="000000"/>
            </w:tcBorders>
            <w:shd w:val="clear" w:color="000000" w:fill="FFFFFF"/>
            <w:vAlign w:val="bottom"/>
          </w:tcPr>
          <w:p w14:paraId="1A67E60E" w14:textId="253950F9" w:rsidR="00462845" w:rsidRDefault="001B3824" w:rsidP="00F0526A">
            <w:pPr>
              <w:pStyle w:val="THeaddifferenceNumber"/>
              <w:keepNext/>
            </w:pPr>
            <w:bookmarkStart w:id="7" w:name="RANGE!H26:H33"/>
            <w:bookmarkEnd w:id="7"/>
            <w:r w:rsidRPr="007F5EDB">
              <w:rPr>
                <w:lang w:val="es-AR"/>
              </w:rPr>
              <w:t>Cambio en %</w:t>
            </w:r>
          </w:p>
        </w:tc>
        <w:tc>
          <w:tcPr>
            <w:tcW w:w="119" w:type="dxa"/>
            <w:vAlign w:val="bottom"/>
          </w:tcPr>
          <w:p w14:paraId="1EF17610" w14:textId="77777777" w:rsidR="00462845" w:rsidRDefault="00462845" w:rsidP="00F0526A">
            <w:pPr>
              <w:pStyle w:val="THeadlastNumber"/>
            </w:pPr>
          </w:p>
        </w:tc>
        <w:tc>
          <w:tcPr>
            <w:tcW w:w="1021" w:type="dxa"/>
            <w:tcBorders>
              <w:top w:val="single" w:sz="4" w:space="0" w:color="A59C94"/>
              <w:bottom w:val="single" w:sz="4" w:space="0" w:color="000000"/>
            </w:tcBorders>
            <w:shd w:val="clear" w:color="000000" w:fill="FFFFFF"/>
            <w:vAlign w:val="bottom"/>
          </w:tcPr>
          <w:p w14:paraId="304B0886" w14:textId="77777777" w:rsidR="00462845" w:rsidRDefault="00462845" w:rsidP="00F0526A">
            <w:pPr>
              <w:pStyle w:val="THeadlastNumber"/>
            </w:pPr>
            <w:r>
              <w:t>2023</w:t>
            </w:r>
          </w:p>
        </w:tc>
        <w:tc>
          <w:tcPr>
            <w:tcW w:w="119" w:type="dxa"/>
            <w:vAlign w:val="bottom"/>
          </w:tcPr>
          <w:p w14:paraId="4992C5CF" w14:textId="77777777" w:rsidR="00462845" w:rsidRDefault="00462845" w:rsidP="00F0526A">
            <w:pPr>
              <w:pStyle w:val="THeadlastNumber"/>
            </w:pPr>
          </w:p>
        </w:tc>
        <w:tc>
          <w:tcPr>
            <w:tcW w:w="1021" w:type="dxa"/>
            <w:tcBorders>
              <w:top w:val="single" w:sz="4" w:space="0" w:color="A59C94"/>
              <w:bottom w:val="single" w:sz="4" w:space="0" w:color="000000"/>
            </w:tcBorders>
            <w:shd w:val="clear" w:color="000000" w:fill="FFFFFF"/>
            <w:vAlign w:val="bottom"/>
          </w:tcPr>
          <w:p w14:paraId="1EBB7AD5" w14:textId="77777777" w:rsidR="00462845" w:rsidRDefault="00462845" w:rsidP="00F0526A">
            <w:pPr>
              <w:pStyle w:val="THeadlastNumberbold"/>
            </w:pPr>
            <w:bookmarkStart w:id="8" w:name="RANGE!L26:L33"/>
            <w:bookmarkEnd w:id="8"/>
            <w:r>
              <w:t>2024</w:t>
            </w:r>
          </w:p>
        </w:tc>
        <w:tc>
          <w:tcPr>
            <w:tcW w:w="119" w:type="dxa"/>
            <w:vAlign w:val="bottom"/>
          </w:tcPr>
          <w:p w14:paraId="1963EEAF" w14:textId="77777777" w:rsidR="00462845" w:rsidRDefault="00462845" w:rsidP="00F0526A">
            <w:pPr>
              <w:pStyle w:val="THeadlastNumber"/>
            </w:pPr>
          </w:p>
        </w:tc>
        <w:tc>
          <w:tcPr>
            <w:tcW w:w="1021" w:type="dxa"/>
            <w:tcBorders>
              <w:top w:val="single" w:sz="4" w:space="0" w:color="A59C94"/>
              <w:bottom w:val="single" w:sz="4" w:space="0" w:color="000000"/>
            </w:tcBorders>
            <w:shd w:val="clear" w:color="000000" w:fill="FFFFFF"/>
            <w:vAlign w:val="bottom"/>
          </w:tcPr>
          <w:p w14:paraId="29C876FC" w14:textId="14D0513A" w:rsidR="00462845" w:rsidRDefault="001B3824" w:rsidP="00F0526A">
            <w:pPr>
              <w:pStyle w:val="THeaddifferenceNumber"/>
              <w:keepNext/>
            </w:pPr>
            <w:bookmarkStart w:id="9" w:name="RANGE!N26:N33"/>
            <w:bookmarkEnd w:id="9"/>
            <w:r w:rsidRPr="007F5EDB">
              <w:rPr>
                <w:lang w:val="es-AR"/>
              </w:rPr>
              <w:t>Cambio en %</w:t>
            </w:r>
          </w:p>
        </w:tc>
      </w:tr>
      <w:tr w:rsidR="00462845" w14:paraId="47160461" w14:textId="77777777" w:rsidTr="00272DA4">
        <w:tc>
          <w:tcPr>
            <w:tcW w:w="2912" w:type="dxa"/>
            <w:tcBorders>
              <w:top w:val="single" w:sz="4" w:space="0" w:color="000000"/>
              <w:bottom w:val="single" w:sz="4" w:space="0" w:color="A59C94"/>
            </w:tcBorders>
            <w:noWrap/>
            <w:vAlign w:val="bottom"/>
          </w:tcPr>
          <w:p w14:paraId="5227F1FF" w14:textId="40DF1D41" w:rsidR="00462845" w:rsidRDefault="00272DA4" w:rsidP="00F0526A">
            <w:pPr>
              <w:pStyle w:val="TBodynormalText"/>
            </w:pPr>
            <w:r w:rsidRPr="00D919B4">
              <w:rPr>
                <w:lang w:val="pt-BR"/>
              </w:rPr>
              <w:t>Specialty Additives</w:t>
            </w:r>
          </w:p>
        </w:tc>
        <w:tc>
          <w:tcPr>
            <w:tcW w:w="119" w:type="dxa"/>
            <w:noWrap/>
            <w:vAlign w:val="bottom"/>
          </w:tcPr>
          <w:p w14:paraId="617BA8CA" w14:textId="77777777" w:rsidR="00462845" w:rsidRDefault="00462845" w:rsidP="00F0526A">
            <w:pPr>
              <w:pStyle w:val="TBodynormalNumber"/>
              <w:keepNext/>
            </w:pPr>
          </w:p>
        </w:tc>
        <w:tc>
          <w:tcPr>
            <w:tcW w:w="1021" w:type="dxa"/>
            <w:tcBorders>
              <w:top w:val="single" w:sz="4" w:space="0" w:color="000000"/>
              <w:bottom w:val="single" w:sz="4" w:space="0" w:color="A59C94"/>
            </w:tcBorders>
            <w:noWrap/>
            <w:vAlign w:val="bottom"/>
          </w:tcPr>
          <w:p w14:paraId="60072F76" w14:textId="77777777" w:rsidR="00462845" w:rsidRDefault="00462845" w:rsidP="00F0526A">
            <w:pPr>
              <w:pStyle w:val="TBodynormalNumber"/>
              <w:keepNext/>
            </w:pPr>
            <w:r>
              <w:t>921</w:t>
            </w:r>
          </w:p>
        </w:tc>
        <w:tc>
          <w:tcPr>
            <w:tcW w:w="119" w:type="dxa"/>
            <w:noWrap/>
            <w:vAlign w:val="bottom"/>
          </w:tcPr>
          <w:p w14:paraId="0EB4B928" w14:textId="77777777" w:rsidR="00462845" w:rsidRDefault="00462845" w:rsidP="00F0526A">
            <w:pPr>
              <w:pStyle w:val="TBodynormalNumber"/>
              <w:keepNext/>
            </w:pPr>
          </w:p>
        </w:tc>
        <w:tc>
          <w:tcPr>
            <w:tcW w:w="1021" w:type="dxa"/>
            <w:tcBorders>
              <w:top w:val="single" w:sz="4" w:space="0" w:color="000000"/>
              <w:bottom w:val="single" w:sz="4" w:space="0" w:color="A59C94"/>
            </w:tcBorders>
            <w:shd w:val="clear" w:color="000000" w:fill="DAD5C9"/>
            <w:noWrap/>
            <w:vAlign w:val="bottom"/>
          </w:tcPr>
          <w:p w14:paraId="462FED9A" w14:textId="77777777" w:rsidR="00462845" w:rsidRDefault="00462845" w:rsidP="00F0526A">
            <w:pPr>
              <w:pStyle w:val="TBodynormalNumber"/>
              <w:keepNext/>
            </w:pPr>
            <w:r>
              <w:t>908</w:t>
            </w:r>
          </w:p>
        </w:tc>
        <w:tc>
          <w:tcPr>
            <w:tcW w:w="119" w:type="dxa"/>
            <w:noWrap/>
            <w:vAlign w:val="bottom"/>
          </w:tcPr>
          <w:p w14:paraId="37BAFE05" w14:textId="77777777" w:rsidR="00462845" w:rsidRDefault="00462845" w:rsidP="00F0526A">
            <w:pPr>
              <w:pStyle w:val="TBodynormalNumber"/>
              <w:keepNext/>
            </w:pPr>
          </w:p>
        </w:tc>
        <w:tc>
          <w:tcPr>
            <w:tcW w:w="1021" w:type="dxa"/>
            <w:tcBorders>
              <w:top w:val="single" w:sz="4" w:space="0" w:color="000000"/>
              <w:bottom w:val="single" w:sz="4" w:space="0" w:color="A59C94"/>
            </w:tcBorders>
            <w:noWrap/>
            <w:vAlign w:val="bottom"/>
          </w:tcPr>
          <w:p w14:paraId="1BAFCDD3" w14:textId="77777777" w:rsidR="00462845" w:rsidRDefault="00462845" w:rsidP="00F0526A">
            <w:pPr>
              <w:pStyle w:val="TBodynormalNumber"/>
              <w:keepNext/>
            </w:pPr>
            <w:r>
              <w:t>-1</w:t>
            </w:r>
          </w:p>
        </w:tc>
        <w:tc>
          <w:tcPr>
            <w:tcW w:w="119" w:type="dxa"/>
            <w:noWrap/>
            <w:vAlign w:val="bottom"/>
          </w:tcPr>
          <w:p w14:paraId="4277E07C" w14:textId="77777777" w:rsidR="00462845" w:rsidRDefault="00462845" w:rsidP="00F0526A">
            <w:pPr>
              <w:pStyle w:val="TBodynormalNumber"/>
              <w:keepNext/>
            </w:pPr>
          </w:p>
        </w:tc>
        <w:tc>
          <w:tcPr>
            <w:tcW w:w="1021" w:type="dxa"/>
            <w:tcBorders>
              <w:top w:val="single" w:sz="4" w:space="0" w:color="000000"/>
              <w:bottom w:val="single" w:sz="4" w:space="0" w:color="A59C94"/>
            </w:tcBorders>
            <w:noWrap/>
            <w:vAlign w:val="bottom"/>
          </w:tcPr>
          <w:p w14:paraId="0BEBBDCE" w14:textId="77777777" w:rsidR="00462845" w:rsidRDefault="00462845" w:rsidP="00F0526A">
            <w:pPr>
              <w:pStyle w:val="TBodynormalNumber"/>
              <w:keepNext/>
            </w:pPr>
            <w:r>
              <w:t>168</w:t>
            </w:r>
          </w:p>
        </w:tc>
        <w:tc>
          <w:tcPr>
            <w:tcW w:w="119" w:type="dxa"/>
            <w:noWrap/>
            <w:vAlign w:val="bottom"/>
          </w:tcPr>
          <w:p w14:paraId="6DDD499F" w14:textId="77777777" w:rsidR="00462845" w:rsidRDefault="00462845" w:rsidP="00F0526A">
            <w:pPr>
              <w:pStyle w:val="TBodynormalNumber"/>
              <w:keepNext/>
            </w:pPr>
          </w:p>
        </w:tc>
        <w:tc>
          <w:tcPr>
            <w:tcW w:w="1021" w:type="dxa"/>
            <w:tcBorders>
              <w:top w:val="single" w:sz="4" w:space="0" w:color="000000"/>
              <w:bottom w:val="single" w:sz="4" w:space="0" w:color="A59C94"/>
            </w:tcBorders>
            <w:shd w:val="clear" w:color="000000" w:fill="DAD5C9"/>
            <w:noWrap/>
            <w:vAlign w:val="bottom"/>
          </w:tcPr>
          <w:p w14:paraId="5D5E4508" w14:textId="77777777" w:rsidR="00462845" w:rsidRDefault="00462845" w:rsidP="00F0526A">
            <w:pPr>
              <w:pStyle w:val="TBodynormalNumber"/>
              <w:keepNext/>
            </w:pPr>
            <w:r>
              <w:t>185</w:t>
            </w:r>
          </w:p>
        </w:tc>
        <w:tc>
          <w:tcPr>
            <w:tcW w:w="119" w:type="dxa"/>
            <w:noWrap/>
            <w:vAlign w:val="bottom"/>
          </w:tcPr>
          <w:p w14:paraId="048B2FE2" w14:textId="77777777" w:rsidR="00462845" w:rsidRDefault="00462845" w:rsidP="00F0526A">
            <w:pPr>
              <w:pStyle w:val="TBodynormalNumber"/>
              <w:keepNext/>
            </w:pPr>
          </w:p>
        </w:tc>
        <w:tc>
          <w:tcPr>
            <w:tcW w:w="1021" w:type="dxa"/>
            <w:tcBorders>
              <w:top w:val="single" w:sz="4" w:space="0" w:color="000000"/>
              <w:bottom w:val="single" w:sz="4" w:space="0" w:color="A59C94"/>
            </w:tcBorders>
            <w:noWrap/>
            <w:vAlign w:val="bottom"/>
          </w:tcPr>
          <w:p w14:paraId="6AB89AC2" w14:textId="77777777" w:rsidR="00462845" w:rsidRDefault="00462845" w:rsidP="00F0526A">
            <w:pPr>
              <w:pStyle w:val="TBodynormalNumber"/>
              <w:keepNext/>
            </w:pPr>
            <w:r>
              <w:t>10</w:t>
            </w:r>
          </w:p>
        </w:tc>
      </w:tr>
      <w:tr w:rsidR="00462845" w14:paraId="39C29122" w14:textId="77777777" w:rsidTr="00272DA4">
        <w:tc>
          <w:tcPr>
            <w:tcW w:w="2912" w:type="dxa"/>
            <w:tcBorders>
              <w:top w:val="single" w:sz="4" w:space="0" w:color="A59C94"/>
              <w:bottom w:val="single" w:sz="4" w:space="0" w:color="A59C94"/>
            </w:tcBorders>
            <w:noWrap/>
            <w:vAlign w:val="bottom"/>
          </w:tcPr>
          <w:p w14:paraId="32B2D967" w14:textId="5455B4FF" w:rsidR="00462845" w:rsidRDefault="00272DA4" w:rsidP="00F0526A">
            <w:pPr>
              <w:pStyle w:val="TBodynormalText"/>
            </w:pPr>
            <w:r w:rsidRPr="00D919B4">
              <w:rPr>
                <w:lang w:val="pt-BR"/>
              </w:rPr>
              <w:t>Nutrition &amp; Care</w:t>
            </w:r>
          </w:p>
        </w:tc>
        <w:tc>
          <w:tcPr>
            <w:tcW w:w="119" w:type="dxa"/>
            <w:noWrap/>
            <w:vAlign w:val="bottom"/>
          </w:tcPr>
          <w:p w14:paraId="124B07EE" w14:textId="77777777" w:rsidR="00462845" w:rsidRDefault="00462845" w:rsidP="00F0526A">
            <w:pPr>
              <w:pStyle w:val="TBodynormalNumber"/>
              <w:keepNext/>
            </w:pPr>
          </w:p>
        </w:tc>
        <w:tc>
          <w:tcPr>
            <w:tcW w:w="1021" w:type="dxa"/>
            <w:tcBorders>
              <w:top w:val="single" w:sz="4" w:space="0" w:color="A59C94"/>
              <w:bottom w:val="single" w:sz="4" w:space="0" w:color="A59C94"/>
            </w:tcBorders>
            <w:noWrap/>
            <w:vAlign w:val="bottom"/>
          </w:tcPr>
          <w:p w14:paraId="637C0230" w14:textId="77777777" w:rsidR="00462845" w:rsidRDefault="00462845" w:rsidP="00F0526A">
            <w:pPr>
              <w:pStyle w:val="TBodynormalNumber"/>
              <w:keepNext/>
            </w:pPr>
            <w:r>
              <w:t>886</w:t>
            </w:r>
          </w:p>
        </w:tc>
        <w:tc>
          <w:tcPr>
            <w:tcW w:w="119" w:type="dxa"/>
            <w:noWrap/>
            <w:vAlign w:val="bottom"/>
          </w:tcPr>
          <w:p w14:paraId="276CC547" w14:textId="77777777" w:rsidR="00462845" w:rsidRDefault="00462845" w:rsidP="00F0526A">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12D90678" w14:textId="77777777" w:rsidR="00462845" w:rsidRDefault="00462845" w:rsidP="00F0526A">
            <w:pPr>
              <w:pStyle w:val="TBodynormalNumber"/>
              <w:keepNext/>
            </w:pPr>
            <w:r>
              <w:t>900</w:t>
            </w:r>
          </w:p>
        </w:tc>
        <w:tc>
          <w:tcPr>
            <w:tcW w:w="119" w:type="dxa"/>
            <w:noWrap/>
            <w:vAlign w:val="bottom"/>
          </w:tcPr>
          <w:p w14:paraId="2AD9DC9F" w14:textId="77777777" w:rsidR="00462845" w:rsidRDefault="00462845" w:rsidP="00F0526A">
            <w:pPr>
              <w:pStyle w:val="TBodynormalNumber"/>
              <w:keepNext/>
            </w:pPr>
          </w:p>
        </w:tc>
        <w:tc>
          <w:tcPr>
            <w:tcW w:w="1021" w:type="dxa"/>
            <w:tcBorders>
              <w:top w:val="single" w:sz="4" w:space="0" w:color="A59C94"/>
              <w:bottom w:val="single" w:sz="4" w:space="0" w:color="A59C94"/>
            </w:tcBorders>
            <w:noWrap/>
            <w:vAlign w:val="bottom"/>
          </w:tcPr>
          <w:p w14:paraId="02F18DFE" w14:textId="77777777" w:rsidR="00462845" w:rsidRDefault="00462845" w:rsidP="00F0526A">
            <w:pPr>
              <w:pStyle w:val="TBodynormalNumber"/>
              <w:keepNext/>
            </w:pPr>
            <w:r>
              <w:t>2</w:t>
            </w:r>
          </w:p>
        </w:tc>
        <w:tc>
          <w:tcPr>
            <w:tcW w:w="119" w:type="dxa"/>
            <w:noWrap/>
            <w:vAlign w:val="bottom"/>
          </w:tcPr>
          <w:p w14:paraId="07E0EEAB" w14:textId="77777777" w:rsidR="00462845" w:rsidRDefault="00462845" w:rsidP="00F0526A">
            <w:pPr>
              <w:pStyle w:val="TBodynormalNumber"/>
              <w:keepNext/>
            </w:pPr>
          </w:p>
        </w:tc>
        <w:tc>
          <w:tcPr>
            <w:tcW w:w="1021" w:type="dxa"/>
            <w:tcBorders>
              <w:top w:val="single" w:sz="4" w:space="0" w:color="A59C94"/>
              <w:bottom w:val="single" w:sz="4" w:space="0" w:color="A59C94"/>
            </w:tcBorders>
            <w:noWrap/>
            <w:vAlign w:val="bottom"/>
          </w:tcPr>
          <w:p w14:paraId="5B30BBBC" w14:textId="77777777" w:rsidR="00462845" w:rsidRDefault="00462845" w:rsidP="00F0526A">
            <w:pPr>
              <w:pStyle w:val="TBodynormalNumber"/>
              <w:keepNext/>
            </w:pPr>
            <w:r>
              <w:t>76</w:t>
            </w:r>
          </w:p>
        </w:tc>
        <w:tc>
          <w:tcPr>
            <w:tcW w:w="119" w:type="dxa"/>
            <w:noWrap/>
            <w:vAlign w:val="bottom"/>
          </w:tcPr>
          <w:p w14:paraId="779F132B" w14:textId="77777777" w:rsidR="00462845" w:rsidRDefault="00462845" w:rsidP="00F0526A">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2CAF6184" w14:textId="77777777" w:rsidR="00462845" w:rsidRDefault="00462845" w:rsidP="00F0526A">
            <w:pPr>
              <w:pStyle w:val="TBodynormalNumber"/>
              <w:keepNext/>
            </w:pPr>
            <w:r>
              <w:t>140</w:t>
            </w:r>
          </w:p>
        </w:tc>
        <w:tc>
          <w:tcPr>
            <w:tcW w:w="119" w:type="dxa"/>
            <w:noWrap/>
            <w:vAlign w:val="bottom"/>
          </w:tcPr>
          <w:p w14:paraId="5F3CD965" w14:textId="77777777" w:rsidR="00462845" w:rsidRDefault="00462845" w:rsidP="00F0526A">
            <w:pPr>
              <w:pStyle w:val="TBodynormalNumber"/>
              <w:keepNext/>
            </w:pPr>
          </w:p>
        </w:tc>
        <w:tc>
          <w:tcPr>
            <w:tcW w:w="1021" w:type="dxa"/>
            <w:tcBorders>
              <w:top w:val="single" w:sz="4" w:space="0" w:color="A59C94"/>
              <w:bottom w:val="single" w:sz="4" w:space="0" w:color="A59C94"/>
            </w:tcBorders>
            <w:noWrap/>
            <w:vAlign w:val="bottom"/>
          </w:tcPr>
          <w:p w14:paraId="3C6CECBB" w14:textId="77777777" w:rsidR="00462845" w:rsidRDefault="00462845" w:rsidP="00F0526A">
            <w:pPr>
              <w:pStyle w:val="TBodynormalNumber"/>
              <w:keepNext/>
            </w:pPr>
            <w:r>
              <w:t>84</w:t>
            </w:r>
          </w:p>
        </w:tc>
      </w:tr>
      <w:tr w:rsidR="00462845" w14:paraId="78D6CC5E" w14:textId="77777777" w:rsidTr="00272DA4">
        <w:tc>
          <w:tcPr>
            <w:tcW w:w="2912" w:type="dxa"/>
            <w:tcBorders>
              <w:top w:val="single" w:sz="4" w:space="0" w:color="A59C94"/>
              <w:bottom w:val="single" w:sz="4" w:space="0" w:color="A59C94"/>
            </w:tcBorders>
            <w:noWrap/>
            <w:vAlign w:val="bottom"/>
          </w:tcPr>
          <w:p w14:paraId="78469EF6" w14:textId="12A09069" w:rsidR="00462845" w:rsidRDefault="00272DA4" w:rsidP="00F0526A">
            <w:pPr>
              <w:pStyle w:val="TBodynormalText"/>
            </w:pPr>
            <w:r w:rsidRPr="00D919B4">
              <w:rPr>
                <w:lang w:val="pt-BR"/>
              </w:rPr>
              <w:t>Smart Materials</w:t>
            </w:r>
            <w:r w:rsidRPr="00D3234F">
              <w:rPr>
                <w:vertAlign w:val="superscript"/>
                <w:lang w:val="pt-BR"/>
              </w:rPr>
              <w:t xml:space="preserve"> </w:t>
            </w:r>
          </w:p>
        </w:tc>
        <w:tc>
          <w:tcPr>
            <w:tcW w:w="119" w:type="dxa"/>
            <w:noWrap/>
            <w:vAlign w:val="bottom"/>
          </w:tcPr>
          <w:p w14:paraId="484D4CDC" w14:textId="77777777" w:rsidR="00462845" w:rsidRDefault="00462845" w:rsidP="00F0526A">
            <w:pPr>
              <w:pStyle w:val="TBodynormalNumber"/>
              <w:keepNext/>
            </w:pPr>
          </w:p>
        </w:tc>
        <w:tc>
          <w:tcPr>
            <w:tcW w:w="1021" w:type="dxa"/>
            <w:tcBorders>
              <w:top w:val="single" w:sz="4" w:space="0" w:color="A59C94"/>
              <w:bottom w:val="single" w:sz="4" w:space="0" w:color="A59C94"/>
            </w:tcBorders>
            <w:noWrap/>
            <w:vAlign w:val="bottom"/>
          </w:tcPr>
          <w:p w14:paraId="588A79C0" w14:textId="0C10E3CB" w:rsidR="00462845" w:rsidRDefault="00462845" w:rsidP="00F0526A">
            <w:pPr>
              <w:pStyle w:val="TBodynormalNumber"/>
              <w:keepNext/>
            </w:pPr>
            <w:r>
              <w:t>1</w:t>
            </w:r>
            <w:r w:rsidR="00644028">
              <w:t>.</w:t>
            </w:r>
            <w:r>
              <w:t>188</w:t>
            </w:r>
          </w:p>
        </w:tc>
        <w:tc>
          <w:tcPr>
            <w:tcW w:w="119" w:type="dxa"/>
            <w:noWrap/>
            <w:vAlign w:val="bottom"/>
          </w:tcPr>
          <w:p w14:paraId="536D8ED2" w14:textId="77777777" w:rsidR="00462845" w:rsidRDefault="00462845" w:rsidP="00F0526A">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2D0CE07D" w14:textId="18914CA2" w:rsidR="00462845" w:rsidRDefault="00462845" w:rsidP="00F0526A">
            <w:pPr>
              <w:pStyle w:val="TBodynormalNumber"/>
              <w:keepNext/>
            </w:pPr>
            <w:r>
              <w:t>1</w:t>
            </w:r>
            <w:r w:rsidR="00644028">
              <w:t>.</w:t>
            </w:r>
            <w:r>
              <w:t>093</w:t>
            </w:r>
          </w:p>
        </w:tc>
        <w:tc>
          <w:tcPr>
            <w:tcW w:w="119" w:type="dxa"/>
            <w:noWrap/>
            <w:vAlign w:val="bottom"/>
          </w:tcPr>
          <w:p w14:paraId="620CD8D9" w14:textId="77777777" w:rsidR="00462845" w:rsidRDefault="00462845" w:rsidP="00F0526A">
            <w:pPr>
              <w:pStyle w:val="TBodynormalNumber"/>
              <w:keepNext/>
            </w:pPr>
          </w:p>
        </w:tc>
        <w:tc>
          <w:tcPr>
            <w:tcW w:w="1021" w:type="dxa"/>
            <w:tcBorders>
              <w:top w:val="single" w:sz="4" w:space="0" w:color="A59C94"/>
              <w:bottom w:val="single" w:sz="4" w:space="0" w:color="A59C94"/>
            </w:tcBorders>
            <w:noWrap/>
            <w:vAlign w:val="bottom"/>
          </w:tcPr>
          <w:p w14:paraId="21E7FAF0" w14:textId="77777777" w:rsidR="00462845" w:rsidRDefault="00462845" w:rsidP="00F0526A">
            <w:pPr>
              <w:pStyle w:val="TBodynormalNumber"/>
              <w:keepNext/>
            </w:pPr>
            <w:r>
              <w:t>-8</w:t>
            </w:r>
          </w:p>
        </w:tc>
        <w:tc>
          <w:tcPr>
            <w:tcW w:w="119" w:type="dxa"/>
            <w:noWrap/>
            <w:vAlign w:val="bottom"/>
          </w:tcPr>
          <w:p w14:paraId="5B929790" w14:textId="77777777" w:rsidR="00462845" w:rsidRDefault="00462845" w:rsidP="00F0526A">
            <w:pPr>
              <w:pStyle w:val="TBodynormalNumber"/>
              <w:keepNext/>
            </w:pPr>
          </w:p>
        </w:tc>
        <w:tc>
          <w:tcPr>
            <w:tcW w:w="1021" w:type="dxa"/>
            <w:tcBorders>
              <w:top w:val="single" w:sz="4" w:space="0" w:color="A59C94"/>
              <w:bottom w:val="single" w:sz="4" w:space="0" w:color="A59C94"/>
            </w:tcBorders>
            <w:noWrap/>
            <w:vAlign w:val="bottom"/>
          </w:tcPr>
          <w:p w14:paraId="21CD4901" w14:textId="77777777" w:rsidR="00462845" w:rsidRDefault="00462845" w:rsidP="00F0526A">
            <w:pPr>
              <w:pStyle w:val="TBodynormalNumber"/>
              <w:keepNext/>
            </w:pPr>
            <w:r>
              <w:t>164</w:t>
            </w:r>
          </w:p>
        </w:tc>
        <w:tc>
          <w:tcPr>
            <w:tcW w:w="119" w:type="dxa"/>
            <w:noWrap/>
            <w:vAlign w:val="bottom"/>
          </w:tcPr>
          <w:p w14:paraId="5B766F19" w14:textId="77777777" w:rsidR="00462845" w:rsidRDefault="00462845" w:rsidP="00F0526A">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6990F3B6" w14:textId="77777777" w:rsidR="00462845" w:rsidRDefault="00462845" w:rsidP="00F0526A">
            <w:pPr>
              <w:pStyle w:val="TBodynormalNumber"/>
              <w:keepNext/>
            </w:pPr>
            <w:r>
              <w:t>159</w:t>
            </w:r>
          </w:p>
        </w:tc>
        <w:tc>
          <w:tcPr>
            <w:tcW w:w="119" w:type="dxa"/>
            <w:noWrap/>
            <w:vAlign w:val="bottom"/>
          </w:tcPr>
          <w:p w14:paraId="78E280F4" w14:textId="77777777" w:rsidR="00462845" w:rsidRDefault="00462845" w:rsidP="00F0526A">
            <w:pPr>
              <w:pStyle w:val="TBodynormalNumber"/>
              <w:keepNext/>
            </w:pPr>
          </w:p>
        </w:tc>
        <w:tc>
          <w:tcPr>
            <w:tcW w:w="1021" w:type="dxa"/>
            <w:tcBorders>
              <w:top w:val="single" w:sz="4" w:space="0" w:color="A59C94"/>
              <w:bottom w:val="single" w:sz="4" w:space="0" w:color="A59C94"/>
            </w:tcBorders>
            <w:noWrap/>
            <w:vAlign w:val="bottom"/>
          </w:tcPr>
          <w:p w14:paraId="247A09CD" w14:textId="77777777" w:rsidR="00462845" w:rsidRDefault="00462845" w:rsidP="00F0526A">
            <w:pPr>
              <w:pStyle w:val="TBodynormalNumber"/>
              <w:keepNext/>
            </w:pPr>
            <w:r>
              <w:t>-3</w:t>
            </w:r>
          </w:p>
        </w:tc>
      </w:tr>
      <w:tr w:rsidR="00462845" w14:paraId="72E21658" w14:textId="77777777" w:rsidTr="00272DA4">
        <w:tc>
          <w:tcPr>
            <w:tcW w:w="2912" w:type="dxa"/>
            <w:tcBorders>
              <w:top w:val="single" w:sz="4" w:space="0" w:color="A59C94"/>
              <w:bottom w:val="single" w:sz="4" w:space="0" w:color="A59C94"/>
            </w:tcBorders>
            <w:noWrap/>
            <w:vAlign w:val="bottom"/>
          </w:tcPr>
          <w:p w14:paraId="636B3C9D" w14:textId="096F6C76" w:rsidR="00462845" w:rsidRDefault="00272DA4" w:rsidP="00F0526A">
            <w:pPr>
              <w:pStyle w:val="TBodynormalText"/>
            </w:pPr>
            <w:r w:rsidRPr="00D919B4">
              <w:rPr>
                <w:lang w:val="pt-BR"/>
              </w:rPr>
              <w:t>Performance Materials</w:t>
            </w:r>
            <w:r w:rsidRPr="00D3234F">
              <w:rPr>
                <w:vertAlign w:val="superscript"/>
                <w:lang w:val="pt-BR"/>
              </w:rPr>
              <w:t xml:space="preserve"> </w:t>
            </w:r>
          </w:p>
        </w:tc>
        <w:tc>
          <w:tcPr>
            <w:tcW w:w="119" w:type="dxa"/>
            <w:noWrap/>
            <w:vAlign w:val="bottom"/>
          </w:tcPr>
          <w:p w14:paraId="240146A7" w14:textId="77777777" w:rsidR="00462845" w:rsidRDefault="00462845" w:rsidP="00F0526A">
            <w:pPr>
              <w:pStyle w:val="TBodynormalNumber"/>
              <w:keepNext/>
            </w:pPr>
          </w:p>
        </w:tc>
        <w:tc>
          <w:tcPr>
            <w:tcW w:w="1021" w:type="dxa"/>
            <w:tcBorders>
              <w:top w:val="single" w:sz="4" w:space="0" w:color="A59C94"/>
              <w:bottom w:val="single" w:sz="4" w:space="0" w:color="A59C94"/>
            </w:tcBorders>
            <w:noWrap/>
            <w:vAlign w:val="bottom"/>
          </w:tcPr>
          <w:p w14:paraId="6000328F" w14:textId="77777777" w:rsidR="00462845" w:rsidRDefault="00462845" w:rsidP="00F0526A">
            <w:pPr>
              <w:pStyle w:val="TBodynormalNumber"/>
              <w:keepNext/>
            </w:pPr>
            <w:r>
              <w:t>707</w:t>
            </w:r>
          </w:p>
        </w:tc>
        <w:tc>
          <w:tcPr>
            <w:tcW w:w="119" w:type="dxa"/>
            <w:noWrap/>
            <w:vAlign w:val="bottom"/>
          </w:tcPr>
          <w:p w14:paraId="02A07324" w14:textId="77777777" w:rsidR="00462845" w:rsidRDefault="00462845" w:rsidP="00F0526A">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606DE1BA" w14:textId="77777777" w:rsidR="00462845" w:rsidRDefault="00462845" w:rsidP="00F0526A">
            <w:pPr>
              <w:pStyle w:val="TBodynormalNumber"/>
              <w:keepNext/>
            </w:pPr>
            <w:r>
              <w:t>646</w:t>
            </w:r>
          </w:p>
        </w:tc>
        <w:tc>
          <w:tcPr>
            <w:tcW w:w="119" w:type="dxa"/>
            <w:noWrap/>
            <w:vAlign w:val="bottom"/>
          </w:tcPr>
          <w:p w14:paraId="72797882" w14:textId="77777777" w:rsidR="00462845" w:rsidRDefault="00462845" w:rsidP="00F0526A">
            <w:pPr>
              <w:pStyle w:val="TBodynormalNumber"/>
              <w:keepNext/>
            </w:pPr>
          </w:p>
        </w:tc>
        <w:tc>
          <w:tcPr>
            <w:tcW w:w="1021" w:type="dxa"/>
            <w:tcBorders>
              <w:top w:val="single" w:sz="4" w:space="0" w:color="A59C94"/>
              <w:bottom w:val="single" w:sz="4" w:space="0" w:color="A59C94"/>
            </w:tcBorders>
            <w:noWrap/>
            <w:vAlign w:val="bottom"/>
          </w:tcPr>
          <w:p w14:paraId="3910FF33" w14:textId="77777777" w:rsidR="00462845" w:rsidRDefault="00462845" w:rsidP="00F0526A">
            <w:pPr>
              <w:pStyle w:val="TBodynormalNumber"/>
              <w:keepNext/>
            </w:pPr>
            <w:r>
              <w:t>-9</w:t>
            </w:r>
          </w:p>
        </w:tc>
        <w:tc>
          <w:tcPr>
            <w:tcW w:w="119" w:type="dxa"/>
            <w:noWrap/>
            <w:vAlign w:val="bottom"/>
          </w:tcPr>
          <w:p w14:paraId="5C1B17A0" w14:textId="77777777" w:rsidR="00462845" w:rsidRDefault="00462845" w:rsidP="00F0526A">
            <w:pPr>
              <w:pStyle w:val="TBodynormalNumber"/>
              <w:keepNext/>
            </w:pPr>
          </w:p>
        </w:tc>
        <w:tc>
          <w:tcPr>
            <w:tcW w:w="1021" w:type="dxa"/>
            <w:tcBorders>
              <w:top w:val="single" w:sz="4" w:space="0" w:color="A59C94"/>
              <w:bottom w:val="single" w:sz="4" w:space="0" w:color="A59C94"/>
            </w:tcBorders>
            <w:noWrap/>
            <w:vAlign w:val="bottom"/>
          </w:tcPr>
          <w:p w14:paraId="166635A3" w14:textId="77777777" w:rsidR="00462845" w:rsidRDefault="00462845" w:rsidP="00F0526A">
            <w:pPr>
              <w:pStyle w:val="TBodynormalNumber"/>
              <w:keepNext/>
            </w:pPr>
            <w:r>
              <w:t>37</w:t>
            </w:r>
          </w:p>
        </w:tc>
        <w:tc>
          <w:tcPr>
            <w:tcW w:w="119" w:type="dxa"/>
            <w:noWrap/>
            <w:vAlign w:val="bottom"/>
          </w:tcPr>
          <w:p w14:paraId="6A245FE4" w14:textId="77777777" w:rsidR="00462845" w:rsidRDefault="00462845" w:rsidP="00F0526A">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107F9814" w14:textId="77777777" w:rsidR="00462845" w:rsidRDefault="00462845" w:rsidP="00F0526A">
            <w:pPr>
              <w:pStyle w:val="TBodynormalNumber"/>
              <w:keepNext/>
            </w:pPr>
            <w:r>
              <w:t>43</w:t>
            </w:r>
          </w:p>
        </w:tc>
        <w:tc>
          <w:tcPr>
            <w:tcW w:w="119" w:type="dxa"/>
            <w:noWrap/>
            <w:vAlign w:val="bottom"/>
          </w:tcPr>
          <w:p w14:paraId="09FA0079" w14:textId="77777777" w:rsidR="00462845" w:rsidRDefault="00462845" w:rsidP="00F0526A">
            <w:pPr>
              <w:pStyle w:val="TBodynormalNumber"/>
              <w:keepNext/>
            </w:pPr>
          </w:p>
        </w:tc>
        <w:tc>
          <w:tcPr>
            <w:tcW w:w="1021" w:type="dxa"/>
            <w:tcBorders>
              <w:top w:val="single" w:sz="4" w:space="0" w:color="A59C94"/>
              <w:bottom w:val="single" w:sz="4" w:space="0" w:color="A59C94"/>
            </w:tcBorders>
            <w:noWrap/>
            <w:vAlign w:val="bottom"/>
          </w:tcPr>
          <w:p w14:paraId="56F0E731" w14:textId="77777777" w:rsidR="00462845" w:rsidRDefault="00462845" w:rsidP="00F0526A">
            <w:pPr>
              <w:pStyle w:val="TBodynormalNumber"/>
              <w:keepNext/>
            </w:pPr>
            <w:r>
              <w:t>16</w:t>
            </w:r>
          </w:p>
        </w:tc>
      </w:tr>
      <w:tr w:rsidR="00462845" w14:paraId="0C3BA84B" w14:textId="77777777" w:rsidTr="00272DA4">
        <w:tc>
          <w:tcPr>
            <w:tcW w:w="2912" w:type="dxa"/>
            <w:tcBorders>
              <w:top w:val="single" w:sz="4" w:space="0" w:color="A59C94"/>
              <w:bottom w:val="single" w:sz="4" w:space="0" w:color="A59C94"/>
            </w:tcBorders>
            <w:noWrap/>
            <w:vAlign w:val="bottom"/>
          </w:tcPr>
          <w:p w14:paraId="66801C1C" w14:textId="4DAA7317" w:rsidR="00462845" w:rsidRDefault="00272DA4" w:rsidP="00F0526A">
            <w:pPr>
              <w:pStyle w:val="TBodynormalText"/>
            </w:pPr>
            <w:r w:rsidRPr="00D919B4">
              <w:rPr>
                <w:lang w:val="pt-BR"/>
              </w:rPr>
              <w:t>Technology &amp; Infrastructure</w:t>
            </w:r>
          </w:p>
        </w:tc>
        <w:tc>
          <w:tcPr>
            <w:tcW w:w="119" w:type="dxa"/>
            <w:noWrap/>
            <w:vAlign w:val="bottom"/>
          </w:tcPr>
          <w:p w14:paraId="5BC35EF9" w14:textId="77777777" w:rsidR="00462845" w:rsidRDefault="00462845" w:rsidP="00F0526A">
            <w:pPr>
              <w:pStyle w:val="TBodynormalNumber"/>
              <w:keepNext/>
            </w:pPr>
          </w:p>
        </w:tc>
        <w:tc>
          <w:tcPr>
            <w:tcW w:w="1021" w:type="dxa"/>
            <w:tcBorders>
              <w:top w:val="single" w:sz="4" w:space="0" w:color="A59C94"/>
              <w:bottom w:val="single" w:sz="4" w:space="0" w:color="A59C94"/>
            </w:tcBorders>
            <w:noWrap/>
            <w:vAlign w:val="bottom"/>
          </w:tcPr>
          <w:p w14:paraId="711F5982" w14:textId="77777777" w:rsidR="00462845" w:rsidRDefault="00462845" w:rsidP="00F0526A">
            <w:pPr>
              <w:pStyle w:val="TBodynormalNumber"/>
              <w:keepNext/>
            </w:pPr>
            <w:r>
              <w:t>292</w:t>
            </w:r>
          </w:p>
        </w:tc>
        <w:tc>
          <w:tcPr>
            <w:tcW w:w="119" w:type="dxa"/>
            <w:noWrap/>
            <w:vAlign w:val="bottom"/>
          </w:tcPr>
          <w:p w14:paraId="5AB9D55F" w14:textId="77777777" w:rsidR="00462845" w:rsidRDefault="00462845" w:rsidP="00F0526A">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263B952D" w14:textId="77777777" w:rsidR="00462845" w:rsidRDefault="00462845" w:rsidP="00F0526A">
            <w:pPr>
              <w:pStyle w:val="TBodynormalNumber"/>
              <w:keepNext/>
            </w:pPr>
            <w:r>
              <w:t>238</w:t>
            </w:r>
          </w:p>
        </w:tc>
        <w:tc>
          <w:tcPr>
            <w:tcW w:w="119" w:type="dxa"/>
            <w:noWrap/>
            <w:vAlign w:val="bottom"/>
          </w:tcPr>
          <w:p w14:paraId="56D695E5" w14:textId="77777777" w:rsidR="00462845" w:rsidRDefault="00462845" w:rsidP="00F0526A">
            <w:pPr>
              <w:pStyle w:val="TBodynormalNumber"/>
              <w:keepNext/>
            </w:pPr>
          </w:p>
        </w:tc>
        <w:tc>
          <w:tcPr>
            <w:tcW w:w="1021" w:type="dxa"/>
            <w:tcBorders>
              <w:top w:val="single" w:sz="4" w:space="0" w:color="A59C94"/>
              <w:bottom w:val="single" w:sz="4" w:space="0" w:color="A59C94"/>
            </w:tcBorders>
            <w:noWrap/>
            <w:vAlign w:val="bottom"/>
          </w:tcPr>
          <w:p w14:paraId="01415507" w14:textId="77777777" w:rsidR="00462845" w:rsidRDefault="00462845" w:rsidP="00F0526A">
            <w:pPr>
              <w:pStyle w:val="TBodynormalNumber"/>
              <w:keepNext/>
            </w:pPr>
            <w:r>
              <w:t>-18</w:t>
            </w:r>
          </w:p>
        </w:tc>
        <w:tc>
          <w:tcPr>
            <w:tcW w:w="119" w:type="dxa"/>
            <w:noWrap/>
            <w:vAlign w:val="bottom"/>
          </w:tcPr>
          <w:p w14:paraId="4267910F" w14:textId="77777777" w:rsidR="00462845" w:rsidRDefault="00462845" w:rsidP="00F0526A">
            <w:pPr>
              <w:pStyle w:val="TBodynormalNumber"/>
              <w:keepNext/>
            </w:pPr>
          </w:p>
        </w:tc>
        <w:tc>
          <w:tcPr>
            <w:tcW w:w="1021" w:type="dxa"/>
            <w:tcBorders>
              <w:top w:val="single" w:sz="4" w:space="0" w:color="A59C94"/>
              <w:bottom w:val="single" w:sz="4" w:space="0" w:color="A59C94"/>
            </w:tcBorders>
            <w:noWrap/>
            <w:vAlign w:val="bottom"/>
          </w:tcPr>
          <w:p w14:paraId="1A34CA0A" w14:textId="77777777" w:rsidR="00462845" w:rsidRDefault="00462845" w:rsidP="00F0526A">
            <w:pPr>
              <w:pStyle w:val="TBodynormalNumber"/>
              <w:keepNext/>
            </w:pPr>
            <w:r>
              <w:t>34</w:t>
            </w:r>
          </w:p>
        </w:tc>
        <w:tc>
          <w:tcPr>
            <w:tcW w:w="119" w:type="dxa"/>
            <w:noWrap/>
            <w:vAlign w:val="bottom"/>
          </w:tcPr>
          <w:p w14:paraId="76379B8D" w14:textId="77777777" w:rsidR="00462845" w:rsidRDefault="00462845" w:rsidP="00F0526A">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4E5759B9" w14:textId="77777777" w:rsidR="00462845" w:rsidRDefault="00462845" w:rsidP="00F0526A">
            <w:pPr>
              <w:pStyle w:val="TBodynormalNumber"/>
              <w:keepNext/>
            </w:pPr>
            <w:r>
              <w:t>73</w:t>
            </w:r>
          </w:p>
        </w:tc>
        <w:tc>
          <w:tcPr>
            <w:tcW w:w="119" w:type="dxa"/>
            <w:noWrap/>
            <w:vAlign w:val="bottom"/>
          </w:tcPr>
          <w:p w14:paraId="0819DE75" w14:textId="77777777" w:rsidR="00462845" w:rsidRDefault="00462845" w:rsidP="00F0526A">
            <w:pPr>
              <w:pStyle w:val="TBodynormalNumber"/>
              <w:keepNext/>
            </w:pPr>
          </w:p>
        </w:tc>
        <w:tc>
          <w:tcPr>
            <w:tcW w:w="1021" w:type="dxa"/>
            <w:tcBorders>
              <w:top w:val="single" w:sz="4" w:space="0" w:color="A59C94"/>
              <w:bottom w:val="single" w:sz="4" w:space="0" w:color="A59C94"/>
            </w:tcBorders>
            <w:noWrap/>
            <w:vAlign w:val="bottom"/>
          </w:tcPr>
          <w:p w14:paraId="6377F695" w14:textId="77777777" w:rsidR="00462845" w:rsidRDefault="00462845" w:rsidP="00F0526A">
            <w:pPr>
              <w:pStyle w:val="TBodynormalNumber"/>
              <w:keepNext/>
            </w:pPr>
            <w:r>
              <w:t>115</w:t>
            </w:r>
          </w:p>
        </w:tc>
      </w:tr>
      <w:tr w:rsidR="00462845" w14:paraId="3FEC8AAC" w14:textId="77777777" w:rsidTr="00272DA4">
        <w:tc>
          <w:tcPr>
            <w:tcW w:w="2912" w:type="dxa"/>
            <w:tcBorders>
              <w:top w:val="single" w:sz="4" w:space="0" w:color="A59C94"/>
              <w:bottom w:val="single" w:sz="4" w:space="0" w:color="A59C94"/>
            </w:tcBorders>
            <w:noWrap/>
            <w:vAlign w:val="bottom"/>
          </w:tcPr>
          <w:p w14:paraId="67B409E1" w14:textId="2382E26F" w:rsidR="00462845" w:rsidRPr="001B3824" w:rsidRDefault="001B3824" w:rsidP="00F0526A">
            <w:pPr>
              <w:pStyle w:val="TBodynormalText"/>
              <w:rPr>
                <w:lang w:val="es-419"/>
              </w:rPr>
            </w:pPr>
            <w:r w:rsidRPr="00DF2967">
              <w:rPr>
                <w:lang w:val="es-419"/>
              </w:rPr>
              <w:t>Funciones de apoyo, otras actividades, consolidación</w:t>
            </w:r>
          </w:p>
        </w:tc>
        <w:tc>
          <w:tcPr>
            <w:tcW w:w="119" w:type="dxa"/>
            <w:noWrap/>
            <w:vAlign w:val="bottom"/>
          </w:tcPr>
          <w:p w14:paraId="00EBE544" w14:textId="77777777" w:rsidR="00462845" w:rsidRPr="001B3824" w:rsidRDefault="00462845" w:rsidP="00F0526A">
            <w:pPr>
              <w:pStyle w:val="TBodynormalNumber"/>
              <w:keepNext/>
              <w:rPr>
                <w:lang w:val="es-419"/>
              </w:rPr>
            </w:pPr>
          </w:p>
        </w:tc>
        <w:tc>
          <w:tcPr>
            <w:tcW w:w="1021" w:type="dxa"/>
            <w:tcBorders>
              <w:top w:val="single" w:sz="4" w:space="0" w:color="A59C94"/>
              <w:bottom w:val="single" w:sz="4" w:space="0" w:color="A59C94"/>
            </w:tcBorders>
            <w:noWrap/>
            <w:vAlign w:val="bottom"/>
          </w:tcPr>
          <w:p w14:paraId="74C72416" w14:textId="77777777" w:rsidR="00462845" w:rsidRDefault="00462845" w:rsidP="00F0526A">
            <w:pPr>
              <w:pStyle w:val="TBodynormalNumber"/>
              <w:keepNext/>
            </w:pPr>
            <w:r>
              <w:t>11</w:t>
            </w:r>
          </w:p>
        </w:tc>
        <w:tc>
          <w:tcPr>
            <w:tcW w:w="119" w:type="dxa"/>
            <w:noWrap/>
            <w:vAlign w:val="bottom"/>
          </w:tcPr>
          <w:p w14:paraId="16C05DA7" w14:textId="77777777" w:rsidR="00462845" w:rsidRDefault="00462845" w:rsidP="00F0526A">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6CD57FD8" w14:textId="77777777" w:rsidR="00462845" w:rsidRDefault="00462845" w:rsidP="00F0526A">
            <w:pPr>
              <w:pStyle w:val="TBodynormalNumber"/>
              <w:keepNext/>
            </w:pPr>
            <w:r>
              <w:t>11</w:t>
            </w:r>
          </w:p>
        </w:tc>
        <w:tc>
          <w:tcPr>
            <w:tcW w:w="119" w:type="dxa"/>
            <w:noWrap/>
            <w:vAlign w:val="bottom"/>
          </w:tcPr>
          <w:p w14:paraId="559679CD" w14:textId="77777777" w:rsidR="00462845" w:rsidRDefault="00462845" w:rsidP="00F0526A">
            <w:pPr>
              <w:pStyle w:val="TBodynormalNumber"/>
              <w:keepNext/>
            </w:pPr>
          </w:p>
        </w:tc>
        <w:tc>
          <w:tcPr>
            <w:tcW w:w="1021" w:type="dxa"/>
            <w:tcBorders>
              <w:top w:val="single" w:sz="4" w:space="0" w:color="A59C94"/>
              <w:bottom w:val="single" w:sz="4" w:space="0" w:color="A59C94"/>
            </w:tcBorders>
            <w:noWrap/>
            <w:vAlign w:val="bottom"/>
          </w:tcPr>
          <w:p w14:paraId="08CBA2E4" w14:textId="77777777" w:rsidR="00462845" w:rsidRDefault="00462845" w:rsidP="00F0526A">
            <w:pPr>
              <w:pStyle w:val="TBodynormalNumber"/>
              <w:keepNext/>
            </w:pPr>
            <w:r>
              <w:t>-</w:t>
            </w:r>
          </w:p>
        </w:tc>
        <w:tc>
          <w:tcPr>
            <w:tcW w:w="119" w:type="dxa"/>
            <w:noWrap/>
            <w:vAlign w:val="bottom"/>
          </w:tcPr>
          <w:p w14:paraId="0734AA25" w14:textId="77777777" w:rsidR="00462845" w:rsidRDefault="00462845" w:rsidP="00F0526A">
            <w:pPr>
              <w:pStyle w:val="TBodynormalNumber"/>
              <w:keepNext/>
            </w:pPr>
          </w:p>
        </w:tc>
        <w:tc>
          <w:tcPr>
            <w:tcW w:w="1021" w:type="dxa"/>
            <w:tcBorders>
              <w:top w:val="single" w:sz="4" w:space="0" w:color="A59C94"/>
              <w:bottom w:val="single" w:sz="4" w:space="0" w:color="A59C94"/>
            </w:tcBorders>
            <w:noWrap/>
            <w:vAlign w:val="bottom"/>
          </w:tcPr>
          <w:p w14:paraId="0A701274" w14:textId="77777777" w:rsidR="00462845" w:rsidRDefault="00462845" w:rsidP="00F0526A">
            <w:pPr>
              <w:pStyle w:val="TBodynormalNumber"/>
              <w:keepNext/>
            </w:pPr>
            <w:r>
              <w:t>-70</w:t>
            </w:r>
          </w:p>
        </w:tc>
        <w:tc>
          <w:tcPr>
            <w:tcW w:w="119" w:type="dxa"/>
            <w:noWrap/>
            <w:vAlign w:val="bottom"/>
          </w:tcPr>
          <w:p w14:paraId="0880AAC9" w14:textId="77777777" w:rsidR="00462845" w:rsidRDefault="00462845" w:rsidP="00F0526A">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4B248ECD" w14:textId="77777777" w:rsidR="00462845" w:rsidRDefault="00462845" w:rsidP="00F0526A">
            <w:pPr>
              <w:pStyle w:val="TBodynormalNumber"/>
              <w:keepNext/>
            </w:pPr>
            <w:r>
              <w:t>-78</w:t>
            </w:r>
          </w:p>
        </w:tc>
        <w:tc>
          <w:tcPr>
            <w:tcW w:w="119" w:type="dxa"/>
            <w:noWrap/>
            <w:vAlign w:val="bottom"/>
          </w:tcPr>
          <w:p w14:paraId="548727A3" w14:textId="77777777" w:rsidR="00462845" w:rsidRDefault="00462845" w:rsidP="00F0526A">
            <w:pPr>
              <w:pStyle w:val="TBodynormalNumber"/>
              <w:keepNext/>
            </w:pPr>
          </w:p>
        </w:tc>
        <w:tc>
          <w:tcPr>
            <w:tcW w:w="1021" w:type="dxa"/>
            <w:tcBorders>
              <w:top w:val="single" w:sz="4" w:space="0" w:color="A59C94"/>
              <w:bottom w:val="single" w:sz="4" w:space="0" w:color="A59C94"/>
            </w:tcBorders>
            <w:noWrap/>
            <w:vAlign w:val="bottom"/>
          </w:tcPr>
          <w:p w14:paraId="600877E6" w14:textId="77777777" w:rsidR="00462845" w:rsidRDefault="00462845" w:rsidP="00F0526A">
            <w:pPr>
              <w:pStyle w:val="TBodynormalNumber"/>
              <w:keepNext/>
            </w:pPr>
            <w:r>
              <w:t>-11</w:t>
            </w:r>
          </w:p>
        </w:tc>
      </w:tr>
      <w:tr w:rsidR="00462845" w14:paraId="4037789C" w14:textId="77777777" w:rsidTr="00272DA4">
        <w:tc>
          <w:tcPr>
            <w:tcW w:w="2912" w:type="dxa"/>
            <w:tcBorders>
              <w:top w:val="single" w:sz="4" w:space="0" w:color="A59C94"/>
              <w:bottom w:val="single" w:sz="16" w:space="0" w:color="991D85"/>
            </w:tcBorders>
            <w:noWrap/>
            <w:vAlign w:val="bottom"/>
          </w:tcPr>
          <w:p w14:paraId="7090B356" w14:textId="77777777" w:rsidR="00462845" w:rsidRDefault="00462845" w:rsidP="00F0526A">
            <w:pPr>
              <w:pStyle w:val="TBodytotalText"/>
            </w:pPr>
            <w:bookmarkStart w:id="10" w:name="RANGE!B33:N33"/>
            <w:bookmarkEnd w:id="10"/>
            <w:r>
              <w:t>Grupo Evonik</w:t>
            </w:r>
          </w:p>
        </w:tc>
        <w:tc>
          <w:tcPr>
            <w:tcW w:w="119" w:type="dxa"/>
            <w:tcBorders>
              <w:bottom w:val="single" w:sz="16" w:space="0" w:color="991D85"/>
            </w:tcBorders>
            <w:noWrap/>
            <w:vAlign w:val="bottom"/>
          </w:tcPr>
          <w:p w14:paraId="7A3CD5B0" w14:textId="77777777" w:rsidR="00462845" w:rsidRDefault="00462845" w:rsidP="00F0526A">
            <w:pPr>
              <w:pStyle w:val="TBodytotalNumber"/>
            </w:pPr>
          </w:p>
        </w:tc>
        <w:tc>
          <w:tcPr>
            <w:tcW w:w="1021" w:type="dxa"/>
            <w:tcBorders>
              <w:top w:val="single" w:sz="4" w:space="0" w:color="A59C94"/>
              <w:bottom w:val="single" w:sz="16" w:space="0" w:color="991D85"/>
            </w:tcBorders>
            <w:noWrap/>
            <w:vAlign w:val="bottom"/>
          </w:tcPr>
          <w:p w14:paraId="0ADEAD10" w14:textId="2DDC9E43" w:rsidR="00462845" w:rsidRDefault="00462845" w:rsidP="00F0526A">
            <w:pPr>
              <w:pStyle w:val="TBodytotalNumber"/>
            </w:pPr>
            <w:r>
              <w:t>4</w:t>
            </w:r>
            <w:r w:rsidR="00644028">
              <w:t>.</w:t>
            </w:r>
            <w:r>
              <w:t>005</w:t>
            </w:r>
          </w:p>
        </w:tc>
        <w:tc>
          <w:tcPr>
            <w:tcW w:w="119" w:type="dxa"/>
            <w:tcBorders>
              <w:bottom w:val="single" w:sz="16" w:space="0" w:color="991D85"/>
            </w:tcBorders>
            <w:noWrap/>
            <w:vAlign w:val="bottom"/>
          </w:tcPr>
          <w:p w14:paraId="1BA1F67D" w14:textId="77777777" w:rsidR="00462845" w:rsidRDefault="00462845" w:rsidP="00F0526A">
            <w:pPr>
              <w:pStyle w:val="TBodytotalNumber"/>
            </w:pPr>
          </w:p>
        </w:tc>
        <w:tc>
          <w:tcPr>
            <w:tcW w:w="1021" w:type="dxa"/>
            <w:tcBorders>
              <w:top w:val="single" w:sz="4" w:space="0" w:color="A59C94"/>
              <w:bottom w:val="single" w:sz="16" w:space="0" w:color="991D85"/>
            </w:tcBorders>
            <w:shd w:val="clear" w:color="000000" w:fill="DAD5C9"/>
            <w:noWrap/>
            <w:vAlign w:val="bottom"/>
          </w:tcPr>
          <w:p w14:paraId="2F79CB50" w14:textId="3A0E0C95" w:rsidR="00462845" w:rsidRDefault="00462845" w:rsidP="00F0526A">
            <w:pPr>
              <w:pStyle w:val="TBodytotalNumber"/>
            </w:pPr>
            <w:r>
              <w:t>3</w:t>
            </w:r>
            <w:r w:rsidR="00644028">
              <w:t>.</w:t>
            </w:r>
            <w:r>
              <w:t>796</w:t>
            </w:r>
          </w:p>
        </w:tc>
        <w:tc>
          <w:tcPr>
            <w:tcW w:w="119" w:type="dxa"/>
            <w:tcBorders>
              <w:bottom w:val="single" w:sz="16" w:space="0" w:color="991D85"/>
            </w:tcBorders>
            <w:noWrap/>
            <w:vAlign w:val="bottom"/>
          </w:tcPr>
          <w:p w14:paraId="6E7994DA" w14:textId="77777777" w:rsidR="00462845" w:rsidRDefault="00462845" w:rsidP="00F0526A">
            <w:pPr>
              <w:pStyle w:val="TBodytotalNumber"/>
            </w:pPr>
          </w:p>
        </w:tc>
        <w:tc>
          <w:tcPr>
            <w:tcW w:w="1021" w:type="dxa"/>
            <w:tcBorders>
              <w:top w:val="single" w:sz="4" w:space="0" w:color="A59C94"/>
              <w:bottom w:val="single" w:sz="16" w:space="0" w:color="991D85"/>
            </w:tcBorders>
            <w:noWrap/>
            <w:vAlign w:val="bottom"/>
          </w:tcPr>
          <w:p w14:paraId="49505266" w14:textId="77777777" w:rsidR="00462845" w:rsidRDefault="00462845" w:rsidP="00F0526A">
            <w:pPr>
              <w:pStyle w:val="TBodytotalNumber"/>
            </w:pPr>
            <w:r>
              <w:t>-5</w:t>
            </w:r>
          </w:p>
        </w:tc>
        <w:tc>
          <w:tcPr>
            <w:tcW w:w="119" w:type="dxa"/>
            <w:tcBorders>
              <w:bottom w:val="single" w:sz="16" w:space="0" w:color="991D85"/>
            </w:tcBorders>
            <w:noWrap/>
            <w:vAlign w:val="bottom"/>
          </w:tcPr>
          <w:p w14:paraId="2975FFC7" w14:textId="77777777" w:rsidR="00462845" w:rsidRDefault="00462845" w:rsidP="00F0526A">
            <w:pPr>
              <w:pStyle w:val="TBodytotalNumber"/>
            </w:pPr>
          </w:p>
        </w:tc>
        <w:tc>
          <w:tcPr>
            <w:tcW w:w="1021" w:type="dxa"/>
            <w:tcBorders>
              <w:top w:val="single" w:sz="4" w:space="0" w:color="A59C94"/>
              <w:bottom w:val="single" w:sz="16" w:space="0" w:color="991D85"/>
            </w:tcBorders>
            <w:noWrap/>
            <w:vAlign w:val="bottom"/>
          </w:tcPr>
          <w:p w14:paraId="2EE23E46" w14:textId="77777777" w:rsidR="00462845" w:rsidRDefault="00462845" w:rsidP="00F0526A">
            <w:pPr>
              <w:pStyle w:val="TBodytotalNumber"/>
            </w:pPr>
            <w:r>
              <w:t>409</w:t>
            </w:r>
          </w:p>
        </w:tc>
        <w:tc>
          <w:tcPr>
            <w:tcW w:w="119" w:type="dxa"/>
            <w:tcBorders>
              <w:bottom w:val="single" w:sz="16" w:space="0" w:color="991D85"/>
            </w:tcBorders>
            <w:noWrap/>
            <w:vAlign w:val="bottom"/>
          </w:tcPr>
          <w:p w14:paraId="387BDA1F" w14:textId="77777777" w:rsidR="00462845" w:rsidRDefault="00462845" w:rsidP="00F0526A">
            <w:pPr>
              <w:pStyle w:val="TBodytotalNumber"/>
            </w:pPr>
          </w:p>
        </w:tc>
        <w:tc>
          <w:tcPr>
            <w:tcW w:w="1021" w:type="dxa"/>
            <w:tcBorders>
              <w:top w:val="single" w:sz="4" w:space="0" w:color="A59C94"/>
              <w:bottom w:val="single" w:sz="16" w:space="0" w:color="991D85"/>
            </w:tcBorders>
            <w:shd w:val="clear" w:color="000000" w:fill="DAD5C9"/>
            <w:noWrap/>
            <w:vAlign w:val="bottom"/>
          </w:tcPr>
          <w:p w14:paraId="026BB72D" w14:textId="77777777" w:rsidR="00462845" w:rsidRDefault="00462845" w:rsidP="00F0526A">
            <w:pPr>
              <w:pStyle w:val="TBodytotalNumber"/>
            </w:pPr>
            <w:r>
              <w:t>522</w:t>
            </w:r>
          </w:p>
        </w:tc>
        <w:tc>
          <w:tcPr>
            <w:tcW w:w="119" w:type="dxa"/>
            <w:tcBorders>
              <w:bottom w:val="single" w:sz="16" w:space="0" w:color="991D85"/>
            </w:tcBorders>
            <w:noWrap/>
            <w:vAlign w:val="bottom"/>
          </w:tcPr>
          <w:p w14:paraId="795ED9A3" w14:textId="77777777" w:rsidR="00462845" w:rsidRDefault="00462845" w:rsidP="00F0526A">
            <w:pPr>
              <w:pStyle w:val="TBodytotalNumber"/>
            </w:pPr>
          </w:p>
        </w:tc>
        <w:tc>
          <w:tcPr>
            <w:tcW w:w="1021" w:type="dxa"/>
            <w:tcBorders>
              <w:top w:val="single" w:sz="4" w:space="0" w:color="A59C94"/>
              <w:bottom w:val="single" w:sz="16" w:space="0" w:color="991D85"/>
            </w:tcBorders>
            <w:noWrap/>
            <w:vAlign w:val="bottom"/>
          </w:tcPr>
          <w:p w14:paraId="46D04D6F" w14:textId="77777777" w:rsidR="00462845" w:rsidRDefault="00462845" w:rsidP="00F0526A">
            <w:pPr>
              <w:pStyle w:val="TBodytotalNumber"/>
            </w:pPr>
            <w:r>
              <w:t>28</w:t>
            </w:r>
          </w:p>
        </w:tc>
      </w:tr>
      <w:bookmarkEnd w:id="2"/>
    </w:tbl>
    <w:p w14:paraId="2B1AD7FB" w14:textId="77777777" w:rsidR="00462845" w:rsidRPr="00272DA4" w:rsidRDefault="00462845" w:rsidP="00462845">
      <w:pPr>
        <w:rPr>
          <w:color w:val="000000"/>
          <w:lang w:val="pt-BR"/>
        </w:rPr>
      </w:pPr>
    </w:p>
    <w:p w14:paraId="3FDC93D2" w14:textId="77777777" w:rsidR="00462845" w:rsidRPr="00272DA4" w:rsidRDefault="00462845" w:rsidP="00462845">
      <w:pPr>
        <w:rPr>
          <w:color w:val="000000"/>
          <w:lang w:val="pt-BR"/>
        </w:rPr>
      </w:pPr>
    </w:p>
    <w:tbl>
      <w:tblPr>
        <w:tblW w:w="9752" w:type="dxa"/>
        <w:tblLayout w:type="fixed"/>
        <w:tblCellMar>
          <w:left w:w="0" w:type="dxa"/>
          <w:right w:w="0" w:type="dxa"/>
        </w:tblCellMar>
        <w:tblLook w:val="04A0" w:firstRow="1" w:lastRow="0" w:firstColumn="1" w:lastColumn="0" w:noHBand="0" w:noVBand="1"/>
        <w:tblCaption w:val="Pressemitteilung - Tabelle en!outarea_mitarbeiter"/>
        <w:tblDescription w:val="SNEID_ff49204d453a430193fb198056f74b99"/>
      </w:tblPr>
      <w:tblGrid>
        <w:gridCol w:w="7472"/>
        <w:gridCol w:w="119"/>
        <w:gridCol w:w="1021"/>
        <w:gridCol w:w="119"/>
        <w:gridCol w:w="1021"/>
      </w:tblGrid>
      <w:tr w:rsidR="00462845" w14:paraId="4E122EB0" w14:textId="77777777" w:rsidTr="00F0526A">
        <w:tc>
          <w:tcPr>
            <w:tcW w:w="7472" w:type="dxa"/>
            <w:noWrap/>
            <w:vAlign w:val="bottom"/>
          </w:tcPr>
          <w:p w14:paraId="0C1FBEC0" w14:textId="57486F41" w:rsidR="00462845" w:rsidRDefault="001F6672" w:rsidP="00F0526A">
            <w:pPr>
              <w:pStyle w:val="TTitleText"/>
            </w:pPr>
            <w:bookmarkStart w:id="11" w:name="SNEID_ff49204d453a430193fb198056f74b99"/>
            <w:r w:rsidRPr="007F5EDB">
              <w:rPr>
                <w:lang w:val="es-AR"/>
              </w:rPr>
              <w:t>Colaboradores por división</w:t>
            </w:r>
          </w:p>
        </w:tc>
        <w:tc>
          <w:tcPr>
            <w:tcW w:w="119" w:type="dxa"/>
            <w:noWrap/>
            <w:vAlign w:val="bottom"/>
          </w:tcPr>
          <w:p w14:paraId="38E58EF6" w14:textId="77777777" w:rsidR="00462845" w:rsidRDefault="00462845" w:rsidP="00F0526A">
            <w:pPr>
              <w:pStyle w:val="TTitleText"/>
            </w:pPr>
          </w:p>
        </w:tc>
        <w:tc>
          <w:tcPr>
            <w:tcW w:w="1021" w:type="dxa"/>
            <w:noWrap/>
            <w:vAlign w:val="bottom"/>
          </w:tcPr>
          <w:p w14:paraId="59AA4A95" w14:textId="77777777" w:rsidR="00462845" w:rsidRDefault="00462845" w:rsidP="00F0526A">
            <w:pPr>
              <w:pStyle w:val="TTitleText"/>
            </w:pPr>
          </w:p>
        </w:tc>
        <w:tc>
          <w:tcPr>
            <w:tcW w:w="119" w:type="dxa"/>
            <w:noWrap/>
            <w:vAlign w:val="bottom"/>
          </w:tcPr>
          <w:p w14:paraId="74FC2073" w14:textId="77777777" w:rsidR="00462845" w:rsidRDefault="00462845" w:rsidP="00F0526A">
            <w:pPr>
              <w:pStyle w:val="TTitleText"/>
            </w:pPr>
          </w:p>
        </w:tc>
        <w:tc>
          <w:tcPr>
            <w:tcW w:w="1021" w:type="dxa"/>
            <w:noWrap/>
            <w:vAlign w:val="bottom"/>
          </w:tcPr>
          <w:p w14:paraId="0775D251" w14:textId="77777777" w:rsidR="00462845" w:rsidRDefault="00462845" w:rsidP="00F0526A">
            <w:pPr>
              <w:pStyle w:val="TTitleText"/>
            </w:pPr>
          </w:p>
        </w:tc>
      </w:tr>
      <w:tr w:rsidR="00462845" w14:paraId="29410B3A" w14:textId="77777777" w:rsidTr="00F0526A">
        <w:tc>
          <w:tcPr>
            <w:tcW w:w="7472" w:type="dxa"/>
            <w:tcBorders>
              <w:top w:val="single" w:sz="8" w:space="0" w:color="000000"/>
            </w:tcBorders>
            <w:noWrap/>
            <w:vAlign w:val="bottom"/>
          </w:tcPr>
          <w:p w14:paraId="2A95F7CC" w14:textId="77777777" w:rsidR="00462845" w:rsidRDefault="00462845" w:rsidP="00F0526A">
            <w:pPr>
              <w:pStyle w:val="TDummy"/>
              <w:keepNext/>
            </w:pPr>
          </w:p>
        </w:tc>
        <w:tc>
          <w:tcPr>
            <w:tcW w:w="119" w:type="dxa"/>
            <w:tcBorders>
              <w:top w:val="single" w:sz="8" w:space="0" w:color="000000"/>
            </w:tcBorders>
            <w:noWrap/>
            <w:vAlign w:val="bottom"/>
          </w:tcPr>
          <w:p w14:paraId="56500920" w14:textId="77777777" w:rsidR="00462845" w:rsidRDefault="00462845" w:rsidP="00F0526A">
            <w:pPr>
              <w:pStyle w:val="TDummy"/>
              <w:keepNext/>
            </w:pPr>
          </w:p>
        </w:tc>
        <w:tc>
          <w:tcPr>
            <w:tcW w:w="1021" w:type="dxa"/>
            <w:tcBorders>
              <w:top w:val="single" w:sz="8" w:space="0" w:color="000000"/>
            </w:tcBorders>
            <w:noWrap/>
            <w:vAlign w:val="bottom"/>
          </w:tcPr>
          <w:p w14:paraId="577AFD6B" w14:textId="77777777" w:rsidR="00462845" w:rsidRDefault="00462845" w:rsidP="00F0526A">
            <w:pPr>
              <w:pStyle w:val="TDummy"/>
              <w:keepNext/>
            </w:pPr>
          </w:p>
        </w:tc>
        <w:tc>
          <w:tcPr>
            <w:tcW w:w="119" w:type="dxa"/>
            <w:tcBorders>
              <w:top w:val="single" w:sz="8" w:space="0" w:color="000000"/>
            </w:tcBorders>
            <w:noWrap/>
            <w:vAlign w:val="bottom"/>
          </w:tcPr>
          <w:p w14:paraId="2458E82F" w14:textId="77777777" w:rsidR="00462845" w:rsidRDefault="00462845" w:rsidP="00F0526A">
            <w:pPr>
              <w:pStyle w:val="TDummy"/>
              <w:keepNext/>
            </w:pPr>
          </w:p>
        </w:tc>
        <w:tc>
          <w:tcPr>
            <w:tcW w:w="1021" w:type="dxa"/>
            <w:tcBorders>
              <w:top w:val="single" w:sz="8" w:space="0" w:color="000000"/>
            </w:tcBorders>
            <w:noWrap/>
            <w:vAlign w:val="bottom"/>
          </w:tcPr>
          <w:p w14:paraId="01D025A6" w14:textId="77777777" w:rsidR="00462845" w:rsidRDefault="00462845" w:rsidP="00F0526A">
            <w:pPr>
              <w:pStyle w:val="TDummy"/>
              <w:keepNext/>
            </w:pPr>
          </w:p>
        </w:tc>
      </w:tr>
      <w:tr w:rsidR="00462845" w14:paraId="2ED1D358" w14:textId="77777777" w:rsidTr="00F0526A">
        <w:tc>
          <w:tcPr>
            <w:tcW w:w="7472" w:type="dxa"/>
            <w:tcBorders>
              <w:bottom w:val="single" w:sz="4" w:space="0" w:color="000000"/>
            </w:tcBorders>
            <w:shd w:val="clear" w:color="000000" w:fill="FFFFFF"/>
            <w:noWrap/>
            <w:vAlign w:val="bottom"/>
          </w:tcPr>
          <w:p w14:paraId="3F587335" w14:textId="77777777" w:rsidR="00462845" w:rsidRDefault="00462845" w:rsidP="00F0526A">
            <w:pPr>
              <w:pStyle w:val="THeadsingleText"/>
            </w:pPr>
            <w:bookmarkStart w:id="12" w:name="RANGE!B51:F51"/>
            <w:bookmarkEnd w:id="12"/>
          </w:p>
        </w:tc>
        <w:tc>
          <w:tcPr>
            <w:tcW w:w="119" w:type="dxa"/>
            <w:noWrap/>
            <w:vAlign w:val="bottom"/>
          </w:tcPr>
          <w:p w14:paraId="3F489F81" w14:textId="77777777" w:rsidR="00462845" w:rsidRDefault="00462845" w:rsidP="00F0526A">
            <w:pPr>
              <w:pStyle w:val="THeadsingleNumber"/>
            </w:pPr>
          </w:p>
        </w:tc>
        <w:tc>
          <w:tcPr>
            <w:tcW w:w="1021" w:type="dxa"/>
            <w:tcBorders>
              <w:bottom w:val="single" w:sz="4" w:space="0" w:color="000000"/>
            </w:tcBorders>
            <w:shd w:val="clear" w:color="000000" w:fill="FFFFFF"/>
            <w:vAlign w:val="bottom"/>
          </w:tcPr>
          <w:p w14:paraId="601BFD3D" w14:textId="1A51A5B8" w:rsidR="00462845" w:rsidRDefault="001F6672" w:rsidP="00F0526A">
            <w:pPr>
              <w:pStyle w:val="THeadsingleNumber"/>
            </w:pPr>
            <w:r>
              <w:t xml:space="preserve">31 de diciembre </w:t>
            </w:r>
            <w:r w:rsidR="00462845">
              <w:t>de 2023</w:t>
            </w:r>
          </w:p>
        </w:tc>
        <w:tc>
          <w:tcPr>
            <w:tcW w:w="119" w:type="dxa"/>
            <w:vAlign w:val="bottom"/>
          </w:tcPr>
          <w:p w14:paraId="2CCF0426" w14:textId="77777777" w:rsidR="00462845" w:rsidRDefault="00462845" w:rsidP="00F0526A">
            <w:pPr>
              <w:pStyle w:val="THeadsingleNumber"/>
            </w:pPr>
          </w:p>
        </w:tc>
        <w:tc>
          <w:tcPr>
            <w:tcW w:w="1021" w:type="dxa"/>
            <w:tcBorders>
              <w:bottom w:val="single" w:sz="4" w:space="0" w:color="000000"/>
            </w:tcBorders>
            <w:shd w:val="clear" w:color="000000" w:fill="FFFFFF"/>
            <w:vAlign w:val="bottom"/>
          </w:tcPr>
          <w:p w14:paraId="1CDEEA5E" w14:textId="77777777" w:rsidR="00462845" w:rsidRDefault="00462845" w:rsidP="00F0526A">
            <w:pPr>
              <w:pStyle w:val="THeadsingleNumberbold"/>
            </w:pPr>
            <w:bookmarkStart w:id="13" w:name="RANGE!F51:F60"/>
            <w:bookmarkEnd w:id="13"/>
            <w:r>
              <w:t>31 de março de 2024</w:t>
            </w:r>
          </w:p>
        </w:tc>
      </w:tr>
      <w:tr w:rsidR="00462845" w14:paraId="033B3AC9" w14:textId="77777777" w:rsidTr="00F0526A">
        <w:tc>
          <w:tcPr>
            <w:tcW w:w="7472" w:type="dxa"/>
            <w:tcBorders>
              <w:top w:val="single" w:sz="4" w:space="0" w:color="000000"/>
              <w:bottom w:val="single" w:sz="4" w:space="0" w:color="A59C94"/>
            </w:tcBorders>
            <w:noWrap/>
            <w:vAlign w:val="bottom"/>
          </w:tcPr>
          <w:p w14:paraId="42A59D7A" w14:textId="6DFEF21C" w:rsidR="00462845" w:rsidRDefault="00272DA4" w:rsidP="00F0526A">
            <w:pPr>
              <w:pStyle w:val="TBodynormalText"/>
            </w:pPr>
            <w:r w:rsidRPr="00D919B4">
              <w:rPr>
                <w:lang w:val="pt-BR"/>
              </w:rPr>
              <w:t>Specialty Additives</w:t>
            </w:r>
          </w:p>
        </w:tc>
        <w:tc>
          <w:tcPr>
            <w:tcW w:w="119" w:type="dxa"/>
            <w:noWrap/>
            <w:vAlign w:val="bottom"/>
          </w:tcPr>
          <w:p w14:paraId="6697283C" w14:textId="77777777" w:rsidR="00462845" w:rsidRDefault="00462845" w:rsidP="00F0526A">
            <w:pPr>
              <w:pStyle w:val="TBodynormalNumber"/>
              <w:keepNext/>
            </w:pPr>
          </w:p>
        </w:tc>
        <w:tc>
          <w:tcPr>
            <w:tcW w:w="1021" w:type="dxa"/>
            <w:tcBorders>
              <w:top w:val="single" w:sz="4" w:space="0" w:color="000000"/>
              <w:bottom w:val="single" w:sz="4" w:space="0" w:color="A59C94"/>
            </w:tcBorders>
            <w:noWrap/>
            <w:vAlign w:val="bottom"/>
          </w:tcPr>
          <w:p w14:paraId="4FEF7A9C" w14:textId="5B4E81E8" w:rsidR="00462845" w:rsidRDefault="00462845" w:rsidP="00F0526A">
            <w:pPr>
              <w:pStyle w:val="TBodynormalNumber"/>
              <w:keepNext/>
            </w:pPr>
            <w:r>
              <w:t>3</w:t>
            </w:r>
            <w:r w:rsidR="00644028">
              <w:t>.</w:t>
            </w:r>
            <w:r>
              <w:t>492</w:t>
            </w:r>
          </w:p>
        </w:tc>
        <w:tc>
          <w:tcPr>
            <w:tcW w:w="119" w:type="dxa"/>
            <w:noWrap/>
            <w:vAlign w:val="bottom"/>
          </w:tcPr>
          <w:p w14:paraId="313F9355" w14:textId="77777777" w:rsidR="00462845" w:rsidRDefault="00462845" w:rsidP="00F0526A">
            <w:pPr>
              <w:pStyle w:val="TBodynormalNumber"/>
              <w:keepNext/>
            </w:pPr>
          </w:p>
        </w:tc>
        <w:tc>
          <w:tcPr>
            <w:tcW w:w="1021" w:type="dxa"/>
            <w:tcBorders>
              <w:top w:val="single" w:sz="4" w:space="0" w:color="000000"/>
              <w:bottom w:val="single" w:sz="4" w:space="0" w:color="A59C94"/>
            </w:tcBorders>
            <w:shd w:val="clear" w:color="000000" w:fill="DAD5C9"/>
            <w:noWrap/>
            <w:vAlign w:val="bottom"/>
          </w:tcPr>
          <w:p w14:paraId="6F03E37E" w14:textId="6504DF55" w:rsidR="00462845" w:rsidRDefault="00462845" w:rsidP="00F0526A">
            <w:pPr>
              <w:pStyle w:val="TBodynormalNumber"/>
              <w:keepNext/>
            </w:pPr>
            <w:r>
              <w:t>3</w:t>
            </w:r>
            <w:r w:rsidR="00644028">
              <w:t>.</w:t>
            </w:r>
            <w:r>
              <w:t>451</w:t>
            </w:r>
          </w:p>
        </w:tc>
      </w:tr>
      <w:tr w:rsidR="00462845" w14:paraId="59A588A9" w14:textId="77777777" w:rsidTr="00F0526A">
        <w:tc>
          <w:tcPr>
            <w:tcW w:w="7472" w:type="dxa"/>
            <w:tcBorders>
              <w:top w:val="single" w:sz="4" w:space="0" w:color="A59C94"/>
              <w:bottom w:val="single" w:sz="4" w:space="0" w:color="A59C94"/>
            </w:tcBorders>
            <w:noWrap/>
            <w:vAlign w:val="bottom"/>
          </w:tcPr>
          <w:p w14:paraId="124AD49D" w14:textId="3CA44745" w:rsidR="00462845" w:rsidRDefault="00272DA4" w:rsidP="00F0526A">
            <w:pPr>
              <w:pStyle w:val="TBodynormalText"/>
            </w:pPr>
            <w:r w:rsidRPr="00D919B4">
              <w:rPr>
                <w:lang w:val="pt-BR"/>
              </w:rPr>
              <w:t>Nutrition &amp; Care</w:t>
            </w:r>
          </w:p>
        </w:tc>
        <w:tc>
          <w:tcPr>
            <w:tcW w:w="119" w:type="dxa"/>
            <w:noWrap/>
            <w:vAlign w:val="bottom"/>
          </w:tcPr>
          <w:p w14:paraId="5BCB493A" w14:textId="77777777" w:rsidR="00462845" w:rsidRDefault="00462845" w:rsidP="00F0526A">
            <w:pPr>
              <w:pStyle w:val="TBodynormalNumber"/>
              <w:keepNext/>
            </w:pPr>
          </w:p>
        </w:tc>
        <w:tc>
          <w:tcPr>
            <w:tcW w:w="1021" w:type="dxa"/>
            <w:tcBorders>
              <w:top w:val="single" w:sz="4" w:space="0" w:color="A59C94"/>
              <w:bottom w:val="single" w:sz="4" w:space="0" w:color="A59C94"/>
            </w:tcBorders>
            <w:noWrap/>
            <w:vAlign w:val="bottom"/>
          </w:tcPr>
          <w:p w14:paraId="20C51DC6" w14:textId="74D141FA" w:rsidR="00462845" w:rsidRDefault="00462845" w:rsidP="00F0526A">
            <w:pPr>
              <w:pStyle w:val="TBodynormalNumber"/>
              <w:keepNext/>
            </w:pPr>
            <w:r>
              <w:t>5</w:t>
            </w:r>
            <w:r w:rsidR="00644028">
              <w:t>.</w:t>
            </w:r>
            <w:r>
              <w:t>630</w:t>
            </w:r>
          </w:p>
        </w:tc>
        <w:tc>
          <w:tcPr>
            <w:tcW w:w="119" w:type="dxa"/>
            <w:noWrap/>
            <w:vAlign w:val="bottom"/>
          </w:tcPr>
          <w:p w14:paraId="4513F764" w14:textId="77777777" w:rsidR="00462845" w:rsidRDefault="00462845" w:rsidP="00F0526A">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2A069597" w14:textId="73A0E226" w:rsidR="00462845" w:rsidRDefault="00462845" w:rsidP="00F0526A">
            <w:pPr>
              <w:pStyle w:val="TBodynormalNumber"/>
              <w:keepNext/>
            </w:pPr>
            <w:r>
              <w:t>5</w:t>
            </w:r>
            <w:r w:rsidR="00644028">
              <w:t>.</w:t>
            </w:r>
            <w:r>
              <w:t>560</w:t>
            </w:r>
          </w:p>
        </w:tc>
      </w:tr>
      <w:tr w:rsidR="00462845" w14:paraId="18633566" w14:textId="77777777" w:rsidTr="00F0526A">
        <w:tc>
          <w:tcPr>
            <w:tcW w:w="7472" w:type="dxa"/>
            <w:tcBorders>
              <w:top w:val="single" w:sz="4" w:space="0" w:color="A59C94"/>
              <w:bottom w:val="single" w:sz="4" w:space="0" w:color="A59C94"/>
            </w:tcBorders>
            <w:noWrap/>
            <w:vAlign w:val="bottom"/>
          </w:tcPr>
          <w:p w14:paraId="3E78AE2F" w14:textId="4756E84E" w:rsidR="00462845" w:rsidRDefault="00272DA4" w:rsidP="00F0526A">
            <w:pPr>
              <w:pStyle w:val="TBodynormalText"/>
            </w:pPr>
            <w:r w:rsidRPr="00D919B4">
              <w:rPr>
                <w:lang w:val="pt-BR"/>
              </w:rPr>
              <w:t>Smart Materials</w:t>
            </w:r>
            <w:r w:rsidRPr="00D3234F">
              <w:rPr>
                <w:vertAlign w:val="superscript"/>
                <w:lang w:val="pt-BR"/>
              </w:rPr>
              <w:t xml:space="preserve"> </w:t>
            </w:r>
          </w:p>
        </w:tc>
        <w:tc>
          <w:tcPr>
            <w:tcW w:w="119" w:type="dxa"/>
            <w:noWrap/>
            <w:vAlign w:val="bottom"/>
          </w:tcPr>
          <w:p w14:paraId="36BF2567" w14:textId="77777777" w:rsidR="00462845" w:rsidRDefault="00462845" w:rsidP="00F0526A">
            <w:pPr>
              <w:pStyle w:val="TBodynormalNumber"/>
              <w:keepNext/>
            </w:pPr>
          </w:p>
        </w:tc>
        <w:tc>
          <w:tcPr>
            <w:tcW w:w="1021" w:type="dxa"/>
            <w:tcBorders>
              <w:top w:val="single" w:sz="4" w:space="0" w:color="A59C94"/>
              <w:bottom w:val="single" w:sz="4" w:space="0" w:color="A59C94"/>
            </w:tcBorders>
            <w:noWrap/>
            <w:vAlign w:val="bottom"/>
          </w:tcPr>
          <w:p w14:paraId="5E0AC293" w14:textId="2F0DF3A7" w:rsidR="00462845" w:rsidRDefault="00462845" w:rsidP="00F0526A">
            <w:pPr>
              <w:pStyle w:val="TBodynormalNumber"/>
              <w:keepNext/>
            </w:pPr>
            <w:r>
              <w:t>8</w:t>
            </w:r>
            <w:r w:rsidR="00644028">
              <w:t>.</w:t>
            </w:r>
            <w:r>
              <w:t>103</w:t>
            </w:r>
          </w:p>
        </w:tc>
        <w:tc>
          <w:tcPr>
            <w:tcW w:w="119" w:type="dxa"/>
            <w:noWrap/>
            <w:vAlign w:val="bottom"/>
          </w:tcPr>
          <w:p w14:paraId="5DD7594B" w14:textId="77777777" w:rsidR="00462845" w:rsidRDefault="00462845" w:rsidP="00F0526A">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29896E8F" w14:textId="0C4AF710" w:rsidR="00462845" w:rsidRDefault="00462845" w:rsidP="00F0526A">
            <w:pPr>
              <w:pStyle w:val="TBodynormalNumber"/>
              <w:keepNext/>
            </w:pPr>
            <w:r>
              <w:t>8</w:t>
            </w:r>
            <w:r w:rsidR="00644028">
              <w:t>.</w:t>
            </w:r>
            <w:r>
              <w:t>126</w:t>
            </w:r>
          </w:p>
        </w:tc>
      </w:tr>
      <w:tr w:rsidR="00462845" w14:paraId="68961FAC" w14:textId="77777777" w:rsidTr="00F0526A">
        <w:tc>
          <w:tcPr>
            <w:tcW w:w="7472" w:type="dxa"/>
            <w:tcBorders>
              <w:top w:val="single" w:sz="4" w:space="0" w:color="A59C94"/>
              <w:bottom w:val="single" w:sz="4" w:space="0" w:color="A59C94"/>
            </w:tcBorders>
            <w:noWrap/>
            <w:vAlign w:val="bottom"/>
          </w:tcPr>
          <w:p w14:paraId="31044E8A" w14:textId="34D0BFB2" w:rsidR="00462845" w:rsidRDefault="00272DA4" w:rsidP="00F0526A">
            <w:pPr>
              <w:pStyle w:val="TBodynormalText"/>
            </w:pPr>
            <w:r w:rsidRPr="00D919B4">
              <w:rPr>
                <w:lang w:val="pt-BR"/>
              </w:rPr>
              <w:t>Performance Materials</w:t>
            </w:r>
            <w:r w:rsidRPr="00D3234F">
              <w:rPr>
                <w:vertAlign w:val="superscript"/>
                <w:lang w:val="pt-BR"/>
              </w:rPr>
              <w:t xml:space="preserve"> </w:t>
            </w:r>
          </w:p>
        </w:tc>
        <w:tc>
          <w:tcPr>
            <w:tcW w:w="119" w:type="dxa"/>
            <w:noWrap/>
            <w:vAlign w:val="bottom"/>
          </w:tcPr>
          <w:p w14:paraId="0D45DEB9" w14:textId="77777777" w:rsidR="00462845" w:rsidRDefault="00462845" w:rsidP="00F0526A">
            <w:pPr>
              <w:pStyle w:val="TBodynormalNumber"/>
              <w:keepNext/>
            </w:pPr>
          </w:p>
        </w:tc>
        <w:tc>
          <w:tcPr>
            <w:tcW w:w="1021" w:type="dxa"/>
            <w:tcBorders>
              <w:top w:val="single" w:sz="4" w:space="0" w:color="A59C94"/>
              <w:bottom w:val="single" w:sz="4" w:space="0" w:color="A59C94"/>
            </w:tcBorders>
            <w:noWrap/>
            <w:vAlign w:val="bottom"/>
          </w:tcPr>
          <w:p w14:paraId="4C7E29D6" w14:textId="4232CBD5" w:rsidR="00462845" w:rsidRDefault="00462845" w:rsidP="00F0526A">
            <w:pPr>
              <w:pStyle w:val="TBodynormalNumber"/>
              <w:keepNext/>
            </w:pPr>
            <w:r>
              <w:t>1</w:t>
            </w:r>
            <w:r w:rsidR="00644028">
              <w:t>.</w:t>
            </w:r>
            <w:r>
              <w:t>738</w:t>
            </w:r>
          </w:p>
        </w:tc>
        <w:tc>
          <w:tcPr>
            <w:tcW w:w="119" w:type="dxa"/>
            <w:noWrap/>
            <w:vAlign w:val="bottom"/>
          </w:tcPr>
          <w:p w14:paraId="1F17CD49" w14:textId="77777777" w:rsidR="00462845" w:rsidRDefault="00462845" w:rsidP="00F0526A">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6F2B3B7D" w14:textId="01775703" w:rsidR="00462845" w:rsidRDefault="00462845" w:rsidP="00F0526A">
            <w:pPr>
              <w:pStyle w:val="TBodynormalNumber"/>
              <w:keepNext/>
            </w:pPr>
            <w:r>
              <w:t>1</w:t>
            </w:r>
            <w:r w:rsidR="00644028">
              <w:t>.</w:t>
            </w:r>
            <w:r>
              <w:t>739</w:t>
            </w:r>
          </w:p>
        </w:tc>
      </w:tr>
      <w:tr w:rsidR="00462845" w14:paraId="3B3E6DEF" w14:textId="77777777" w:rsidTr="00F0526A">
        <w:tc>
          <w:tcPr>
            <w:tcW w:w="7472" w:type="dxa"/>
            <w:tcBorders>
              <w:top w:val="single" w:sz="4" w:space="0" w:color="A59C94"/>
              <w:bottom w:val="single" w:sz="4" w:space="0" w:color="A59C94"/>
            </w:tcBorders>
            <w:noWrap/>
            <w:vAlign w:val="bottom"/>
          </w:tcPr>
          <w:p w14:paraId="6249EDA9" w14:textId="4CC1C7B5" w:rsidR="00462845" w:rsidRDefault="00272DA4" w:rsidP="00F0526A">
            <w:pPr>
              <w:pStyle w:val="TBodynormalText"/>
            </w:pPr>
            <w:r w:rsidRPr="00D919B4">
              <w:rPr>
                <w:lang w:val="pt-BR"/>
              </w:rPr>
              <w:t>Technology &amp; Infrastructure</w:t>
            </w:r>
          </w:p>
        </w:tc>
        <w:tc>
          <w:tcPr>
            <w:tcW w:w="119" w:type="dxa"/>
            <w:noWrap/>
            <w:vAlign w:val="bottom"/>
          </w:tcPr>
          <w:p w14:paraId="492F66FA" w14:textId="77777777" w:rsidR="00462845" w:rsidRDefault="00462845" w:rsidP="00F0526A">
            <w:pPr>
              <w:pStyle w:val="TBodynormalNumber"/>
              <w:keepNext/>
            </w:pPr>
          </w:p>
        </w:tc>
        <w:tc>
          <w:tcPr>
            <w:tcW w:w="1021" w:type="dxa"/>
            <w:tcBorders>
              <w:top w:val="single" w:sz="4" w:space="0" w:color="A59C94"/>
              <w:bottom w:val="single" w:sz="4" w:space="0" w:color="A59C94"/>
            </w:tcBorders>
            <w:noWrap/>
            <w:vAlign w:val="bottom"/>
          </w:tcPr>
          <w:p w14:paraId="3A8E64F4" w14:textId="0BE1A657" w:rsidR="00462845" w:rsidRDefault="00462845" w:rsidP="00F0526A">
            <w:pPr>
              <w:pStyle w:val="TBodynormalNumber"/>
              <w:keepNext/>
            </w:pPr>
            <w:r>
              <w:t>8</w:t>
            </w:r>
            <w:r w:rsidR="00644028">
              <w:t>.</w:t>
            </w:r>
            <w:r>
              <w:t>197</w:t>
            </w:r>
          </w:p>
        </w:tc>
        <w:tc>
          <w:tcPr>
            <w:tcW w:w="119" w:type="dxa"/>
            <w:noWrap/>
            <w:vAlign w:val="bottom"/>
          </w:tcPr>
          <w:p w14:paraId="03C3C035" w14:textId="77777777" w:rsidR="00462845" w:rsidRDefault="00462845" w:rsidP="00F0526A">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07B16362" w14:textId="52CAF5B3" w:rsidR="00462845" w:rsidRDefault="00462845" w:rsidP="00F0526A">
            <w:pPr>
              <w:pStyle w:val="TBodynormalNumber"/>
              <w:keepNext/>
            </w:pPr>
            <w:r>
              <w:t>8</w:t>
            </w:r>
            <w:r w:rsidR="00644028">
              <w:t>.</w:t>
            </w:r>
            <w:r>
              <w:t>013</w:t>
            </w:r>
          </w:p>
        </w:tc>
      </w:tr>
      <w:tr w:rsidR="00462845" w14:paraId="42F8FD21" w14:textId="77777777" w:rsidTr="00F0526A">
        <w:tc>
          <w:tcPr>
            <w:tcW w:w="7472" w:type="dxa"/>
            <w:tcBorders>
              <w:top w:val="single" w:sz="4" w:space="0" w:color="A59C94"/>
              <w:bottom w:val="single" w:sz="4" w:space="0" w:color="A59C94"/>
            </w:tcBorders>
            <w:noWrap/>
            <w:vAlign w:val="bottom"/>
          </w:tcPr>
          <w:p w14:paraId="650C40AA" w14:textId="6B877498" w:rsidR="00462845" w:rsidRPr="001F6672" w:rsidRDefault="001F6672" w:rsidP="00F0526A">
            <w:pPr>
              <w:pStyle w:val="TBodynormalText"/>
              <w:rPr>
                <w:lang w:val="es-419"/>
              </w:rPr>
            </w:pPr>
            <w:r w:rsidRPr="00DF2967">
              <w:rPr>
                <w:lang w:val="es-419"/>
              </w:rPr>
              <w:t>Funciones de apoyo, otras actividades, consolidación</w:t>
            </w:r>
          </w:p>
        </w:tc>
        <w:tc>
          <w:tcPr>
            <w:tcW w:w="119" w:type="dxa"/>
            <w:noWrap/>
            <w:vAlign w:val="bottom"/>
          </w:tcPr>
          <w:p w14:paraId="2219A79B" w14:textId="77777777" w:rsidR="00462845" w:rsidRPr="001F6672" w:rsidRDefault="00462845" w:rsidP="00F0526A">
            <w:pPr>
              <w:pStyle w:val="TBodynormalNumber"/>
              <w:keepNext/>
              <w:rPr>
                <w:lang w:val="es-419"/>
              </w:rPr>
            </w:pPr>
          </w:p>
        </w:tc>
        <w:tc>
          <w:tcPr>
            <w:tcW w:w="1021" w:type="dxa"/>
            <w:tcBorders>
              <w:top w:val="single" w:sz="4" w:space="0" w:color="A59C94"/>
              <w:bottom w:val="single" w:sz="4" w:space="0" w:color="A59C94"/>
            </w:tcBorders>
            <w:noWrap/>
            <w:vAlign w:val="bottom"/>
          </w:tcPr>
          <w:p w14:paraId="4D3FA3B9" w14:textId="0E24F44B" w:rsidR="00462845" w:rsidRDefault="00462845" w:rsidP="00F0526A">
            <w:pPr>
              <w:pStyle w:val="TBodynormalNumber"/>
              <w:keepNext/>
            </w:pPr>
            <w:r>
              <w:t>6</w:t>
            </w:r>
            <w:r w:rsidR="00644028">
              <w:t>.</w:t>
            </w:r>
            <w:r>
              <w:t>249</w:t>
            </w:r>
          </w:p>
        </w:tc>
        <w:tc>
          <w:tcPr>
            <w:tcW w:w="119" w:type="dxa"/>
            <w:noWrap/>
            <w:vAlign w:val="bottom"/>
          </w:tcPr>
          <w:p w14:paraId="1D78D5D0" w14:textId="77777777" w:rsidR="00462845" w:rsidRDefault="00462845" w:rsidP="00F0526A">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3FAF4BBA" w14:textId="78870BAF" w:rsidR="00462845" w:rsidRDefault="00462845" w:rsidP="00F0526A">
            <w:pPr>
              <w:pStyle w:val="TBodynormalNumber"/>
              <w:keepNext/>
            </w:pPr>
            <w:r>
              <w:t>6</w:t>
            </w:r>
            <w:r w:rsidR="00644028">
              <w:t>.</w:t>
            </w:r>
            <w:r>
              <w:t>201</w:t>
            </w:r>
          </w:p>
        </w:tc>
      </w:tr>
      <w:tr w:rsidR="00462845" w14:paraId="04A0E43C" w14:textId="77777777" w:rsidTr="00F0526A">
        <w:tc>
          <w:tcPr>
            <w:tcW w:w="7472" w:type="dxa"/>
            <w:tcBorders>
              <w:top w:val="single" w:sz="4" w:space="0" w:color="A59C94"/>
              <w:bottom w:val="single" w:sz="16" w:space="0" w:color="991D85"/>
            </w:tcBorders>
            <w:noWrap/>
            <w:vAlign w:val="bottom"/>
          </w:tcPr>
          <w:p w14:paraId="6513BDAB" w14:textId="77777777" w:rsidR="00462845" w:rsidRDefault="00462845" w:rsidP="00F0526A">
            <w:pPr>
              <w:pStyle w:val="TBodytotalText"/>
            </w:pPr>
            <w:bookmarkStart w:id="14" w:name="RANGE!B60:F60"/>
            <w:bookmarkEnd w:id="14"/>
            <w:r>
              <w:t>Grupo Evonik</w:t>
            </w:r>
          </w:p>
        </w:tc>
        <w:tc>
          <w:tcPr>
            <w:tcW w:w="119" w:type="dxa"/>
            <w:tcBorders>
              <w:bottom w:val="single" w:sz="16" w:space="0" w:color="991D85"/>
            </w:tcBorders>
            <w:noWrap/>
            <w:vAlign w:val="bottom"/>
          </w:tcPr>
          <w:p w14:paraId="41602B6D" w14:textId="77777777" w:rsidR="00462845" w:rsidRDefault="00462845" w:rsidP="00F0526A">
            <w:pPr>
              <w:pStyle w:val="TBodytotalNumber"/>
            </w:pPr>
          </w:p>
        </w:tc>
        <w:tc>
          <w:tcPr>
            <w:tcW w:w="1021" w:type="dxa"/>
            <w:tcBorders>
              <w:top w:val="single" w:sz="4" w:space="0" w:color="A59C94"/>
              <w:bottom w:val="single" w:sz="16" w:space="0" w:color="991D85"/>
            </w:tcBorders>
            <w:noWrap/>
            <w:vAlign w:val="bottom"/>
          </w:tcPr>
          <w:p w14:paraId="216EDA6D" w14:textId="6E1E4056" w:rsidR="00462845" w:rsidRDefault="00462845" w:rsidP="00F0526A">
            <w:pPr>
              <w:pStyle w:val="TBodytotalNumber"/>
            </w:pPr>
            <w:r>
              <w:t>33</w:t>
            </w:r>
            <w:r w:rsidR="00644028">
              <w:t>.</w:t>
            </w:r>
            <w:r>
              <w:t>409</w:t>
            </w:r>
          </w:p>
        </w:tc>
        <w:tc>
          <w:tcPr>
            <w:tcW w:w="119" w:type="dxa"/>
            <w:tcBorders>
              <w:bottom w:val="single" w:sz="16" w:space="0" w:color="991D85"/>
            </w:tcBorders>
            <w:noWrap/>
            <w:vAlign w:val="bottom"/>
          </w:tcPr>
          <w:p w14:paraId="34BE5BAB" w14:textId="77777777" w:rsidR="00462845" w:rsidRDefault="00462845" w:rsidP="00F0526A">
            <w:pPr>
              <w:pStyle w:val="TBodytotalNumber"/>
            </w:pPr>
          </w:p>
        </w:tc>
        <w:tc>
          <w:tcPr>
            <w:tcW w:w="1021" w:type="dxa"/>
            <w:tcBorders>
              <w:top w:val="single" w:sz="4" w:space="0" w:color="A59C94"/>
              <w:bottom w:val="single" w:sz="16" w:space="0" w:color="991D85"/>
            </w:tcBorders>
            <w:shd w:val="clear" w:color="000000" w:fill="DAD5C9"/>
            <w:noWrap/>
            <w:vAlign w:val="bottom"/>
          </w:tcPr>
          <w:p w14:paraId="05CF8152" w14:textId="53495FFD" w:rsidR="00462845" w:rsidRDefault="00462845" w:rsidP="00F0526A">
            <w:pPr>
              <w:pStyle w:val="TBodytotalNumber"/>
            </w:pPr>
            <w:r>
              <w:t>33</w:t>
            </w:r>
            <w:r w:rsidR="00644028">
              <w:t>.</w:t>
            </w:r>
            <w:r>
              <w:t>090</w:t>
            </w:r>
          </w:p>
        </w:tc>
      </w:tr>
      <w:bookmarkEnd w:id="11"/>
    </w:tbl>
    <w:p w14:paraId="2B60832D" w14:textId="77777777" w:rsidR="00462845" w:rsidRDefault="00462845" w:rsidP="00462845">
      <w:pPr>
        <w:rPr>
          <w:color w:val="000000"/>
          <w:lang w:val="en-US"/>
        </w:rPr>
      </w:pPr>
    </w:p>
    <w:p w14:paraId="309523B9" w14:textId="77777777" w:rsidR="00462845" w:rsidRDefault="00462845" w:rsidP="00462845">
      <w:pPr>
        <w:spacing w:line="220" w:lineRule="exact"/>
        <w:outlineLvl w:val="0"/>
        <w:rPr>
          <w:b/>
          <w:bCs/>
          <w:color w:val="000000"/>
          <w:sz w:val="18"/>
          <w:szCs w:val="18"/>
        </w:rPr>
      </w:pPr>
    </w:p>
    <w:p w14:paraId="48ECD66E" w14:textId="77777777" w:rsidR="007036F1" w:rsidRDefault="007036F1" w:rsidP="007036F1">
      <w:pPr>
        <w:autoSpaceDE w:val="0"/>
        <w:autoSpaceDN w:val="0"/>
        <w:adjustRightInd w:val="0"/>
        <w:spacing w:line="220" w:lineRule="exact"/>
        <w:rPr>
          <w:rFonts w:cs="Lucida Sans Unicode"/>
          <w:szCs w:val="22"/>
          <w:lang w:val="es-419"/>
        </w:rPr>
      </w:pPr>
    </w:p>
    <w:p w14:paraId="40EB07BD" w14:textId="77777777" w:rsidR="007036F1" w:rsidRDefault="007036F1" w:rsidP="007036F1">
      <w:pPr>
        <w:spacing w:line="220" w:lineRule="exact"/>
        <w:outlineLvl w:val="0"/>
        <w:rPr>
          <w:b/>
          <w:bCs/>
          <w:sz w:val="18"/>
          <w:szCs w:val="18"/>
          <w:lang w:val="es-ES" w:eastAsia="pt-BR"/>
        </w:rPr>
      </w:pPr>
      <w:bookmarkStart w:id="15" w:name="_Hlk131070822"/>
      <w:r>
        <w:rPr>
          <w:b/>
          <w:bCs/>
          <w:sz w:val="18"/>
          <w:szCs w:val="18"/>
          <w:lang w:val="es-ES" w:eastAsia="pt-BR"/>
        </w:rPr>
        <w:t xml:space="preserve">Información de la empresa  </w:t>
      </w:r>
    </w:p>
    <w:p w14:paraId="1394A5F8" w14:textId="77777777" w:rsidR="007036F1" w:rsidRDefault="007036F1" w:rsidP="007036F1">
      <w:pPr>
        <w:spacing w:line="220" w:lineRule="exact"/>
        <w:rPr>
          <w:rFonts w:cs="Lucida Sans Unicode"/>
          <w:color w:val="000000"/>
          <w:sz w:val="18"/>
          <w:szCs w:val="18"/>
          <w:lang w:val="es-ES" w:eastAsia="pt-BR"/>
        </w:rPr>
      </w:pPr>
      <w:r>
        <w:rPr>
          <w:rFonts w:cs="Lucida Sans Unicode"/>
          <w:color w:val="000000"/>
          <w:sz w:val="18"/>
          <w:szCs w:val="18"/>
          <w:lang w:val="es-ES" w:eastAsia="pt-BR"/>
        </w:rPr>
        <w:t>Evonik es uno de los líderes mundiales en productos químicos especializados. La empresa opera en más de 100 países de todo el mundo. En 2023, registró ventas por 15.300 millones de euros y una ganancia operativa (margen EBITDA ajustado) de 1.660 millones de euros. Evonik va mucho más allá de la química para crear soluciones innovadoras, redituables y sustentables para sus clientes. Más de 33.000 colaboradores trabajan juntos con un objetivo en común: mejorar la vida de las personas, todos los días.</w:t>
      </w:r>
    </w:p>
    <w:p w14:paraId="48AFD96F" w14:textId="77777777" w:rsidR="007036F1" w:rsidRDefault="007036F1" w:rsidP="007036F1">
      <w:pPr>
        <w:spacing w:line="220" w:lineRule="exact"/>
        <w:rPr>
          <w:rFonts w:cs="Lucida Sans Unicode"/>
          <w:color w:val="000000"/>
          <w:sz w:val="18"/>
          <w:szCs w:val="18"/>
          <w:lang w:val="es-ES" w:eastAsia="pt-BR"/>
        </w:rPr>
      </w:pPr>
    </w:p>
    <w:p w14:paraId="7D6FAAE5" w14:textId="77777777" w:rsidR="007036F1" w:rsidRDefault="007036F1" w:rsidP="007036F1">
      <w:pPr>
        <w:spacing w:line="220" w:lineRule="exact"/>
        <w:jc w:val="both"/>
        <w:rPr>
          <w:rFonts w:cs="Lucida Sans Unicode"/>
          <w:color w:val="000000"/>
          <w:sz w:val="18"/>
          <w:szCs w:val="18"/>
          <w:lang w:val="es-ES" w:eastAsia="pt-BR"/>
        </w:rPr>
      </w:pPr>
    </w:p>
    <w:p w14:paraId="3FFC1F3C" w14:textId="77777777" w:rsidR="007036F1" w:rsidRDefault="007036F1" w:rsidP="007036F1">
      <w:pPr>
        <w:spacing w:line="220" w:lineRule="exact"/>
        <w:jc w:val="both"/>
        <w:rPr>
          <w:b/>
          <w:bCs/>
          <w:sz w:val="18"/>
          <w:szCs w:val="18"/>
          <w:lang w:val="es-ES" w:eastAsia="pt-BR"/>
        </w:rPr>
      </w:pPr>
      <w:r>
        <w:rPr>
          <w:b/>
          <w:bCs/>
          <w:sz w:val="18"/>
          <w:szCs w:val="18"/>
          <w:lang w:val="es-ES" w:eastAsia="pt-BR"/>
        </w:rPr>
        <w:t>Nota legal</w:t>
      </w:r>
    </w:p>
    <w:p w14:paraId="46470701" w14:textId="77777777" w:rsidR="007036F1" w:rsidRDefault="007036F1" w:rsidP="007036F1">
      <w:pPr>
        <w:spacing w:line="220" w:lineRule="exact"/>
        <w:rPr>
          <w:rFonts w:cs="Lucida Sans Unicode"/>
          <w:color w:val="000000"/>
          <w:sz w:val="18"/>
          <w:szCs w:val="18"/>
          <w:lang w:val="es-ES" w:eastAsia="pt-BR"/>
        </w:rPr>
      </w:pPr>
      <w:r>
        <w:rPr>
          <w:rFonts w:cs="Lucida Sans Unicode"/>
          <w:color w:val="000000"/>
          <w:sz w:val="18"/>
          <w:szCs w:val="18"/>
          <w:lang w:val="es-ES" w:eastAsia="pt-BR"/>
        </w:rPr>
        <w:t xml:space="preserve">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 </w:t>
      </w:r>
    </w:p>
    <w:p w14:paraId="2DE492C6" w14:textId="77777777" w:rsidR="007036F1" w:rsidRDefault="007036F1" w:rsidP="007036F1">
      <w:pPr>
        <w:spacing w:line="220" w:lineRule="exact"/>
        <w:jc w:val="both"/>
        <w:rPr>
          <w:rFonts w:cs="Lucida Sans Unicode"/>
          <w:color w:val="FF0000"/>
          <w:sz w:val="18"/>
          <w:szCs w:val="18"/>
          <w:lang w:val="es-ES" w:eastAsia="pt-BR"/>
        </w:rPr>
      </w:pPr>
    </w:p>
    <w:p w14:paraId="34DF6E80" w14:textId="77777777" w:rsidR="007036F1" w:rsidRDefault="007036F1" w:rsidP="007036F1">
      <w:pPr>
        <w:outlineLvl w:val="0"/>
        <w:rPr>
          <w:rFonts w:cs="Arial"/>
          <w:kern w:val="28"/>
          <w:sz w:val="18"/>
          <w:szCs w:val="18"/>
          <w:lang w:val="es-ES" w:eastAsia="pt-BR"/>
        </w:rPr>
      </w:pPr>
    </w:p>
    <w:p w14:paraId="7A9F03A8" w14:textId="77777777" w:rsidR="007036F1" w:rsidRDefault="007036F1" w:rsidP="007036F1">
      <w:pPr>
        <w:spacing w:line="240" w:lineRule="auto"/>
        <w:rPr>
          <w:rFonts w:cs="Lucida Sans Unicode"/>
          <w:b/>
          <w:sz w:val="18"/>
          <w:szCs w:val="18"/>
          <w:lang w:val="pt-BR" w:eastAsia="pt-BR"/>
        </w:rPr>
      </w:pPr>
      <w:bookmarkStart w:id="16" w:name="_Hlk29560670"/>
      <w:bookmarkEnd w:id="16"/>
      <w:r w:rsidRPr="00567186">
        <w:rPr>
          <w:rFonts w:cs="Lucida Sans Unicode"/>
          <w:b/>
          <w:sz w:val="18"/>
          <w:szCs w:val="18"/>
          <w:lang w:val="pt-BR" w:eastAsia="pt-BR"/>
        </w:rPr>
        <w:t>Evonik Brasil Ltda.</w:t>
      </w:r>
    </w:p>
    <w:p w14:paraId="415C3818" w14:textId="77777777" w:rsidR="007036F1" w:rsidRPr="00567186" w:rsidRDefault="007036F1" w:rsidP="007036F1">
      <w:pPr>
        <w:spacing w:line="240" w:lineRule="auto"/>
        <w:rPr>
          <w:rFonts w:cs="Lucida Sans Unicode"/>
          <w:sz w:val="18"/>
          <w:szCs w:val="18"/>
          <w:lang w:val="pt-BR" w:eastAsia="pt-BR"/>
        </w:rPr>
      </w:pPr>
      <w:r w:rsidRPr="00567186">
        <w:rPr>
          <w:rFonts w:cs="Lucida Sans Unicode"/>
          <w:sz w:val="18"/>
          <w:szCs w:val="18"/>
          <w:lang w:val="pt-BR" w:eastAsia="pt-BR"/>
        </w:rPr>
        <w:lastRenderedPageBreak/>
        <w:t>Teléfono: (11) 3146-4100</w:t>
      </w:r>
    </w:p>
    <w:p w14:paraId="09E0D880" w14:textId="77777777" w:rsidR="007036F1" w:rsidRPr="00567186" w:rsidRDefault="007036F1" w:rsidP="007036F1">
      <w:pPr>
        <w:spacing w:line="240" w:lineRule="auto"/>
        <w:rPr>
          <w:rFonts w:cs="Lucida Sans Unicode"/>
          <w:sz w:val="18"/>
          <w:szCs w:val="18"/>
          <w:lang w:val="pt-BR" w:eastAsia="pt-BR"/>
        </w:rPr>
      </w:pPr>
      <w:r w:rsidRPr="00567186">
        <w:rPr>
          <w:rFonts w:cs="Lucida Sans Unicode"/>
          <w:sz w:val="18"/>
          <w:szCs w:val="18"/>
          <w:lang w:val="pt-BR" w:eastAsia="pt-BR"/>
        </w:rPr>
        <w:t>www.evonik.com.br</w:t>
      </w:r>
    </w:p>
    <w:p w14:paraId="11DE4992" w14:textId="77777777" w:rsidR="007036F1" w:rsidRPr="00567186" w:rsidRDefault="007036F1" w:rsidP="007036F1">
      <w:pPr>
        <w:spacing w:line="240" w:lineRule="auto"/>
        <w:rPr>
          <w:rFonts w:cs="Lucida Sans Unicode"/>
          <w:sz w:val="18"/>
          <w:szCs w:val="18"/>
          <w:lang w:val="pt-BR" w:eastAsia="pt-BR"/>
        </w:rPr>
      </w:pPr>
      <w:r w:rsidRPr="00567186">
        <w:rPr>
          <w:rFonts w:cs="Lucida Sans Unicode"/>
          <w:sz w:val="18"/>
          <w:szCs w:val="18"/>
          <w:lang w:val="pt-BR" w:eastAsia="pt-BR"/>
        </w:rPr>
        <w:t>facebook.com/Evonik</w:t>
      </w:r>
    </w:p>
    <w:p w14:paraId="17B919D1" w14:textId="77777777" w:rsidR="007036F1" w:rsidRPr="00567186" w:rsidRDefault="007036F1" w:rsidP="007036F1">
      <w:pPr>
        <w:spacing w:line="240" w:lineRule="auto"/>
        <w:rPr>
          <w:rFonts w:cs="Lucida Sans Unicode"/>
          <w:sz w:val="18"/>
          <w:szCs w:val="18"/>
          <w:lang w:val="pt-BR" w:eastAsia="pt-BR"/>
        </w:rPr>
      </w:pPr>
      <w:r w:rsidRPr="00567186">
        <w:rPr>
          <w:rFonts w:cs="Lucida Sans Unicode"/>
          <w:sz w:val="18"/>
          <w:szCs w:val="18"/>
          <w:lang w:val="pt-BR" w:eastAsia="pt-BR"/>
        </w:rPr>
        <w:t>instagram.com/Evonik.Brasil</w:t>
      </w:r>
    </w:p>
    <w:p w14:paraId="33202E1C" w14:textId="77777777" w:rsidR="007036F1" w:rsidRPr="00510BFA" w:rsidRDefault="007036F1" w:rsidP="007036F1">
      <w:pPr>
        <w:spacing w:line="240" w:lineRule="auto"/>
        <w:rPr>
          <w:rFonts w:cs="Lucida Sans Unicode"/>
          <w:sz w:val="18"/>
          <w:szCs w:val="18"/>
          <w:lang w:val="es-419" w:eastAsia="pt-BR"/>
        </w:rPr>
      </w:pPr>
      <w:r w:rsidRPr="00510BFA">
        <w:rPr>
          <w:rFonts w:cs="Lucida Sans Unicode"/>
          <w:sz w:val="18"/>
          <w:szCs w:val="18"/>
          <w:lang w:val="es-419" w:eastAsia="pt-BR"/>
        </w:rPr>
        <w:t>youtube.com/EvonikIndustries</w:t>
      </w:r>
    </w:p>
    <w:p w14:paraId="7495B113" w14:textId="77777777" w:rsidR="007036F1" w:rsidRPr="00510BFA" w:rsidRDefault="007036F1" w:rsidP="007036F1">
      <w:pPr>
        <w:spacing w:line="240" w:lineRule="auto"/>
        <w:rPr>
          <w:rFonts w:cs="Lucida Sans Unicode"/>
          <w:sz w:val="18"/>
          <w:szCs w:val="18"/>
          <w:lang w:val="es-419" w:eastAsia="pt-BR"/>
        </w:rPr>
      </w:pPr>
      <w:r w:rsidRPr="00510BFA">
        <w:rPr>
          <w:rFonts w:cs="Lucida Sans Unicode"/>
          <w:sz w:val="18"/>
          <w:szCs w:val="18"/>
          <w:lang w:val="es-419" w:eastAsia="pt-BR"/>
        </w:rPr>
        <w:t>linkedin.com/company/Evonik</w:t>
      </w:r>
    </w:p>
    <w:p w14:paraId="2DB71BFE" w14:textId="77777777" w:rsidR="007036F1" w:rsidRPr="00510BFA" w:rsidRDefault="007036F1" w:rsidP="007036F1">
      <w:pPr>
        <w:spacing w:line="220" w:lineRule="exact"/>
        <w:outlineLvl w:val="0"/>
        <w:rPr>
          <w:sz w:val="18"/>
          <w:szCs w:val="18"/>
          <w:lang w:val="es-419" w:eastAsia="pt-BR"/>
        </w:rPr>
      </w:pPr>
    </w:p>
    <w:p w14:paraId="64B99CF0" w14:textId="77777777" w:rsidR="007036F1" w:rsidRPr="00510BFA" w:rsidRDefault="007036F1" w:rsidP="007036F1">
      <w:pPr>
        <w:spacing w:line="220" w:lineRule="exact"/>
        <w:rPr>
          <w:rFonts w:eastAsia="Lucida Sans Unicode" w:cs="Lucida Sans Unicode"/>
          <w:sz w:val="18"/>
          <w:szCs w:val="18"/>
          <w:bdr w:val="none" w:sz="0" w:space="0" w:color="auto" w:frame="1"/>
          <w:lang w:val="es-419" w:eastAsia="pt-BR"/>
        </w:rPr>
      </w:pPr>
    </w:p>
    <w:p w14:paraId="3FC68FD5" w14:textId="77777777" w:rsidR="007036F1" w:rsidRDefault="007036F1" w:rsidP="007036F1">
      <w:pPr>
        <w:spacing w:line="240" w:lineRule="auto"/>
        <w:rPr>
          <w:rFonts w:cs="Lucida Sans Unicode"/>
          <w:b/>
          <w:sz w:val="18"/>
          <w:szCs w:val="18"/>
          <w:lang w:val="es-419" w:eastAsia="pt-BR"/>
        </w:rPr>
      </w:pPr>
      <w:r>
        <w:rPr>
          <w:rFonts w:cs="Lucida Sans Unicode"/>
          <w:b/>
          <w:sz w:val="18"/>
          <w:szCs w:val="18"/>
          <w:lang w:val="es-419" w:eastAsia="pt-BR"/>
        </w:rPr>
        <w:t>Información para la prensa</w:t>
      </w:r>
    </w:p>
    <w:p w14:paraId="3F88C6C1" w14:textId="77777777" w:rsidR="007036F1" w:rsidRDefault="007036F1" w:rsidP="007036F1">
      <w:pPr>
        <w:spacing w:line="240" w:lineRule="auto"/>
        <w:rPr>
          <w:rFonts w:cs="Lucida Sans Unicode"/>
          <w:bCs/>
          <w:sz w:val="18"/>
          <w:szCs w:val="18"/>
          <w:lang w:val="es-AR" w:eastAsia="pt-BR"/>
        </w:rPr>
      </w:pPr>
      <w:r>
        <w:rPr>
          <w:rFonts w:cs="Lucida Sans Unicode"/>
          <w:bCs/>
          <w:sz w:val="18"/>
          <w:szCs w:val="18"/>
          <w:lang w:val="es-AR" w:eastAsia="pt-BR"/>
        </w:rPr>
        <w:t>Vía Pública comunicación - www.viapublicacomunicacao.com.br</w:t>
      </w:r>
    </w:p>
    <w:p w14:paraId="7D3DB4EC" w14:textId="77777777" w:rsidR="007036F1" w:rsidRDefault="007036F1" w:rsidP="007036F1">
      <w:pPr>
        <w:spacing w:line="240" w:lineRule="auto"/>
        <w:rPr>
          <w:rFonts w:cs="Lucida Sans Unicode"/>
          <w:bCs/>
          <w:sz w:val="18"/>
          <w:szCs w:val="18"/>
          <w:lang w:val="es-419" w:eastAsia="pt-BR"/>
        </w:rPr>
      </w:pPr>
      <w:r>
        <w:rPr>
          <w:rFonts w:cs="Lucida Sans Unicode"/>
          <w:bCs/>
          <w:sz w:val="18"/>
          <w:szCs w:val="18"/>
          <w:lang w:val="es-419" w:eastAsia="pt-BR"/>
        </w:rPr>
        <w:t>Sheila Diez: (11) 3473.0255 - sheila@viapublicacomunicacao.com.br</w:t>
      </w:r>
    </w:p>
    <w:p w14:paraId="4352C7A2" w14:textId="77777777" w:rsidR="007036F1" w:rsidRDefault="007036F1" w:rsidP="007036F1">
      <w:pPr>
        <w:spacing w:line="240" w:lineRule="auto"/>
        <w:rPr>
          <w:rFonts w:cs="Lucida Sans Unicode"/>
          <w:bCs/>
          <w:sz w:val="18"/>
          <w:szCs w:val="18"/>
          <w:lang w:val="pt-BR"/>
        </w:rPr>
      </w:pPr>
      <w:r>
        <w:rPr>
          <w:rFonts w:cs="Lucida Sans Unicode"/>
          <w:bCs/>
          <w:sz w:val="18"/>
          <w:szCs w:val="18"/>
          <w:lang w:eastAsia="pt-BR"/>
        </w:rPr>
        <w:t xml:space="preserve">Taís Augusto: (11) 3562.5555 - </w:t>
      </w:r>
      <w:hyperlink r:id="rId11" w:history="1">
        <w:r>
          <w:rPr>
            <w:rStyle w:val="Hyperlink"/>
            <w:rFonts w:cs="Lucida Sans Unicode"/>
            <w:bCs/>
            <w:sz w:val="18"/>
            <w:szCs w:val="18"/>
            <w:lang w:eastAsia="pt-BR"/>
          </w:rPr>
          <w:t>tais@viapublicacomunicacao.com.br</w:t>
        </w:r>
      </w:hyperlink>
      <w:bookmarkEnd w:id="15"/>
    </w:p>
    <w:p w14:paraId="59C15C1B" w14:textId="77777777" w:rsidR="007036F1" w:rsidRDefault="007036F1" w:rsidP="007036F1">
      <w:pPr>
        <w:spacing w:line="240" w:lineRule="auto"/>
        <w:rPr>
          <w:rFonts w:cs="Lucida Sans Unicode"/>
          <w:bCs/>
          <w:sz w:val="18"/>
          <w:szCs w:val="18"/>
        </w:rPr>
      </w:pPr>
    </w:p>
    <w:bookmarkEnd w:id="0"/>
    <w:p w14:paraId="648849E5" w14:textId="77777777" w:rsidR="00462845" w:rsidRDefault="00462845" w:rsidP="00462845">
      <w:pPr>
        <w:spacing w:line="220" w:lineRule="exact"/>
        <w:outlineLvl w:val="0"/>
        <w:rPr>
          <w:b/>
          <w:bCs/>
          <w:color w:val="000000"/>
          <w:sz w:val="18"/>
          <w:szCs w:val="18"/>
        </w:rPr>
      </w:pPr>
    </w:p>
    <w:sectPr w:rsidR="00462845" w:rsidSect="00363C73">
      <w:headerReference w:type="default" r:id="rId12"/>
      <w:footerReference w:type="default" r:id="rId13"/>
      <w:headerReference w:type="first" r:id="rId14"/>
      <w:footerReference w:type="first" r:id="rId15"/>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4D2B6" w14:textId="77777777" w:rsidR="00E8172C" w:rsidRDefault="00E8172C" w:rsidP="00FD1184">
      <w:r>
        <w:separator/>
      </w:r>
    </w:p>
  </w:endnote>
  <w:endnote w:type="continuationSeparator" w:id="0">
    <w:p w14:paraId="419FF653" w14:textId="77777777" w:rsidR="00E8172C" w:rsidRDefault="00E8172C" w:rsidP="00FD1184">
      <w:r>
        <w:continuationSeparator/>
      </w:r>
    </w:p>
  </w:endnote>
  <w:endnote w:type="continuationNotice" w:id="1">
    <w:p w14:paraId="5D858BE9" w14:textId="77777777" w:rsidR="00E8172C" w:rsidRDefault="00E8172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vonik Prokyon Medium">
    <w:panose1 w:val="00000600000000000000"/>
    <w:charset w:val="00"/>
    <w:family w:val="modern"/>
    <w:notTrueType/>
    <w:pitch w:val="variable"/>
    <w:sig w:usb0="20000007" w:usb1="00000001" w:usb2="00000000" w:usb3="00000000" w:csb0="00000193" w:csb1="00000000"/>
  </w:font>
  <w:font w:name="Evonik Prokyon">
    <w:panose1 w:val="00000500000000000000"/>
    <w:charset w:val="00"/>
    <w:family w:val="modern"/>
    <w:notTrueType/>
    <w:pitch w:val="variable"/>
    <w:sig w:usb0="20000007" w:usb1="00000001" w:usb2="00000000" w:usb3="00000000" w:csb0="00000193" w:csb1="00000000"/>
  </w:font>
  <w:font w:name="SimSun">
    <w:altName w:val="冼极"/>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427B5" w14:textId="2B808232" w:rsidR="004B3707" w:rsidRDefault="004B3707">
    <w:pPr>
      <w:pStyle w:val="Footer"/>
    </w:pPr>
  </w:p>
  <w:p w14:paraId="2893F790" w14:textId="0E8919C8" w:rsidR="004B3707" w:rsidRDefault="00B13F10">
    <w:pPr>
      <w:pStyle w:val="Footer"/>
    </w:pPr>
    <w:r>
      <w:t>P.</w:t>
    </w:r>
    <w:r w:rsidR="004B3707">
      <w:t xml:space="preserve"> </w:t>
    </w:r>
    <w:r w:rsidR="004B3707">
      <w:rPr>
        <w:rStyle w:val="PageNumber"/>
      </w:rPr>
      <w:fldChar w:fldCharType="begin"/>
    </w:r>
    <w:r w:rsidR="004B3707">
      <w:rPr>
        <w:rStyle w:val="PageNumber"/>
      </w:rPr>
      <w:instrText xml:space="preserve"> PAGE </w:instrText>
    </w:r>
    <w:r w:rsidR="004B3707">
      <w:rPr>
        <w:rStyle w:val="PageNumber"/>
      </w:rPr>
      <w:fldChar w:fldCharType="separate"/>
    </w:r>
    <w:r w:rsidR="004B3707">
      <w:rPr>
        <w:rStyle w:val="PageNumber"/>
        <w:noProof/>
      </w:rPr>
      <w:t>2</w:t>
    </w:r>
    <w:r w:rsidR="004B3707">
      <w:rPr>
        <w:rStyle w:val="PageNumber"/>
      </w:rPr>
      <w:fldChar w:fldCharType="end"/>
    </w:r>
    <w:r w:rsidR="004B3707">
      <w:rPr>
        <w:rStyle w:val="PageNumber"/>
      </w:rPr>
      <w:t xml:space="preserve"> </w:t>
    </w:r>
    <w:r>
      <w:rPr>
        <w:rStyle w:val="PageNumber"/>
      </w:rPr>
      <w:t>de</w:t>
    </w:r>
    <w:r w:rsidR="004B3707">
      <w:rPr>
        <w:rStyle w:val="PageNumber"/>
      </w:rPr>
      <w:t xml:space="preserve"> </w:t>
    </w:r>
    <w:r w:rsidR="004B3707">
      <w:rPr>
        <w:rStyle w:val="PageNumber"/>
      </w:rPr>
      <w:fldChar w:fldCharType="begin"/>
    </w:r>
    <w:r w:rsidR="004B3707">
      <w:rPr>
        <w:rStyle w:val="PageNumber"/>
      </w:rPr>
      <w:instrText xml:space="preserve"> NUMPAGES </w:instrText>
    </w:r>
    <w:r w:rsidR="004B3707">
      <w:rPr>
        <w:rStyle w:val="PageNumber"/>
      </w:rPr>
      <w:fldChar w:fldCharType="separate"/>
    </w:r>
    <w:r w:rsidR="004B3707">
      <w:rPr>
        <w:rStyle w:val="PageNumber"/>
        <w:noProof/>
      </w:rPr>
      <w:t>2</w:t>
    </w:r>
    <w:r w:rsidR="004B37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46880" w14:textId="35588D24" w:rsidR="004B3707" w:rsidRDefault="004B3707" w:rsidP="00316EC0">
    <w:pPr>
      <w:pStyle w:val="Footer"/>
    </w:pPr>
  </w:p>
  <w:p w14:paraId="11E9B465" w14:textId="77777777" w:rsidR="004B3707" w:rsidRPr="005225EC" w:rsidRDefault="004B3707" w:rsidP="00316EC0">
    <w:pPr>
      <w:pStyle w:val="Footer"/>
      <w:rPr>
        <w:szCs w:val="18"/>
      </w:rPr>
    </w:pPr>
    <w:r w:rsidRPr="005225EC">
      <w:rPr>
        <w:szCs w:val="18"/>
      </w:rPr>
      <w:t xml:space="preserve">Seite </w:t>
    </w:r>
    <w:r w:rsidRPr="005225EC">
      <w:rPr>
        <w:rStyle w:val="PageNumber"/>
        <w:szCs w:val="18"/>
      </w:rPr>
      <w:fldChar w:fldCharType="begin"/>
    </w:r>
    <w:r w:rsidRPr="005225EC">
      <w:rPr>
        <w:rStyle w:val="PageNumber"/>
        <w:szCs w:val="18"/>
      </w:rPr>
      <w:instrText xml:space="preserve"> PAGE </w:instrText>
    </w:r>
    <w:r w:rsidRPr="005225EC">
      <w:rPr>
        <w:rStyle w:val="PageNumber"/>
        <w:szCs w:val="18"/>
      </w:rPr>
      <w:fldChar w:fldCharType="separate"/>
    </w:r>
    <w:r>
      <w:rPr>
        <w:rStyle w:val="PageNumber"/>
        <w:noProof/>
        <w:szCs w:val="18"/>
      </w:rPr>
      <w:t>1</w:t>
    </w:r>
    <w:r w:rsidRPr="005225EC">
      <w:rPr>
        <w:rStyle w:val="PageNumber"/>
        <w:szCs w:val="18"/>
      </w:rPr>
      <w:fldChar w:fldCharType="end"/>
    </w:r>
    <w:r w:rsidRPr="005225EC">
      <w:rPr>
        <w:rStyle w:val="PageNumber"/>
        <w:szCs w:val="18"/>
      </w:rPr>
      <w:t xml:space="preserve"> von </w:t>
    </w:r>
    <w:r w:rsidRPr="005225EC">
      <w:rPr>
        <w:rStyle w:val="PageNumber"/>
        <w:szCs w:val="18"/>
      </w:rPr>
      <w:fldChar w:fldCharType="begin"/>
    </w:r>
    <w:r w:rsidRPr="005225EC">
      <w:rPr>
        <w:rStyle w:val="PageNumber"/>
        <w:szCs w:val="18"/>
      </w:rPr>
      <w:instrText xml:space="preserve"> NUMPAGES </w:instrText>
    </w:r>
    <w:r w:rsidRPr="005225EC">
      <w:rPr>
        <w:rStyle w:val="PageNumber"/>
        <w:szCs w:val="18"/>
      </w:rPr>
      <w:fldChar w:fldCharType="separate"/>
    </w:r>
    <w:r>
      <w:rPr>
        <w:rStyle w:val="PageNumber"/>
        <w:noProof/>
        <w:szCs w:val="18"/>
      </w:rPr>
      <w:t>1</w:t>
    </w:r>
    <w:r w:rsidRPr="005225EC">
      <w:rPr>
        <w:rStyle w:val="PageNumber"/>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40DA7" w14:textId="77777777" w:rsidR="00E8172C" w:rsidRDefault="00E8172C" w:rsidP="00FD1184">
      <w:r>
        <w:separator/>
      </w:r>
    </w:p>
  </w:footnote>
  <w:footnote w:type="continuationSeparator" w:id="0">
    <w:p w14:paraId="07ECACF8" w14:textId="77777777" w:rsidR="00E8172C" w:rsidRDefault="00E8172C" w:rsidP="00FD1184">
      <w:r>
        <w:continuationSeparator/>
      </w:r>
    </w:p>
  </w:footnote>
  <w:footnote w:type="continuationNotice" w:id="1">
    <w:p w14:paraId="297E577E" w14:textId="77777777" w:rsidR="00E8172C" w:rsidRDefault="00E8172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E16AF" w14:textId="6EEA962E" w:rsidR="004B3707" w:rsidRPr="006C35A6" w:rsidRDefault="00940BB9" w:rsidP="00316EC0">
    <w:pPr>
      <w:pStyle w:val="Header"/>
      <w:spacing w:after="1880"/>
      <w:rPr>
        <w:sz w:val="2"/>
        <w:szCs w:val="2"/>
      </w:rPr>
    </w:pPr>
    <w:r w:rsidRPr="003F4CD0">
      <w:rPr>
        <w:noProof/>
        <w:sz w:val="2"/>
        <w:szCs w:val="2"/>
      </w:rPr>
      <w:drawing>
        <wp:anchor distT="0" distB="0" distL="114300" distR="114300" simplePos="0" relativeHeight="251658240" behindDoc="1" locked="0" layoutInCell="1" allowOverlap="1" wp14:anchorId="182CEA12" wp14:editId="6548D67F">
          <wp:simplePos x="0" y="0"/>
          <wp:positionH relativeFrom="column">
            <wp:posOffset>5080</wp:posOffset>
          </wp:positionH>
          <wp:positionV relativeFrom="paragraph">
            <wp:posOffset>122126</wp:posOffset>
          </wp:positionV>
          <wp:extent cx="1065600" cy="151200"/>
          <wp:effectExtent l="0" t="0" r="1270" b="1270"/>
          <wp:wrapNone/>
          <wp:docPr id="20" name="Picture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B3707">
      <w:rPr>
        <w:noProof/>
        <w:sz w:val="2"/>
        <w:szCs w:val="2"/>
      </w:rPr>
      <w:drawing>
        <wp:anchor distT="0" distB="0" distL="114300" distR="114300" simplePos="0" relativeHeight="251658241" behindDoc="0" locked="0" layoutInCell="1" allowOverlap="1" wp14:anchorId="1F422BB8" wp14:editId="09CAC068">
          <wp:simplePos x="0" y="0"/>
          <wp:positionH relativeFrom="column">
            <wp:posOffset>4272915</wp:posOffset>
          </wp:positionH>
          <wp:positionV relativeFrom="paragraph">
            <wp:posOffset>27305</wp:posOffset>
          </wp:positionV>
          <wp:extent cx="1871345" cy="49974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BF612" w14:textId="77777777" w:rsidR="004B3707" w:rsidRPr="006C35A6" w:rsidRDefault="004B3707">
    <w:pPr>
      <w:pStyle w:val="Header"/>
      <w:rPr>
        <w:b/>
        <w:sz w:val="2"/>
        <w:szCs w:val="2"/>
      </w:rPr>
    </w:pPr>
    <w:r>
      <w:rPr>
        <w:noProof/>
      </w:rPr>
      <w:drawing>
        <wp:anchor distT="0" distB="0" distL="114300" distR="114300" simplePos="0" relativeHeight="251658242" behindDoc="0" locked="0" layoutInCell="1" allowOverlap="1" wp14:anchorId="6DF95F23" wp14:editId="12C3BEFF">
          <wp:simplePos x="0" y="0"/>
          <wp:positionH relativeFrom="page">
            <wp:posOffset>4984750</wp:posOffset>
          </wp:positionH>
          <wp:positionV relativeFrom="page">
            <wp:posOffset>495300</wp:posOffset>
          </wp:positionV>
          <wp:extent cx="1871980" cy="5003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980" cy="5003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7A830B15" wp14:editId="104D2BA7">
          <wp:simplePos x="0" y="0"/>
          <wp:positionH relativeFrom="column">
            <wp:posOffset>0</wp:posOffset>
          </wp:positionH>
          <wp:positionV relativeFrom="paragraph">
            <wp:posOffset>-17780</wp:posOffset>
          </wp:positionV>
          <wp:extent cx="1296000" cy="187200"/>
          <wp:effectExtent l="0" t="0" r="0" b="3810"/>
          <wp:wrapNone/>
          <wp:docPr id="8" name="Picture 8"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29"/>
    <w:multiLevelType w:val="hybridMultilevel"/>
    <w:tmpl w:val="FFFFFFFF"/>
    <w:lvl w:ilvl="0" w:tplc="FFFFFFF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F7C55"/>
    <w:multiLevelType w:val="hybridMultilevel"/>
    <w:tmpl w:val="8086101E"/>
    <w:lvl w:ilvl="0" w:tplc="A40AA642">
      <w:start w:val="1"/>
      <w:numFmt w:val="bullet"/>
      <w:pStyle w:val="Heading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63330973">
    <w:abstractNumId w:val="9"/>
  </w:num>
  <w:num w:numId="2" w16cid:durableId="671954008">
    <w:abstractNumId w:val="7"/>
  </w:num>
  <w:num w:numId="3" w16cid:durableId="2035644795">
    <w:abstractNumId w:val="6"/>
  </w:num>
  <w:num w:numId="4" w16cid:durableId="1447887416">
    <w:abstractNumId w:val="5"/>
  </w:num>
  <w:num w:numId="5" w16cid:durableId="1183741010">
    <w:abstractNumId w:val="4"/>
  </w:num>
  <w:num w:numId="6" w16cid:durableId="1036809961">
    <w:abstractNumId w:val="8"/>
  </w:num>
  <w:num w:numId="7" w16cid:durableId="438257719">
    <w:abstractNumId w:val="3"/>
  </w:num>
  <w:num w:numId="8" w16cid:durableId="1258445221">
    <w:abstractNumId w:val="2"/>
  </w:num>
  <w:num w:numId="9" w16cid:durableId="739786857">
    <w:abstractNumId w:val="1"/>
  </w:num>
  <w:num w:numId="10" w16cid:durableId="552696640">
    <w:abstractNumId w:val="0"/>
  </w:num>
  <w:num w:numId="11" w16cid:durableId="867989959">
    <w:abstractNumId w:val="13"/>
  </w:num>
  <w:num w:numId="12" w16cid:durableId="1533348420">
    <w:abstractNumId w:val="15"/>
  </w:num>
  <w:num w:numId="13" w16cid:durableId="689184523">
    <w:abstractNumId w:val="14"/>
  </w:num>
  <w:num w:numId="14" w16cid:durableId="443618614">
    <w:abstractNumId w:val="11"/>
  </w:num>
  <w:num w:numId="15" w16cid:durableId="1677809313">
    <w:abstractNumId w:val="18"/>
  </w:num>
  <w:num w:numId="16" w16cid:durableId="1781292225">
    <w:abstractNumId w:val="17"/>
  </w:num>
  <w:num w:numId="17" w16cid:durableId="86003250">
    <w:abstractNumId w:val="12"/>
  </w:num>
  <w:num w:numId="18" w16cid:durableId="1470051749">
    <w:abstractNumId w:val="13"/>
  </w:num>
  <w:num w:numId="19" w16cid:durableId="1628968586">
    <w:abstractNumId w:val="15"/>
  </w:num>
  <w:num w:numId="20" w16cid:durableId="85730281">
    <w:abstractNumId w:val="14"/>
  </w:num>
  <w:num w:numId="21" w16cid:durableId="898325617">
    <w:abstractNumId w:val="9"/>
  </w:num>
  <w:num w:numId="22" w16cid:durableId="1590116317">
    <w:abstractNumId w:val="7"/>
  </w:num>
  <w:num w:numId="23" w16cid:durableId="477964145">
    <w:abstractNumId w:val="6"/>
  </w:num>
  <w:num w:numId="24" w16cid:durableId="432676458">
    <w:abstractNumId w:val="5"/>
  </w:num>
  <w:num w:numId="25" w16cid:durableId="99422869">
    <w:abstractNumId w:val="4"/>
  </w:num>
  <w:num w:numId="26" w16cid:durableId="1624113961">
    <w:abstractNumId w:val="8"/>
  </w:num>
  <w:num w:numId="27" w16cid:durableId="1943829935">
    <w:abstractNumId w:val="3"/>
  </w:num>
  <w:num w:numId="28" w16cid:durableId="2119640835">
    <w:abstractNumId w:val="2"/>
  </w:num>
  <w:num w:numId="29" w16cid:durableId="1503013437">
    <w:abstractNumId w:val="1"/>
  </w:num>
  <w:num w:numId="30" w16cid:durableId="323314320">
    <w:abstractNumId w:val="0"/>
  </w:num>
  <w:num w:numId="31" w16cid:durableId="336882283">
    <w:abstractNumId w:val="11"/>
  </w:num>
  <w:num w:numId="32" w16cid:durableId="85812134">
    <w:abstractNumId w:val="16"/>
  </w:num>
  <w:num w:numId="33" w16cid:durableId="12180054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de-DE" w:vendorID="64" w:dllVersion="0" w:nlCheck="1" w:checkStyle="0"/>
  <w:activeWritingStyle w:appName="MSWord" w:lang="pt-BR" w:vendorID="64" w:dllVersion="4096" w:nlCheck="1" w:checkStyle="0"/>
  <w:activeWritingStyle w:appName="MSWord" w:lang="pt-BR" w:vendorID="64" w:dllVersion="0" w:nlCheck="1" w:checkStyle="0"/>
  <w:activeWritingStyle w:appName="MSWord" w:lang="en-US" w:vendorID="64" w:dllVersion="4096" w:nlCheck="1" w:checkStyle="0"/>
  <w:activeWritingStyle w:appName="MSWord" w:lang="es-419" w:vendorID="64" w:dllVersion="4096" w:nlCheck="1" w:checkStyle="0"/>
  <w:activeWritingStyle w:appName="MSWord" w:lang="es-ES" w:vendorID="64" w:dllVersion="4096" w:nlCheck="1" w:checkStyle="0"/>
  <w:activeWritingStyle w:appName="MSWord" w:lang="es-AR" w:vendorID="64" w:dllVersion="4096" w:nlCheck="1" w:checkStyle="0"/>
  <w:activeWritingStyle w:appName="MSWord" w:lang="es-419" w:vendorID="64" w:dllVersion="0" w:nlCheck="1" w:checkStyle="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Colors" w:val="1"/>
    <w:docVar w:name="WfGraphics" w:val="X"/>
    <w:docVar w:name="WfID" w:val="17x649WWDM8A125063694 (sancom) Sandra_Bugs"/>
    <w:docVar w:name="WfLastSegment" w:val=" 14655 n"/>
    <w:docVar w:name="WfMT" w:val="0"/>
    <w:docVar w:name="WfProtection" w:val="1"/>
    <w:docVar w:name="WfStyles" w:val=" 403   no"/>
  </w:docVars>
  <w:rsids>
    <w:rsidRoot w:val="00D333AA"/>
    <w:rsid w:val="0000039C"/>
    <w:rsid w:val="0000469B"/>
    <w:rsid w:val="000050F7"/>
    <w:rsid w:val="000060A3"/>
    <w:rsid w:val="0000663A"/>
    <w:rsid w:val="00007459"/>
    <w:rsid w:val="00007CF4"/>
    <w:rsid w:val="00014019"/>
    <w:rsid w:val="00017DD1"/>
    <w:rsid w:val="00017FD6"/>
    <w:rsid w:val="00022955"/>
    <w:rsid w:val="000261BB"/>
    <w:rsid w:val="00031010"/>
    <w:rsid w:val="00031C52"/>
    <w:rsid w:val="00033332"/>
    <w:rsid w:val="00033B6F"/>
    <w:rsid w:val="00034462"/>
    <w:rsid w:val="00035360"/>
    <w:rsid w:val="00035CA5"/>
    <w:rsid w:val="00036D31"/>
    <w:rsid w:val="00042660"/>
    <w:rsid w:val="00044EB8"/>
    <w:rsid w:val="00046D8D"/>
    <w:rsid w:val="00047502"/>
    <w:rsid w:val="000478DF"/>
    <w:rsid w:val="00047E57"/>
    <w:rsid w:val="00050E81"/>
    <w:rsid w:val="00050FC3"/>
    <w:rsid w:val="00052D1E"/>
    <w:rsid w:val="00052FB1"/>
    <w:rsid w:val="00054327"/>
    <w:rsid w:val="0005492A"/>
    <w:rsid w:val="000557A8"/>
    <w:rsid w:val="0006177F"/>
    <w:rsid w:val="000619F7"/>
    <w:rsid w:val="0006608A"/>
    <w:rsid w:val="0006653B"/>
    <w:rsid w:val="0007047A"/>
    <w:rsid w:val="0007097D"/>
    <w:rsid w:val="00070FC4"/>
    <w:rsid w:val="000731FD"/>
    <w:rsid w:val="000749C4"/>
    <w:rsid w:val="0007513E"/>
    <w:rsid w:val="00083287"/>
    <w:rsid w:val="00084555"/>
    <w:rsid w:val="000846DA"/>
    <w:rsid w:val="00084C9A"/>
    <w:rsid w:val="000859A8"/>
    <w:rsid w:val="00085DD4"/>
    <w:rsid w:val="00086556"/>
    <w:rsid w:val="000902FA"/>
    <w:rsid w:val="000907CD"/>
    <w:rsid w:val="00090E4A"/>
    <w:rsid w:val="00092F83"/>
    <w:rsid w:val="00093326"/>
    <w:rsid w:val="00096127"/>
    <w:rsid w:val="000A0271"/>
    <w:rsid w:val="000A0801"/>
    <w:rsid w:val="000A0DDB"/>
    <w:rsid w:val="000A4F53"/>
    <w:rsid w:val="000A7091"/>
    <w:rsid w:val="000B1B97"/>
    <w:rsid w:val="000B48F4"/>
    <w:rsid w:val="000B4D73"/>
    <w:rsid w:val="000B52A3"/>
    <w:rsid w:val="000C2CC1"/>
    <w:rsid w:val="000C455F"/>
    <w:rsid w:val="000C590A"/>
    <w:rsid w:val="000C6C10"/>
    <w:rsid w:val="000C7337"/>
    <w:rsid w:val="000D13BE"/>
    <w:rsid w:val="000D167D"/>
    <w:rsid w:val="000D1DD8"/>
    <w:rsid w:val="000D34C7"/>
    <w:rsid w:val="000D39F8"/>
    <w:rsid w:val="000D4283"/>
    <w:rsid w:val="000E0368"/>
    <w:rsid w:val="000E06AB"/>
    <w:rsid w:val="000E0F42"/>
    <w:rsid w:val="000E196A"/>
    <w:rsid w:val="000E2897"/>
    <w:rsid w:val="000E3F88"/>
    <w:rsid w:val="000E67C3"/>
    <w:rsid w:val="000E790D"/>
    <w:rsid w:val="000F329B"/>
    <w:rsid w:val="000F3FFE"/>
    <w:rsid w:val="000F4B74"/>
    <w:rsid w:val="000F70A3"/>
    <w:rsid w:val="00102E05"/>
    <w:rsid w:val="00103DC4"/>
    <w:rsid w:val="00106A06"/>
    <w:rsid w:val="0010786E"/>
    <w:rsid w:val="00110640"/>
    <w:rsid w:val="00110DE8"/>
    <w:rsid w:val="0011155E"/>
    <w:rsid w:val="0011444D"/>
    <w:rsid w:val="00114820"/>
    <w:rsid w:val="00114BAB"/>
    <w:rsid w:val="00115462"/>
    <w:rsid w:val="00115DC2"/>
    <w:rsid w:val="001174A9"/>
    <w:rsid w:val="001175D3"/>
    <w:rsid w:val="00122E78"/>
    <w:rsid w:val="00123F01"/>
    <w:rsid w:val="00124443"/>
    <w:rsid w:val="0012735D"/>
    <w:rsid w:val="0013017C"/>
    <w:rsid w:val="00130280"/>
    <w:rsid w:val="00130512"/>
    <w:rsid w:val="0013258C"/>
    <w:rsid w:val="00132BCB"/>
    <w:rsid w:val="00133179"/>
    <w:rsid w:val="00133E0B"/>
    <w:rsid w:val="00134299"/>
    <w:rsid w:val="00137117"/>
    <w:rsid w:val="00140BFC"/>
    <w:rsid w:val="00140D65"/>
    <w:rsid w:val="00141B2B"/>
    <w:rsid w:val="00146F6D"/>
    <w:rsid w:val="00147601"/>
    <w:rsid w:val="00150BA7"/>
    <w:rsid w:val="00152E73"/>
    <w:rsid w:val="00153246"/>
    <w:rsid w:val="00153E6E"/>
    <w:rsid w:val="00160869"/>
    <w:rsid w:val="001625AF"/>
    <w:rsid w:val="00162CEE"/>
    <w:rsid w:val="001631E8"/>
    <w:rsid w:val="0016479A"/>
    <w:rsid w:val="00165932"/>
    <w:rsid w:val="00166959"/>
    <w:rsid w:val="001677EF"/>
    <w:rsid w:val="00171327"/>
    <w:rsid w:val="001722E7"/>
    <w:rsid w:val="00173ABB"/>
    <w:rsid w:val="0017414F"/>
    <w:rsid w:val="00174CFC"/>
    <w:rsid w:val="00175935"/>
    <w:rsid w:val="00180279"/>
    <w:rsid w:val="00183B02"/>
    <w:rsid w:val="00185364"/>
    <w:rsid w:val="0018564D"/>
    <w:rsid w:val="00186875"/>
    <w:rsid w:val="00190830"/>
    <w:rsid w:val="00190CD0"/>
    <w:rsid w:val="00191CA1"/>
    <w:rsid w:val="001927A1"/>
    <w:rsid w:val="001927E8"/>
    <w:rsid w:val="0019294A"/>
    <w:rsid w:val="001933F5"/>
    <w:rsid w:val="00193451"/>
    <w:rsid w:val="00193567"/>
    <w:rsid w:val="00196518"/>
    <w:rsid w:val="001971F9"/>
    <w:rsid w:val="00197C9A"/>
    <w:rsid w:val="001A5358"/>
    <w:rsid w:val="001B0B67"/>
    <w:rsid w:val="001B206A"/>
    <w:rsid w:val="001B21E0"/>
    <w:rsid w:val="001B3824"/>
    <w:rsid w:val="001C1E1E"/>
    <w:rsid w:val="001C49AE"/>
    <w:rsid w:val="001D0C92"/>
    <w:rsid w:val="001D3ECC"/>
    <w:rsid w:val="001D4294"/>
    <w:rsid w:val="001D4AEC"/>
    <w:rsid w:val="001D684D"/>
    <w:rsid w:val="001D7E24"/>
    <w:rsid w:val="001E0059"/>
    <w:rsid w:val="001F00B7"/>
    <w:rsid w:val="001F0A5E"/>
    <w:rsid w:val="001F1C59"/>
    <w:rsid w:val="001F321B"/>
    <w:rsid w:val="001F363C"/>
    <w:rsid w:val="001F43D4"/>
    <w:rsid w:val="001F45B7"/>
    <w:rsid w:val="001F6319"/>
    <w:rsid w:val="001F6672"/>
    <w:rsid w:val="001F73E6"/>
    <w:rsid w:val="001F7C26"/>
    <w:rsid w:val="002013A4"/>
    <w:rsid w:val="002014CB"/>
    <w:rsid w:val="00203AD4"/>
    <w:rsid w:val="00206081"/>
    <w:rsid w:val="00206E89"/>
    <w:rsid w:val="00210F8E"/>
    <w:rsid w:val="002122A6"/>
    <w:rsid w:val="00212D11"/>
    <w:rsid w:val="00212D4A"/>
    <w:rsid w:val="0021469F"/>
    <w:rsid w:val="002159BA"/>
    <w:rsid w:val="002175F2"/>
    <w:rsid w:val="0022009A"/>
    <w:rsid w:val="0022046A"/>
    <w:rsid w:val="002204B4"/>
    <w:rsid w:val="00220726"/>
    <w:rsid w:val="00221C32"/>
    <w:rsid w:val="0022399B"/>
    <w:rsid w:val="00224428"/>
    <w:rsid w:val="00224A9A"/>
    <w:rsid w:val="00226307"/>
    <w:rsid w:val="002274BD"/>
    <w:rsid w:val="00227C4A"/>
    <w:rsid w:val="00227E70"/>
    <w:rsid w:val="0023190B"/>
    <w:rsid w:val="00232B24"/>
    <w:rsid w:val="0023466C"/>
    <w:rsid w:val="002366B2"/>
    <w:rsid w:val="00237DD2"/>
    <w:rsid w:val="002406C9"/>
    <w:rsid w:val="00241563"/>
    <w:rsid w:val="00242A50"/>
    <w:rsid w:val="0024351A"/>
    <w:rsid w:val="0024351E"/>
    <w:rsid w:val="0024395D"/>
    <w:rsid w:val="00243FFA"/>
    <w:rsid w:val="00245368"/>
    <w:rsid w:val="002465EB"/>
    <w:rsid w:val="00247BAB"/>
    <w:rsid w:val="00247D5A"/>
    <w:rsid w:val="00252307"/>
    <w:rsid w:val="002529E6"/>
    <w:rsid w:val="002530DF"/>
    <w:rsid w:val="0025565E"/>
    <w:rsid w:val="00256484"/>
    <w:rsid w:val="002579E5"/>
    <w:rsid w:val="00260CCD"/>
    <w:rsid w:val="00260F5E"/>
    <w:rsid w:val="0026294A"/>
    <w:rsid w:val="00262EE6"/>
    <w:rsid w:val="0026645A"/>
    <w:rsid w:val="00266B39"/>
    <w:rsid w:val="00270C7E"/>
    <w:rsid w:val="00272DA4"/>
    <w:rsid w:val="0027405D"/>
    <w:rsid w:val="00275D17"/>
    <w:rsid w:val="00276C89"/>
    <w:rsid w:val="002771D9"/>
    <w:rsid w:val="002804AF"/>
    <w:rsid w:val="00282371"/>
    <w:rsid w:val="00282723"/>
    <w:rsid w:val="00287090"/>
    <w:rsid w:val="00290D43"/>
    <w:rsid w:val="00290F07"/>
    <w:rsid w:val="002922C1"/>
    <w:rsid w:val="00292C85"/>
    <w:rsid w:val="00294CFF"/>
    <w:rsid w:val="002952A9"/>
    <w:rsid w:val="00296256"/>
    <w:rsid w:val="00296571"/>
    <w:rsid w:val="002A1926"/>
    <w:rsid w:val="002A2921"/>
    <w:rsid w:val="002A3B92"/>
    <w:rsid w:val="002A4D97"/>
    <w:rsid w:val="002A5F21"/>
    <w:rsid w:val="002A67F0"/>
    <w:rsid w:val="002A777D"/>
    <w:rsid w:val="002B149D"/>
    <w:rsid w:val="002B60A3"/>
    <w:rsid w:val="002B6293"/>
    <w:rsid w:val="002B62A3"/>
    <w:rsid w:val="002B645E"/>
    <w:rsid w:val="002B6670"/>
    <w:rsid w:val="002B6B13"/>
    <w:rsid w:val="002B6E5B"/>
    <w:rsid w:val="002C029B"/>
    <w:rsid w:val="002C058B"/>
    <w:rsid w:val="002C10C6"/>
    <w:rsid w:val="002C12A0"/>
    <w:rsid w:val="002C5C8E"/>
    <w:rsid w:val="002D206A"/>
    <w:rsid w:val="002D23B8"/>
    <w:rsid w:val="002D2996"/>
    <w:rsid w:val="002D327B"/>
    <w:rsid w:val="002D3D8A"/>
    <w:rsid w:val="002D464B"/>
    <w:rsid w:val="002E310E"/>
    <w:rsid w:val="002E671B"/>
    <w:rsid w:val="002E698A"/>
    <w:rsid w:val="002F03E7"/>
    <w:rsid w:val="002F5BCB"/>
    <w:rsid w:val="002F7C6C"/>
    <w:rsid w:val="003001B0"/>
    <w:rsid w:val="00300C9D"/>
    <w:rsid w:val="00300F28"/>
    <w:rsid w:val="003018AE"/>
    <w:rsid w:val="00301998"/>
    <w:rsid w:val="003067D4"/>
    <w:rsid w:val="003168FA"/>
    <w:rsid w:val="00316906"/>
    <w:rsid w:val="00316EC0"/>
    <w:rsid w:val="00317BB5"/>
    <w:rsid w:val="003208DA"/>
    <w:rsid w:val="003221EC"/>
    <w:rsid w:val="00322F18"/>
    <w:rsid w:val="003237B0"/>
    <w:rsid w:val="00325E94"/>
    <w:rsid w:val="00326AF6"/>
    <w:rsid w:val="00327BFA"/>
    <w:rsid w:val="00333B8A"/>
    <w:rsid w:val="00337A7F"/>
    <w:rsid w:val="00340263"/>
    <w:rsid w:val="003402B9"/>
    <w:rsid w:val="003410B9"/>
    <w:rsid w:val="00341E39"/>
    <w:rsid w:val="00342D8A"/>
    <w:rsid w:val="00343712"/>
    <w:rsid w:val="003449DC"/>
    <w:rsid w:val="00344E3B"/>
    <w:rsid w:val="00345D41"/>
    <w:rsid w:val="00346BE2"/>
    <w:rsid w:val="00347E53"/>
    <w:rsid w:val="00347E81"/>
    <w:rsid w:val="003505CD"/>
    <w:rsid w:val="003508E4"/>
    <w:rsid w:val="00351A11"/>
    <w:rsid w:val="0035258E"/>
    <w:rsid w:val="0035387D"/>
    <w:rsid w:val="0035474F"/>
    <w:rsid w:val="00356629"/>
    <w:rsid w:val="003603CB"/>
    <w:rsid w:val="003609B3"/>
    <w:rsid w:val="00363C73"/>
    <w:rsid w:val="00363CD8"/>
    <w:rsid w:val="00364B56"/>
    <w:rsid w:val="00365627"/>
    <w:rsid w:val="00366697"/>
    <w:rsid w:val="003678DA"/>
    <w:rsid w:val="00367974"/>
    <w:rsid w:val="003742D9"/>
    <w:rsid w:val="00377238"/>
    <w:rsid w:val="00380845"/>
    <w:rsid w:val="00381C9C"/>
    <w:rsid w:val="00383023"/>
    <w:rsid w:val="00383BAE"/>
    <w:rsid w:val="00384C52"/>
    <w:rsid w:val="00384D11"/>
    <w:rsid w:val="00385A03"/>
    <w:rsid w:val="00385FED"/>
    <w:rsid w:val="003868B6"/>
    <w:rsid w:val="00391C2D"/>
    <w:rsid w:val="003935F4"/>
    <w:rsid w:val="00395524"/>
    <w:rsid w:val="00397877"/>
    <w:rsid w:val="003A023D"/>
    <w:rsid w:val="003A0E96"/>
    <w:rsid w:val="003A1BB1"/>
    <w:rsid w:val="003A390F"/>
    <w:rsid w:val="003A4CED"/>
    <w:rsid w:val="003A555F"/>
    <w:rsid w:val="003A6890"/>
    <w:rsid w:val="003B0938"/>
    <w:rsid w:val="003B3D89"/>
    <w:rsid w:val="003B46BD"/>
    <w:rsid w:val="003B50BB"/>
    <w:rsid w:val="003B5E1A"/>
    <w:rsid w:val="003B7457"/>
    <w:rsid w:val="003C0198"/>
    <w:rsid w:val="003C0B6A"/>
    <w:rsid w:val="003C14F1"/>
    <w:rsid w:val="003C1A93"/>
    <w:rsid w:val="003C2F96"/>
    <w:rsid w:val="003C30A8"/>
    <w:rsid w:val="003C3519"/>
    <w:rsid w:val="003D3082"/>
    <w:rsid w:val="003D3C20"/>
    <w:rsid w:val="003D4604"/>
    <w:rsid w:val="003D46C0"/>
    <w:rsid w:val="003D5621"/>
    <w:rsid w:val="003D6991"/>
    <w:rsid w:val="003D6E84"/>
    <w:rsid w:val="003E3A9B"/>
    <w:rsid w:val="003E4161"/>
    <w:rsid w:val="003E607B"/>
    <w:rsid w:val="003F01FD"/>
    <w:rsid w:val="003F0B74"/>
    <w:rsid w:val="003F217C"/>
    <w:rsid w:val="003F37FB"/>
    <w:rsid w:val="003F4BE4"/>
    <w:rsid w:val="003F5509"/>
    <w:rsid w:val="003F5690"/>
    <w:rsid w:val="003F67EB"/>
    <w:rsid w:val="003F7122"/>
    <w:rsid w:val="004010A5"/>
    <w:rsid w:val="004016F5"/>
    <w:rsid w:val="00401CCC"/>
    <w:rsid w:val="00402562"/>
    <w:rsid w:val="0040488E"/>
    <w:rsid w:val="00404D8B"/>
    <w:rsid w:val="004050DF"/>
    <w:rsid w:val="004060FC"/>
    <w:rsid w:val="004126CE"/>
    <w:rsid w:val="004140F4"/>
    <w:rsid w:val="004146D3"/>
    <w:rsid w:val="00415145"/>
    <w:rsid w:val="00422338"/>
    <w:rsid w:val="004228A4"/>
    <w:rsid w:val="004249B8"/>
    <w:rsid w:val="00425650"/>
    <w:rsid w:val="00426CE4"/>
    <w:rsid w:val="00427214"/>
    <w:rsid w:val="00432732"/>
    <w:rsid w:val="0043547E"/>
    <w:rsid w:val="004364BD"/>
    <w:rsid w:val="00437105"/>
    <w:rsid w:val="00440620"/>
    <w:rsid w:val="004423C0"/>
    <w:rsid w:val="00445AB8"/>
    <w:rsid w:val="00446271"/>
    <w:rsid w:val="004523C4"/>
    <w:rsid w:val="0045469F"/>
    <w:rsid w:val="00462694"/>
    <w:rsid w:val="00462845"/>
    <w:rsid w:val="004636BF"/>
    <w:rsid w:val="00463981"/>
    <w:rsid w:val="0046407F"/>
    <w:rsid w:val="004649B4"/>
    <w:rsid w:val="00474781"/>
    <w:rsid w:val="00476A8F"/>
    <w:rsid w:val="00476F6F"/>
    <w:rsid w:val="0047761E"/>
    <w:rsid w:val="00480F3B"/>
    <w:rsid w:val="0048125C"/>
    <w:rsid w:val="004815AA"/>
    <w:rsid w:val="00481A90"/>
    <w:rsid w:val="004820F9"/>
    <w:rsid w:val="004840CC"/>
    <w:rsid w:val="004864F7"/>
    <w:rsid w:val="004870E2"/>
    <w:rsid w:val="0049016E"/>
    <w:rsid w:val="00491B96"/>
    <w:rsid w:val="00491C7E"/>
    <w:rsid w:val="0049367A"/>
    <w:rsid w:val="00493AA6"/>
    <w:rsid w:val="00493B23"/>
    <w:rsid w:val="004964A7"/>
    <w:rsid w:val="0049665B"/>
    <w:rsid w:val="0049694B"/>
    <w:rsid w:val="004A28CF"/>
    <w:rsid w:val="004A34D6"/>
    <w:rsid w:val="004A5E45"/>
    <w:rsid w:val="004B3707"/>
    <w:rsid w:val="004B39B0"/>
    <w:rsid w:val="004B3C5C"/>
    <w:rsid w:val="004C043A"/>
    <w:rsid w:val="004C0873"/>
    <w:rsid w:val="004C0E1C"/>
    <w:rsid w:val="004C28A5"/>
    <w:rsid w:val="004C520C"/>
    <w:rsid w:val="004C5C46"/>
    <w:rsid w:val="004C5E53"/>
    <w:rsid w:val="004C681D"/>
    <w:rsid w:val="004D117E"/>
    <w:rsid w:val="004D1330"/>
    <w:rsid w:val="004D2D91"/>
    <w:rsid w:val="004D5CA3"/>
    <w:rsid w:val="004D7BB2"/>
    <w:rsid w:val="004E04B2"/>
    <w:rsid w:val="004E0F22"/>
    <w:rsid w:val="004E1168"/>
    <w:rsid w:val="004E1DCE"/>
    <w:rsid w:val="004E27F6"/>
    <w:rsid w:val="004E3505"/>
    <w:rsid w:val="004E51C3"/>
    <w:rsid w:val="004E73C7"/>
    <w:rsid w:val="004E7EFC"/>
    <w:rsid w:val="004F0B24"/>
    <w:rsid w:val="004F1444"/>
    <w:rsid w:val="004F15BC"/>
    <w:rsid w:val="004F2374"/>
    <w:rsid w:val="004F3200"/>
    <w:rsid w:val="004F4459"/>
    <w:rsid w:val="004F6283"/>
    <w:rsid w:val="004F6B5C"/>
    <w:rsid w:val="005020EF"/>
    <w:rsid w:val="00502CE4"/>
    <w:rsid w:val="00503125"/>
    <w:rsid w:val="005032D3"/>
    <w:rsid w:val="005045CC"/>
    <w:rsid w:val="0050512A"/>
    <w:rsid w:val="00510ACF"/>
    <w:rsid w:val="00510BFA"/>
    <w:rsid w:val="00513D7D"/>
    <w:rsid w:val="00515029"/>
    <w:rsid w:val="0051648B"/>
    <w:rsid w:val="00516E89"/>
    <w:rsid w:val="005225B4"/>
    <w:rsid w:val="005225EC"/>
    <w:rsid w:val="00523650"/>
    <w:rsid w:val="00525014"/>
    <w:rsid w:val="00525847"/>
    <w:rsid w:val="00530D61"/>
    <w:rsid w:val="00530F06"/>
    <w:rsid w:val="0053273E"/>
    <w:rsid w:val="00533552"/>
    <w:rsid w:val="005337DD"/>
    <w:rsid w:val="005374D9"/>
    <w:rsid w:val="00537644"/>
    <w:rsid w:val="00537FE8"/>
    <w:rsid w:val="00540E64"/>
    <w:rsid w:val="0054174C"/>
    <w:rsid w:val="0054257B"/>
    <w:rsid w:val="00545F48"/>
    <w:rsid w:val="005501CB"/>
    <w:rsid w:val="00552032"/>
    <w:rsid w:val="00552159"/>
    <w:rsid w:val="00552ADA"/>
    <w:rsid w:val="00552D52"/>
    <w:rsid w:val="005530E6"/>
    <w:rsid w:val="00554C5A"/>
    <w:rsid w:val="00555D3D"/>
    <w:rsid w:val="00562B5F"/>
    <w:rsid w:val="00566A34"/>
    <w:rsid w:val="00567186"/>
    <w:rsid w:val="005707E5"/>
    <w:rsid w:val="005708C9"/>
    <w:rsid w:val="00573EF4"/>
    <w:rsid w:val="0057548A"/>
    <w:rsid w:val="00577D46"/>
    <w:rsid w:val="0058124F"/>
    <w:rsid w:val="00582643"/>
    <w:rsid w:val="00582C0E"/>
    <w:rsid w:val="00583ACC"/>
    <w:rsid w:val="00586BB9"/>
    <w:rsid w:val="005871F1"/>
    <w:rsid w:val="00587C52"/>
    <w:rsid w:val="00590B19"/>
    <w:rsid w:val="0059103C"/>
    <w:rsid w:val="00591774"/>
    <w:rsid w:val="00594DC3"/>
    <w:rsid w:val="0059636C"/>
    <w:rsid w:val="005A0F39"/>
    <w:rsid w:val="005A119C"/>
    <w:rsid w:val="005A2DE0"/>
    <w:rsid w:val="005A2FCB"/>
    <w:rsid w:val="005A3561"/>
    <w:rsid w:val="005A3A88"/>
    <w:rsid w:val="005A55A9"/>
    <w:rsid w:val="005A73EC"/>
    <w:rsid w:val="005B0CE1"/>
    <w:rsid w:val="005B11BC"/>
    <w:rsid w:val="005B3116"/>
    <w:rsid w:val="005B3BD7"/>
    <w:rsid w:val="005B4DEE"/>
    <w:rsid w:val="005B5492"/>
    <w:rsid w:val="005B5CBD"/>
    <w:rsid w:val="005B6481"/>
    <w:rsid w:val="005B6CF4"/>
    <w:rsid w:val="005B6EA1"/>
    <w:rsid w:val="005B6EF5"/>
    <w:rsid w:val="005B7C4D"/>
    <w:rsid w:val="005C05D3"/>
    <w:rsid w:val="005C2B62"/>
    <w:rsid w:val="005C31B7"/>
    <w:rsid w:val="005D13CD"/>
    <w:rsid w:val="005D1F12"/>
    <w:rsid w:val="005D3E2C"/>
    <w:rsid w:val="005D6F8C"/>
    <w:rsid w:val="005D774D"/>
    <w:rsid w:val="005E0314"/>
    <w:rsid w:val="005E0397"/>
    <w:rsid w:val="005E43A0"/>
    <w:rsid w:val="005E799F"/>
    <w:rsid w:val="005F14F3"/>
    <w:rsid w:val="005F234C"/>
    <w:rsid w:val="005F26C2"/>
    <w:rsid w:val="005F3548"/>
    <w:rsid w:val="005F3D4A"/>
    <w:rsid w:val="005F50D9"/>
    <w:rsid w:val="005F52C9"/>
    <w:rsid w:val="005F5862"/>
    <w:rsid w:val="005F7515"/>
    <w:rsid w:val="0060157D"/>
    <w:rsid w:val="00601940"/>
    <w:rsid w:val="00602954"/>
    <w:rsid w:val="00604241"/>
    <w:rsid w:val="00605C02"/>
    <w:rsid w:val="00606608"/>
    <w:rsid w:val="00606A38"/>
    <w:rsid w:val="00606A57"/>
    <w:rsid w:val="00610917"/>
    <w:rsid w:val="00610B7C"/>
    <w:rsid w:val="00611B98"/>
    <w:rsid w:val="00611C97"/>
    <w:rsid w:val="006136F5"/>
    <w:rsid w:val="00615194"/>
    <w:rsid w:val="00617635"/>
    <w:rsid w:val="006177C0"/>
    <w:rsid w:val="00623460"/>
    <w:rsid w:val="00625C13"/>
    <w:rsid w:val="00625CA1"/>
    <w:rsid w:val="006260FB"/>
    <w:rsid w:val="00626B36"/>
    <w:rsid w:val="0063095F"/>
    <w:rsid w:val="00630DAD"/>
    <w:rsid w:val="00631FF2"/>
    <w:rsid w:val="0063241D"/>
    <w:rsid w:val="00635336"/>
    <w:rsid w:val="00635F37"/>
    <w:rsid w:val="00636052"/>
    <w:rsid w:val="00636C35"/>
    <w:rsid w:val="00636FE7"/>
    <w:rsid w:val="00644028"/>
    <w:rsid w:val="00645F2F"/>
    <w:rsid w:val="006460A9"/>
    <w:rsid w:val="0064779E"/>
    <w:rsid w:val="00647919"/>
    <w:rsid w:val="00650D2D"/>
    <w:rsid w:val="00651F1E"/>
    <w:rsid w:val="00652A75"/>
    <w:rsid w:val="0065314A"/>
    <w:rsid w:val="0065697E"/>
    <w:rsid w:val="00657E1F"/>
    <w:rsid w:val="00662D9E"/>
    <w:rsid w:val="00665007"/>
    <w:rsid w:val="006651E2"/>
    <w:rsid w:val="00665AD6"/>
    <w:rsid w:val="00666F8E"/>
    <w:rsid w:val="00671993"/>
    <w:rsid w:val="006729D2"/>
    <w:rsid w:val="00676B4B"/>
    <w:rsid w:val="0068334F"/>
    <w:rsid w:val="006833FD"/>
    <w:rsid w:val="00687D9D"/>
    <w:rsid w:val="00693CBB"/>
    <w:rsid w:val="00694B93"/>
    <w:rsid w:val="00695F5D"/>
    <w:rsid w:val="00696594"/>
    <w:rsid w:val="00696664"/>
    <w:rsid w:val="006966D4"/>
    <w:rsid w:val="00697813"/>
    <w:rsid w:val="006A1832"/>
    <w:rsid w:val="006A3212"/>
    <w:rsid w:val="006A37AB"/>
    <w:rsid w:val="006A3F03"/>
    <w:rsid w:val="006A49ED"/>
    <w:rsid w:val="006A581A"/>
    <w:rsid w:val="006A6ED2"/>
    <w:rsid w:val="006A729C"/>
    <w:rsid w:val="006A757E"/>
    <w:rsid w:val="006A798B"/>
    <w:rsid w:val="006A7D5C"/>
    <w:rsid w:val="006B0C0D"/>
    <w:rsid w:val="006B0EAD"/>
    <w:rsid w:val="006B5A48"/>
    <w:rsid w:val="006B78F2"/>
    <w:rsid w:val="006B7C22"/>
    <w:rsid w:val="006C35A6"/>
    <w:rsid w:val="006C388A"/>
    <w:rsid w:val="006C6ABC"/>
    <w:rsid w:val="006C6B58"/>
    <w:rsid w:val="006C733A"/>
    <w:rsid w:val="006D0B36"/>
    <w:rsid w:val="006D12F9"/>
    <w:rsid w:val="006D2890"/>
    <w:rsid w:val="006D4C86"/>
    <w:rsid w:val="006D5963"/>
    <w:rsid w:val="006D601A"/>
    <w:rsid w:val="006D6547"/>
    <w:rsid w:val="006D6931"/>
    <w:rsid w:val="006E04EA"/>
    <w:rsid w:val="006E0718"/>
    <w:rsid w:val="006E0A9C"/>
    <w:rsid w:val="006E2710"/>
    <w:rsid w:val="006E27F5"/>
    <w:rsid w:val="006E2F15"/>
    <w:rsid w:val="006E383C"/>
    <w:rsid w:val="006E485F"/>
    <w:rsid w:val="006E5B66"/>
    <w:rsid w:val="006F1B3F"/>
    <w:rsid w:val="006F2902"/>
    <w:rsid w:val="006F3AB9"/>
    <w:rsid w:val="006F43FE"/>
    <w:rsid w:val="006F47B3"/>
    <w:rsid w:val="006F47D3"/>
    <w:rsid w:val="006F5AC8"/>
    <w:rsid w:val="006F765C"/>
    <w:rsid w:val="0070241E"/>
    <w:rsid w:val="0070259F"/>
    <w:rsid w:val="007036F1"/>
    <w:rsid w:val="00706663"/>
    <w:rsid w:val="007068A1"/>
    <w:rsid w:val="007069DA"/>
    <w:rsid w:val="00711140"/>
    <w:rsid w:val="00711E25"/>
    <w:rsid w:val="00712934"/>
    <w:rsid w:val="007156F0"/>
    <w:rsid w:val="00716CC3"/>
    <w:rsid w:val="007170C2"/>
    <w:rsid w:val="00717EDA"/>
    <w:rsid w:val="00720BDD"/>
    <w:rsid w:val="00723615"/>
    <w:rsid w:val="0072366D"/>
    <w:rsid w:val="00726D41"/>
    <w:rsid w:val="00731495"/>
    <w:rsid w:val="007314F8"/>
    <w:rsid w:val="00736501"/>
    <w:rsid w:val="00742797"/>
    <w:rsid w:val="00743A5C"/>
    <w:rsid w:val="0074473B"/>
    <w:rsid w:val="00744FA6"/>
    <w:rsid w:val="00745612"/>
    <w:rsid w:val="007466C5"/>
    <w:rsid w:val="00751E3D"/>
    <w:rsid w:val="007601B0"/>
    <w:rsid w:val="00763004"/>
    <w:rsid w:val="00770879"/>
    <w:rsid w:val="0077251E"/>
    <w:rsid w:val="00773048"/>
    <w:rsid w:val="00775D2E"/>
    <w:rsid w:val="007767FA"/>
    <w:rsid w:val="00776B8A"/>
    <w:rsid w:val="0078363B"/>
    <w:rsid w:val="00784360"/>
    <w:rsid w:val="00793017"/>
    <w:rsid w:val="00793C37"/>
    <w:rsid w:val="0079694B"/>
    <w:rsid w:val="007A0939"/>
    <w:rsid w:val="007A2A3D"/>
    <w:rsid w:val="007A2C47"/>
    <w:rsid w:val="007A3375"/>
    <w:rsid w:val="007A5051"/>
    <w:rsid w:val="007A7E47"/>
    <w:rsid w:val="007A7F8A"/>
    <w:rsid w:val="007B0012"/>
    <w:rsid w:val="007B0076"/>
    <w:rsid w:val="007B05D6"/>
    <w:rsid w:val="007B0E41"/>
    <w:rsid w:val="007B3B39"/>
    <w:rsid w:val="007C2596"/>
    <w:rsid w:val="007C3F8C"/>
    <w:rsid w:val="007C42FA"/>
    <w:rsid w:val="007D1E07"/>
    <w:rsid w:val="007D611B"/>
    <w:rsid w:val="007D6DEC"/>
    <w:rsid w:val="007D7056"/>
    <w:rsid w:val="007E025C"/>
    <w:rsid w:val="007E1760"/>
    <w:rsid w:val="007E2A6A"/>
    <w:rsid w:val="007E3390"/>
    <w:rsid w:val="007E3DBB"/>
    <w:rsid w:val="007E502D"/>
    <w:rsid w:val="007E5A2B"/>
    <w:rsid w:val="007E615D"/>
    <w:rsid w:val="007E6547"/>
    <w:rsid w:val="007E7C76"/>
    <w:rsid w:val="007F0E0D"/>
    <w:rsid w:val="007F1506"/>
    <w:rsid w:val="007F173B"/>
    <w:rsid w:val="007F1B92"/>
    <w:rsid w:val="007F200A"/>
    <w:rsid w:val="007F2B5C"/>
    <w:rsid w:val="007F50F8"/>
    <w:rsid w:val="00800AA9"/>
    <w:rsid w:val="008046F2"/>
    <w:rsid w:val="008056AC"/>
    <w:rsid w:val="008107E3"/>
    <w:rsid w:val="00811FAB"/>
    <w:rsid w:val="00815A01"/>
    <w:rsid w:val="008165FD"/>
    <w:rsid w:val="00816A81"/>
    <w:rsid w:val="00820548"/>
    <w:rsid w:val="00820CFE"/>
    <w:rsid w:val="0082192E"/>
    <w:rsid w:val="00823875"/>
    <w:rsid w:val="00824097"/>
    <w:rsid w:val="0082512E"/>
    <w:rsid w:val="00826AB1"/>
    <w:rsid w:val="00830DDC"/>
    <w:rsid w:val="00834C6F"/>
    <w:rsid w:val="00834C9C"/>
    <w:rsid w:val="00834E44"/>
    <w:rsid w:val="00836B9A"/>
    <w:rsid w:val="00836C1E"/>
    <w:rsid w:val="0084180B"/>
    <w:rsid w:val="008420F0"/>
    <w:rsid w:val="00842C80"/>
    <w:rsid w:val="0084389E"/>
    <w:rsid w:val="00844390"/>
    <w:rsid w:val="00845566"/>
    <w:rsid w:val="00846E59"/>
    <w:rsid w:val="00850864"/>
    <w:rsid w:val="00851A49"/>
    <w:rsid w:val="008522FD"/>
    <w:rsid w:val="008528B3"/>
    <w:rsid w:val="00853FC9"/>
    <w:rsid w:val="00855E52"/>
    <w:rsid w:val="008609B6"/>
    <w:rsid w:val="00860A6B"/>
    <w:rsid w:val="00860CDC"/>
    <w:rsid w:val="00860DBE"/>
    <w:rsid w:val="00861A39"/>
    <w:rsid w:val="0086407A"/>
    <w:rsid w:val="00864967"/>
    <w:rsid w:val="00866B7D"/>
    <w:rsid w:val="00873FD4"/>
    <w:rsid w:val="008766FF"/>
    <w:rsid w:val="00876A28"/>
    <w:rsid w:val="0088135F"/>
    <w:rsid w:val="008813B2"/>
    <w:rsid w:val="00884445"/>
    <w:rsid w:val="00885442"/>
    <w:rsid w:val="00885C01"/>
    <w:rsid w:val="00891733"/>
    <w:rsid w:val="008933A4"/>
    <w:rsid w:val="008936C2"/>
    <w:rsid w:val="00893E65"/>
    <w:rsid w:val="00894378"/>
    <w:rsid w:val="00896D71"/>
    <w:rsid w:val="008977C3"/>
    <w:rsid w:val="00897BEE"/>
    <w:rsid w:val="008A0D35"/>
    <w:rsid w:val="008A7CB7"/>
    <w:rsid w:val="008B03E0"/>
    <w:rsid w:val="008B576F"/>
    <w:rsid w:val="008B5D8B"/>
    <w:rsid w:val="008B7AFE"/>
    <w:rsid w:val="008C00D3"/>
    <w:rsid w:val="008C06FF"/>
    <w:rsid w:val="008C0846"/>
    <w:rsid w:val="008C2187"/>
    <w:rsid w:val="008C289E"/>
    <w:rsid w:val="008C3B67"/>
    <w:rsid w:val="008C544E"/>
    <w:rsid w:val="008C772D"/>
    <w:rsid w:val="008D3B57"/>
    <w:rsid w:val="008D4F1C"/>
    <w:rsid w:val="008D5A15"/>
    <w:rsid w:val="008D6543"/>
    <w:rsid w:val="008D70C3"/>
    <w:rsid w:val="008E38E3"/>
    <w:rsid w:val="008E6680"/>
    <w:rsid w:val="008E7921"/>
    <w:rsid w:val="008F1890"/>
    <w:rsid w:val="008F1DDB"/>
    <w:rsid w:val="008F3450"/>
    <w:rsid w:val="008F49C5"/>
    <w:rsid w:val="008F4A69"/>
    <w:rsid w:val="008F68F5"/>
    <w:rsid w:val="009008BD"/>
    <w:rsid w:val="00900C5F"/>
    <w:rsid w:val="00902C7D"/>
    <w:rsid w:val="009031FF"/>
    <w:rsid w:val="009036F8"/>
    <w:rsid w:val="009045E1"/>
    <w:rsid w:val="00904D77"/>
    <w:rsid w:val="00905653"/>
    <w:rsid w:val="009058BB"/>
    <w:rsid w:val="0090621C"/>
    <w:rsid w:val="00907C03"/>
    <w:rsid w:val="00910214"/>
    <w:rsid w:val="00910E5E"/>
    <w:rsid w:val="00912355"/>
    <w:rsid w:val="00915982"/>
    <w:rsid w:val="00915AD9"/>
    <w:rsid w:val="00916C67"/>
    <w:rsid w:val="0092110D"/>
    <w:rsid w:val="009215FE"/>
    <w:rsid w:val="00921EF8"/>
    <w:rsid w:val="00922A0A"/>
    <w:rsid w:val="009243F3"/>
    <w:rsid w:val="009253E6"/>
    <w:rsid w:val="0092775B"/>
    <w:rsid w:val="00934DE5"/>
    <w:rsid w:val="00935881"/>
    <w:rsid w:val="00940402"/>
    <w:rsid w:val="00940BB9"/>
    <w:rsid w:val="0094116B"/>
    <w:rsid w:val="00944099"/>
    <w:rsid w:val="00946B07"/>
    <w:rsid w:val="00955959"/>
    <w:rsid w:val="009560C1"/>
    <w:rsid w:val="009577A8"/>
    <w:rsid w:val="00962E3A"/>
    <w:rsid w:val="009645ED"/>
    <w:rsid w:val="00966112"/>
    <w:rsid w:val="009663B0"/>
    <w:rsid w:val="009679E5"/>
    <w:rsid w:val="009711B1"/>
    <w:rsid w:val="00971345"/>
    <w:rsid w:val="00972767"/>
    <w:rsid w:val="009743C3"/>
    <w:rsid w:val="009752DC"/>
    <w:rsid w:val="0097547F"/>
    <w:rsid w:val="00975DC3"/>
    <w:rsid w:val="00977987"/>
    <w:rsid w:val="00980E3B"/>
    <w:rsid w:val="00981032"/>
    <w:rsid w:val="00982106"/>
    <w:rsid w:val="00982B3B"/>
    <w:rsid w:val="0098423C"/>
    <w:rsid w:val="00986420"/>
    <w:rsid w:val="00992553"/>
    <w:rsid w:val="00992891"/>
    <w:rsid w:val="009950BD"/>
    <w:rsid w:val="00995C1E"/>
    <w:rsid w:val="00995FF1"/>
    <w:rsid w:val="00996054"/>
    <w:rsid w:val="009A00A2"/>
    <w:rsid w:val="009A18B1"/>
    <w:rsid w:val="009A2F60"/>
    <w:rsid w:val="009A4744"/>
    <w:rsid w:val="009A7CDC"/>
    <w:rsid w:val="009B1AD8"/>
    <w:rsid w:val="009B1CDA"/>
    <w:rsid w:val="009B4117"/>
    <w:rsid w:val="009B4921"/>
    <w:rsid w:val="009C0555"/>
    <w:rsid w:val="009C06F8"/>
    <w:rsid w:val="009C0FCD"/>
    <w:rsid w:val="009C1835"/>
    <w:rsid w:val="009C3E98"/>
    <w:rsid w:val="009C40DA"/>
    <w:rsid w:val="009C5F4B"/>
    <w:rsid w:val="009C7413"/>
    <w:rsid w:val="009C7DFE"/>
    <w:rsid w:val="009D2B8F"/>
    <w:rsid w:val="009D3C54"/>
    <w:rsid w:val="009D4165"/>
    <w:rsid w:val="009D5B52"/>
    <w:rsid w:val="009D779F"/>
    <w:rsid w:val="009E38EF"/>
    <w:rsid w:val="009E3A1C"/>
    <w:rsid w:val="009E4BF1"/>
    <w:rsid w:val="009E5B73"/>
    <w:rsid w:val="009E5E13"/>
    <w:rsid w:val="009F05F2"/>
    <w:rsid w:val="009F07B1"/>
    <w:rsid w:val="009F10A2"/>
    <w:rsid w:val="009F275D"/>
    <w:rsid w:val="009F3C18"/>
    <w:rsid w:val="009F4DBE"/>
    <w:rsid w:val="009F572D"/>
    <w:rsid w:val="00A01910"/>
    <w:rsid w:val="00A02F37"/>
    <w:rsid w:val="00A033BF"/>
    <w:rsid w:val="00A04545"/>
    <w:rsid w:val="00A065F4"/>
    <w:rsid w:val="00A07C2B"/>
    <w:rsid w:val="00A10045"/>
    <w:rsid w:val="00A148D4"/>
    <w:rsid w:val="00A1593C"/>
    <w:rsid w:val="00A15C70"/>
    <w:rsid w:val="00A16154"/>
    <w:rsid w:val="00A25205"/>
    <w:rsid w:val="00A25948"/>
    <w:rsid w:val="00A26160"/>
    <w:rsid w:val="00A27EEB"/>
    <w:rsid w:val="00A30BD0"/>
    <w:rsid w:val="00A333FB"/>
    <w:rsid w:val="00A3426E"/>
    <w:rsid w:val="00A34DFC"/>
    <w:rsid w:val="00A3644E"/>
    <w:rsid w:val="00A40C5F"/>
    <w:rsid w:val="00A41C88"/>
    <w:rsid w:val="00A43D2C"/>
    <w:rsid w:val="00A44514"/>
    <w:rsid w:val="00A46449"/>
    <w:rsid w:val="00A470BB"/>
    <w:rsid w:val="00A5345B"/>
    <w:rsid w:val="00A5352E"/>
    <w:rsid w:val="00A6056D"/>
    <w:rsid w:val="00A60CE5"/>
    <w:rsid w:val="00A640CC"/>
    <w:rsid w:val="00A64686"/>
    <w:rsid w:val="00A70B67"/>
    <w:rsid w:val="00A70C5E"/>
    <w:rsid w:val="00A70CEB"/>
    <w:rsid w:val="00A70E96"/>
    <w:rsid w:val="00A712B8"/>
    <w:rsid w:val="00A712C6"/>
    <w:rsid w:val="00A76704"/>
    <w:rsid w:val="00A77698"/>
    <w:rsid w:val="00A777B7"/>
    <w:rsid w:val="00A81042"/>
    <w:rsid w:val="00A81F2D"/>
    <w:rsid w:val="00A82F77"/>
    <w:rsid w:val="00A82F9D"/>
    <w:rsid w:val="00A8625F"/>
    <w:rsid w:val="00A87325"/>
    <w:rsid w:val="00A93E02"/>
    <w:rsid w:val="00A96F0A"/>
    <w:rsid w:val="00AA57E4"/>
    <w:rsid w:val="00AB4E21"/>
    <w:rsid w:val="00AB6253"/>
    <w:rsid w:val="00AC20B4"/>
    <w:rsid w:val="00AC6DC8"/>
    <w:rsid w:val="00AD01F1"/>
    <w:rsid w:val="00AD0B76"/>
    <w:rsid w:val="00AD283F"/>
    <w:rsid w:val="00AD374C"/>
    <w:rsid w:val="00AD47F3"/>
    <w:rsid w:val="00AD607E"/>
    <w:rsid w:val="00AD71BA"/>
    <w:rsid w:val="00AD7598"/>
    <w:rsid w:val="00AD7F55"/>
    <w:rsid w:val="00AE3085"/>
    <w:rsid w:val="00AE36EF"/>
    <w:rsid w:val="00AE3848"/>
    <w:rsid w:val="00AE4085"/>
    <w:rsid w:val="00AE4BC8"/>
    <w:rsid w:val="00AE57A3"/>
    <w:rsid w:val="00AE75D7"/>
    <w:rsid w:val="00AF00F8"/>
    <w:rsid w:val="00AF0606"/>
    <w:rsid w:val="00AF071B"/>
    <w:rsid w:val="00AF152A"/>
    <w:rsid w:val="00AF2590"/>
    <w:rsid w:val="00AF37D8"/>
    <w:rsid w:val="00AF4AEF"/>
    <w:rsid w:val="00B0102F"/>
    <w:rsid w:val="00B037E8"/>
    <w:rsid w:val="00B0466B"/>
    <w:rsid w:val="00B059F3"/>
    <w:rsid w:val="00B128FD"/>
    <w:rsid w:val="00B12F3A"/>
    <w:rsid w:val="00B13F10"/>
    <w:rsid w:val="00B1778B"/>
    <w:rsid w:val="00B2025B"/>
    <w:rsid w:val="00B217F6"/>
    <w:rsid w:val="00B247D8"/>
    <w:rsid w:val="00B2500C"/>
    <w:rsid w:val="00B26419"/>
    <w:rsid w:val="00B26A9E"/>
    <w:rsid w:val="00B300C4"/>
    <w:rsid w:val="00B307FA"/>
    <w:rsid w:val="00B30CF5"/>
    <w:rsid w:val="00B31D5A"/>
    <w:rsid w:val="00B32245"/>
    <w:rsid w:val="00B32937"/>
    <w:rsid w:val="00B42BB6"/>
    <w:rsid w:val="00B43689"/>
    <w:rsid w:val="00B465D6"/>
    <w:rsid w:val="00B467E6"/>
    <w:rsid w:val="00B46BD0"/>
    <w:rsid w:val="00B478BF"/>
    <w:rsid w:val="00B50494"/>
    <w:rsid w:val="00B535F2"/>
    <w:rsid w:val="00B615C7"/>
    <w:rsid w:val="00B63522"/>
    <w:rsid w:val="00B64051"/>
    <w:rsid w:val="00B64AAF"/>
    <w:rsid w:val="00B65E97"/>
    <w:rsid w:val="00B70337"/>
    <w:rsid w:val="00B71D75"/>
    <w:rsid w:val="00B74282"/>
    <w:rsid w:val="00B75635"/>
    <w:rsid w:val="00B75BE6"/>
    <w:rsid w:val="00B75C27"/>
    <w:rsid w:val="00B760B1"/>
    <w:rsid w:val="00B77259"/>
    <w:rsid w:val="00B7789D"/>
    <w:rsid w:val="00B77E3C"/>
    <w:rsid w:val="00B77E5C"/>
    <w:rsid w:val="00B811DE"/>
    <w:rsid w:val="00B8181A"/>
    <w:rsid w:val="00B8261E"/>
    <w:rsid w:val="00B85766"/>
    <w:rsid w:val="00B85905"/>
    <w:rsid w:val="00B873C3"/>
    <w:rsid w:val="00B90BBD"/>
    <w:rsid w:val="00B92E9D"/>
    <w:rsid w:val="00B93312"/>
    <w:rsid w:val="00B935D9"/>
    <w:rsid w:val="00B94422"/>
    <w:rsid w:val="00B94592"/>
    <w:rsid w:val="00B96200"/>
    <w:rsid w:val="00B963C9"/>
    <w:rsid w:val="00BA115E"/>
    <w:rsid w:val="00BA11C5"/>
    <w:rsid w:val="00BA2C6E"/>
    <w:rsid w:val="00BA30B6"/>
    <w:rsid w:val="00BA41A7"/>
    <w:rsid w:val="00BA4328"/>
    <w:rsid w:val="00BA4EB5"/>
    <w:rsid w:val="00BA518B"/>
    <w:rsid w:val="00BA584D"/>
    <w:rsid w:val="00BA6649"/>
    <w:rsid w:val="00BB33FF"/>
    <w:rsid w:val="00BB347B"/>
    <w:rsid w:val="00BB4C6A"/>
    <w:rsid w:val="00BB5424"/>
    <w:rsid w:val="00BB62FD"/>
    <w:rsid w:val="00BC1D7E"/>
    <w:rsid w:val="00BC2653"/>
    <w:rsid w:val="00BC2833"/>
    <w:rsid w:val="00BC59CB"/>
    <w:rsid w:val="00BD03DC"/>
    <w:rsid w:val="00BD0760"/>
    <w:rsid w:val="00BD10E1"/>
    <w:rsid w:val="00BD1ED4"/>
    <w:rsid w:val="00BD4E9A"/>
    <w:rsid w:val="00BD5C94"/>
    <w:rsid w:val="00BD646A"/>
    <w:rsid w:val="00BD6F6D"/>
    <w:rsid w:val="00BE0223"/>
    <w:rsid w:val="00BE0EBB"/>
    <w:rsid w:val="00BE1628"/>
    <w:rsid w:val="00BE25DC"/>
    <w:rsid w:val="00BE35C8"/>
    <w:rsid w:val="00BE4418"/>
    <w:rsid w:val="00BE5166"/>
    <w:rsid w:val="00BE6AEE"/>
    <w:rsid w:val="00BE72A5"/>
    <w:rsid w:val="00BF0F5C"/>
    <w:rsid w:val="00BF2950"/>
    <w:rsid w:val="00BF2B75"/>
    <w:rsid w:val="00BF2CEC"/>
    <w:rsid w:val="00BF3099"/>
    <w:rsid w:val="00BF30BC"/>
    <w:rsid w:val="00BF70B0"/>
    <w:rsid w:val="00BF7733"/>
    <w:rsid w:val="00C006E6"/>
    <w:rsid w:val="00C02A2A"/>
    <w:rsid w:val="00C03991"/>
    <w:rsid w:val="00C04C86"/>
    <w:rsid w:val="00C05A9D"/>
    <w:rsid w:val="00C142D6"/>
    <w:rsid w:val="00C144BC"/>
    <w:rsid w:val="00C14D27"/>
    <w:rsid w:val="00C14EAB"/>
    <w:rsid w:val="00C16898"/>
    <w:rsid w:val="00C20AFD"/>
    <w:rsid w:val="00C21FFE"/>
    <w:rsid w:val="00C2259A"/>
    <w:rsid w:val="00C22CE0"/>
    <w:rsid w:val="00C242F2"/>
    <w:rsid w:val="00C251AD"/>
    <w:rsid w:val="00C25C2B"/>
    <w:rsid w:val="00C3056B"/>
    <w:rsid w:val="00C30F15"/>
    <w:rsid w:val="00C310A2"/>
    <w:rsid w:val="00C31764"/>
    <w:rsid w:val="00C33095"/>
    <w:rsid w:val="00C33407"/>
    <w:rsid w:val="00C3628A"/>
    <w:rsid w:val="00C4015D"/>
    <w:rsid w:val="00C40215"/>
    <w:rsid w:val="00C40CC6"/>
    <w:rsid w:val="00C40E5D"/>
    <w:rsid w:val="00C421AD"/>
    <w:rsid w:val="00C4228E"/>
    <w:rsid w:val="00C42762"/>
    <w:rsid w:val="00C4300F"/>
    <w:rsid w:val="00C44817"/>
    <w:rsid w:val="00C4512A"/>
    <w:rsid w:val="00C45FD4"/>
    <w:rsid w:val="00C513BF"/>
    <w:rsid w:val="00C52BAC"/>
    <w:rsid w:val="00C53E6F"/>
    <w:rsid w:val="00C54364"/>
    <w:rsid w:val="00C56172"/>
    <w:rsid w:val="00C577BA"/>
    <w:rsid w:val="00C60F15"/>
    <w:rsid w:val="00C61A56"/>
    <w:rsid w:val="00C62002"/>
    <w:rsid w:val="00C63F9F"/>
    <w:rsid w:val="00C64A3D"/>
    <w:rsid w:val="00C66297"/>
    <w:rsid w:val="00C74D6D"/>
    <w:rsid w:val="00C75728"/>
    <w:rsid w:val="00C765DA"/>
    <w:rsid w:val="00C817B6"/>
    <w:rsid w:val="00C8233F"/>
    <w:rsid w:val="00C829B3"/>
    <w:rsid w:val="00C840A5"/>
    <w:rsid w:val="00C84CB8"/>
    <w:rsid w:val="00C85A93"/>
    <w:rsid w:val="00C86A9B"/>
    <w:rsid w:val="00C92897"/>
    <w:rsid w:val="00C930F0"/>
    <w:rsid w:val="00C944B1"/>
    <w:rsid w:val="00C951F5"/>
    <w:rsid w:val="00C97CD7"/>
    <w:rsid w:val="00CA502E"/>
    <w:rsid w:val="00CA5E29"/>
    <w:rsid w:val="00CB0F7E"/>
    <w:rsid w:val="00CB1B65"/>
    <w:rsid w:val="00CB3A53"/>
    <w:rsid w:val="00CB57D1"/>
    <w:rsid w:val="00CC10A7"/>
    <w:rsid w:val="00CC223A"/>
    <w:rsid w:val="00CC24EB"/>
    <w:rsid w:val="00CC69A5"/>
    <w:rsid w:val="00CC7E85"/>
    <w:rsid w:val="00CD12B9"/>
    <w:rsid w:val="00CD18DB"/>
    <w:rsid w:val="00CD2BCF"/>
    <w:rsid w:val="00CD70E4"/>
    <w:rsid w:val="00CD754E"/>
    <w:rsid w:val="00CD7584"/>
    <w:rsid w:val="00CD7F3E"/>
    <w:rsid w:val="00CE10DA"/>
    <w:rsid w:val="00CE17BF"/>
    <w:rsid w:val="00CE2E92"/>
    <w:rsid w:val="00CE3A94"/>
    <w:rsid w:val="00CE3D01"/>
    <w:rsid w:val="00CE6337"/>
    <w:rsid w:val="00CE654B"/>
    <w:rsid w:val="00CE6B6F"/>
    <w:rsid w:val="00CF0A00"/>
    <w:rsid w:val="00CF2D76"/>
    <w:rsid w:val="00CF2E07"/>
    <w:rsid w:val="00CF3942"/>
    <w:rsid w:val="00CF3AD2"/>
    <w:rsid w:val="00CF515C"/>
    <w:rsid w:val="00D04E1F"/>
    <w:rsid w:val="00D05225"/>
    <w:rsid w:val="00D05278"/>
    <w:rsid w:val="00D074CA"/>
    <w:rsid w:val="00D076B6"/>
    <w:rsid w:val="00D07A7F"/>
    <w:rsid w:val="00D10621"/>
    <w:rsid w:val="00D129CF"/>
    <w:rsid w:val="00D165D2"/>
    <w:rsid w:val="00D20955"/>
    <w:rsid w:val="00D21F65"/>
    <w:rsid w:val="00D224BE"/>
    <w:rsid w:val="00D2459B"/>
    <w:rsid w:val="00D24AFE"/>
    <w:rsid w:val="00D2642C"/>
    <w:rsid w:val="00D27555"/>
    <w:rsid w:val="00D3075D"/>
    <w:rsid w:val="00D30884"/>
    <w:rsid w:val="00D313CF"/>
    <w:rsid w:val="00D31E3E"/>
    <w:rsid w:val="00D32AEC"/>
    <w:rsid w:val="00D3308C"/>
    <w:rsid w:val="00D332A5"/>
    <w:rsid w:val="00D333AA"/>
    <w:rsid w:val="00D34CE4"/>
    <w:rsid w:val="00D35567"/>
    <w:rsid w:val="00D415F5"/>
    <w:rsid w:val="00D418FB"/>
    <w:rsid w:val="00D46695"/>
    <w:rsid w:val="00D46CC9"/>
    <w:rsid w:val="00D46DAB"/>
    <w:rsid w:val="00D50B3E"/>
    <w:rsid w:val="00D55961"/>
    <w:rsid w:val="00D577C0"/>
    <w:rsid w:val="00D60C11"/>
    <w:rsid w:val="00D60EE3"/>
    <w:rsid w:val="00D61633"/>
    <w:rsid w:val="00D61CAC"/>
    <w:rsid w:val="00D62ED7"/>
    <w:rsid w:val="00D63746"/>
    <w:rsid w:val="00D63F45"/>
    <w:rsid w:val="00D67640"/>
    <w:rsid w:val="00D72572"/>
    <w:rsid w:val="00D72A07"/>
    <w:rsid w:val="00D733D9"/>
    <w:rsid w:val="00D76ACB"/>
    <w:rsid w:val="00D8089A"/>
    <w:rsid w:val="00D81FE9"/>
    <w:rsid w:val="00D8292A"/>
    <w:rsid w:val="00D83AC4"/>
    <w:rsid w:val="00D84239"/>
    <w:rsid w:val="00D863CD"/>
    <w:rsid w:val="00D8641B"/>
    <w:rsid w:val="00D90334"/>
    <w:rsid w:val="00D90774"/>
    <w:rsid w:val="00D91247"/>
    <w:rsid w:val="00D91355"/>
    <w:rsid w:val="00D919B4"/>
    <w:rsid w:val="00D93FFB"/>
    <w:rsid w:val="00D95388"/>
    <w:rsid w:val="00D96E15"/>
    <w:rsid w:val="00DA2F3F"/>
    <w:rsid w:val="00DA5580"/>
    <w:rsid w:val="00DA639C"/>
    <w:rsid w:val="00DA6A8C"/>
    <w:rsid w:val="00DA705A"/>
    <w:rsid w:val="00DB1FE1"/>
    <w:rsid w:val="00DB2A5E"/>
    <w:rsid w:val="00DB2AA8"/>
    <w:rsid w:val="00DB3AFA"/>
    <w:rsid w:val="00DB3E3C"/>
    <w:rsid w:val="00DB4924"/>
    <w:rsid w:val="00DB6976"/>
    <w:rsid w:val="00DB6C40"/>
    <w:rsid w:val="00DC07BB"/>
    <w:rsid w:val="00DC1C9F"/>
    <w:rsid w:val="00DC3B81"/>
    <w:rsid w:val="00DC3C41"/>
    <w:rsid w:val="00DC3E2D"/>
    <w:rsid w:val="00DC5814"/>
    <w:rsid w:val="00DC5886"/>
    <w:rsid w:val="00DC6BFE"/>
    <w:rsid w:val="00DD14FA"/>
    <w:rsid w:val="00DD310A"/>
    <w:rsid w:val="00DD3173"/>
    <w:rsid w:val="00DD775F"/>
    <w:rsid w:val="00DE3197"/>
    <w:rsid w:val="00DE534A"/>
    <w:rsid w:val="00DE7067"/>
    <w:rsid w:val="00DE758D"/>
    <w:rsid w:val="00DE7850"/>
    <w:rsid w:val="00DE79ED"/>
    <w:rsid w:val="00DE7E62"/>
    <w:rsid w:val="00DF20A7"/>
    <w:rsid w:val="00DF2C35"/>
    <w:rsid w:val="00DF56EC"/>
    <w:rsid w:val="00DF62E8"/>
    <w:rsid w:val="00E0288E"/>
    <w:rsid w:val="00E029D0"/>
    <w:rsid w:val="00E04853"/>
    <w:rsid w:val="00E05BB2"/>
    <w:rsid w:val="00E120CF"/>
    <w:rsid w:val="00E127FB"/>
    <w:rsid w:val="00E133F1"/>
    <w:rsid w:val="00E13506"/>
    <w:rsid w:val="00E13A98"/>
    <w:rsid w:val="00E13C7A"/>
    <w:rsid w:val="00E172A1"/>
    <w:rsid w:val="00E241F5"/>
    <w:rsid w:val="00E24D67"/>
    <w:rsid w:val="00E31CFE"/>
    <w:rsid w:val="00E32972"/>
    <w:rsid w:val="00E34718"/>
    <w:rsid w:val="00E34D4F"/>
    <w:rsid w:val="00E35456"/>
    <w:rsid w:val="00E363F0"/>
    <w:rsid w:val="00E36451"/>
    <w:rsid w:val="00E36542"/>
    <w:rsid w:val="00E40C84"/>
    <w:rsid w:val="00E40CD4"/>
    <w:rsid w:val="00E411BD"/>
    <w:rsid w:val="00E423BF"/>
    <w:rsid w:val="00E42699"/>
    <w:rsid w:val="00E42E8C"/>
    <w:rsid w:val="00E430EA"/>
    <w:rsid w:val="00E43345"/>
    <w:rsid w:val="00E4351A"/>
    <w:rsid w:val="00E44B62"/>
    <w:rsid w:val="00E506FB"/>
    <w:rsid w:val="00E541EA"/>
    <w:rsid w:val="00E55822"/>
    <w:rsid w:val="00E56426"/>
    <w:rsid w:val="00E56DB3"/>
    <w:rsid w:val="00E57CAB"/>
    <w:rsid w:val="00E57DB6"/>
    <w:rsid w:val="00E62725"/>
    <w:rsid w:val="00E63441"/>
    <w:rsid w:val="00E67025"/>
    <w:rsid w:val="00E67709"/>
    <w:rsid w:val="00E73043"/>
    <w:rsid w:val="00E8047E"/>
    <w:rsid w:val="00E8172C"/>
    <w:rsid w:val="00E8276B"/>
    <w:rsid w:val="00E83545"/>
    <w:rsid w:val="00E8576B"/>
    <w:rsid w:val="00E8637D"/>
    <w:rsid w:val="00E903C1"/>
    <w:rsid w:val="00E955FE"/>
    <w:rsid w:val="00E97290"/>
    <w:rsid w:val="00E975F8"/>
    <w:rsid w:val="00EA10BE"/>
    <w:rsid w:val="00EA2FC2"/>
    <w:rsid w:val="00EA40E9"/>
    <w:rsid w:val="00EA6D5D"/>
    <w:rsid w:val="00EB05AA"/>
    <w:rsid w:val="00EB0C3E"/>
    <w:rsid w:val="00EB12D8"/>
    <w:rsid w:val="00EB69C5"/>
    <w:rsid w:val="00EC012C"/>
    <w:rsid w:val="00EC2C4D"/>
    <w:rsid w:val="00EC2E95"/>
    <w:rsid w:val="00EC34F6"/>
    <w:rsid w:val="00EC62DD"/>
    <w:rsid w:val="00EC7B88"/>
    <w:rsid w:val="00EC7D84"/>
    <w:rsid w:val="00ED0384"/>
    <w:rsid w:val="00ED049D"/>
    <w:rsid w:val="00ED0680"/>
    <w:rsid w:val="00ED072D"/>
    <w:rsid w:val="00ED0E98"/>
    <w:rsid w:val="00ED1059"/>
    <w:rsid w:val="00ED14CA"/>
    <w:rsid w:val="00ED1BDF"/>
    <w:rsid w:val="00ED6F27"/>
    <w:rsid w:val="00ED75F0"/>
    <w:rsid w:val="00EE107D"/>
    <w:rsid w:val="00EE150A"/>
    <w:rsid w:val="00EE2EAD"/>
    <w:rsid w:val="00EE3391"/>
    <w:rsid w:val="00EE56A6"/>
    <w:rsid w:val="00EE5B8E"/>
    <w:rsid w:val="00EE65CF"/>
    <w:rsid w:val="00EF0987"/>
    <w:rsid w:val="00EF169D"/>
    <w:rsid w:val="00EF1E72"/>
    <w:rsid w:val="00EF353E"/>
    <w:rsid w:val="00EF4577"/>
    <w:rsid w:val="00EF4BF6"/>
    <w:rsid w:val="00EF5FFC"/>
    <w:rsid w:val="00EF7C78"/>
    <w:rsid w:val="00EF7CED"/>
    <w:rsid w:val="00EF7EB3"/>
    <w:rsid w:val="00F009BF"/>
    <w:rsid w:val="00F01E13"/>
    <w:rsid w:val="00F025CB"/>
    <w:rsid w:val="00F02BAF"/>
    <w:rsid w:val="00F07F0E"/>
    <w:rsid w:val="00F10108"/>
    <w:rsid w:val="00F11A5B"/>
    <w:rsid w:val="00F14DEA"/>
    <w:rsid w:val="00F16DD7"/>
    <w:rsid w:val="00F16F4D"/>
    <w:rsid w:val="00F1734D"/>
    <w:rsid w:val="00F2000B"/>
    <w:rsid w:val="00F2009F"/>
    <w:rsid w:val="00F204FF"/>
    <w:rsid w:val="00F215B9"/>
    <w:rsid w:val="00F222F0"/>
    <w:rsid w:val="00F24D2F"/>
    <w:rsid w:val="00F2697E"/>
    <w:rsid w:val="00F302F8"/>
    <w:rsid w:val="00F312ED"/>
    <w:rsid w:val="00F31961"/>
    <w:rsid w:val="00F32F14"/>
    <w:rsid w:val="00F3327E"/>
    <w:rsid w:val="00F35422"/>
    <w:rsid w:val="00F36025"/>
    <w:rsid w:val="00F409C5"/>
    <w:rsid w:val="00F41C6F"/>
    <w:rsid w:val="00F431F9"/>
    <w:rsid w:val="00F44519"/>
    <w:rsid w:val="00F469DD"/>
    <w:rsid w:val="00F47702"/>
    <w:rsid w:val="00F5602B"/>
    <w:rsid w:val="00F5608E"/>
    <w:rsid w:val="00F57036"/>
    <w:rsid w:val="00F623B8"/>
    <w:rsid w:val="00F637A6"/>
    <w:rsid w:val="00F6405F"/>
    <w:rsid w:val="00F654F8"/>
    <w:rsid w:val="00F66FEE"/>
    <w:rsid w:val="00F70606"/>
    <w:rsid w:val="00F708E8"/>
    <w:rsid w:val="00F71A0F"/>
    <w:rsid w:val="00F73C6A"/>
    <w:rsid w:val="00F74C6D"/>
    <w:rsid w:val="00F757ED"/>
    <w:rsid w:val="00F75AD0"/>
    <w:rsid w:val="00F77541"/>
    <w:rsid w:val="00F81C34"/>
    <w:rsid w:val="00F84CA6"/>
    <w:rsid w:val="00F85998"/>
    <w:rsid w:val="00F87391"/>
    <w:rsid w:val="00F87DB6"/>
    <w:rsid w:val="00F91CD8"/>
    <w:rsid w:val="00F9221B"/>
    <w:rsid w:val="00F94E80"/>
    <w:rsid w:val="00FA0FC6"/>
    <w:rsid w:val="00FA151A"/>
    <w:rsid w:val="00FA2B29"/>
    <w:rsid w:val="00FA30D7"/>
    <w:rsid w:val="00FA4A15"/>
    <w:rsid w:val="00FA4AB9"/>
    <w:rsid w:val="00FA5164"/>
    <w:rsid w:val="00FA5F5C"/>
    <w:rsid w:val="00FA624A"/>
    <w:rsid w:val="00FA64C5"/>
    <w:rsid w:val="00FA6612"/>
    <w:rsid w:val="00FA6EED"/>
    <w:rsid w:val="00FA7F8A"/>
    <w:rsid w:val="00FB1B28"/>
    <w:rsid w:val="00FB1CE9"/>
    <w:rsid w:val="00FB2906"/>
    <w:rsid w:val="00FB3C2D"/>
    <w:rsid w:val="00FB5C1F"/>
    <w:rsid w:val="00FC14EC"/>
    <w:rsid w:val="00FC2DDB"/>
    <w:rsid w:val="00FC2DE3"/>
    <w:rsid w:val="00FC4787"/>
    <w:rsid w:val="00FC4B37"/>
    <w:rsid w:val="00FC4DF4"/>
    <w:rsid w:val="00FC52FB"/>
    <w:rsid w:val="00FC5616"/>
    <w:rsid w:val="00FC6945"/>
    <w:rsid w:val="00FC7AA6"/>
    <w:rsid w:val="00FC7B66"/>
    <w:rsid w:val="00FD0461"/>
    <w:rsid w:val="00FD1094"/>
    <w:rsid w:val="00FD10D5"/>
    <w:rsid w:val="00FD1184"/>
    <w:rsid w:val="00FD37DA"/>
    <w:rsid w:val="00FD53BE"/>
    <w:rsid w:val="00FD7760"/>
    <w:rsid w:val="00FD7844"/>
    <w:rsid w:val="00FE34BB"/>
    <w:rsid w:val="00FE3B0D"/>
    <w:rsid w:val="00FE48DA"/>
    <w:rsid w:val="00FE591C"/>
    <w:rsid w:val="00FE676A"/>
    <w:rsid w:val="00FE6F62"/>
    <w:rsid w:val="00FF0DA9"/>
    <w:rsid w:val="00FF1F34"/>
    <w:rsid w:val="00FF4474"/>
    <w:rsid w:val="00FF77B3"/>
    <w:rsid w:val="00FF7A3A"/>
    <w:rsid w:val="2895AF48"/>
    <w:rsid w:val="6F015DF2"/>
    <w:rsid w:val="7D057E7B"/>
    <w:rsid w:val="7FA7FB5F"/>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D901CE7"/>
  <w15:docId w15:val="{509386B4-B133-4F53-8B50-DF798A419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72D"/>
    <w:pPr>
      <w:spacing w:line="300" w:lineRule="exact"/>
    </w:pPr>
    <w:rPr>
      <w:rFonts w:ascii="Lucida Sans Unicode" w:hAnsi="Lucida Sans Unicode"/>
      <w:sz w:val="22"/>
      <w:szCs w:val="24"/>
    </w:rPr>
  </w:style>
  <w:style w:type="paragraph" w:styleId="Heading1">
    <w:name w:val="heading 1"/>
    <w:basedOn w:val="Normal"/>
    <w:qFormat/>
    <w:rsid w:val="00BF0F5C"/>
    <w:pPr>
      <w:keepNext/>
      <w:numPr>
        <w:numId w:val="31"/>
      </w:numPr>
      <w:spacing w:before="300"/>
      <w:outlineLvl w:val="0"/>
    </w:pPr>
    <w:rPr>
      <w:rFonts w:cs="Arial"/>
      <w:bCs/>
      <w:kern w:val="32"/>
      <w:sz w:val="24"/>
      <w:szCs w:val="32"/>
    </w:rPr>
  </w:style>
  <w:style w:type="paragraph" w:styleId="Heading2">
    <w:name w:val="heading 2"/>
    <w:basedOn w:val="Normal"/>
    <w:next w:val="Normal"/>
    <w:qFormat/>
    <w:rsid w:val="0017414F"/>
    <w:pPr>
      <w:keepNext/>
      <w:spacing w:before="300"/>
      <w:outlineLvl w:val="1"/>
    </w:pPr>
    <w:rPr>
      <w:rFonts w:cs="Arial"/>
      <w:b/>
      <w:bCs/>
      <w:iCs/>
      <w:sz w:val="18"/>
      <w:szCs w:val="28"/>
    </w:rPr>
  </w:style>
  <w:style w:type="paragraph" w:styleId="Heading3">
    <w:name w:val="heading 3"/>
    <w:basedOn w:val="Title"/>
    <w:next w:val="Title"/>
    <w:qFormat/>
    <w:rsid w:val="0017414F"/>
    <w:pPr>
      <w:keepNext/>
      <w:spacing w:after="600"/>
      <w:outlineLvl w:val="2"/>
    </w:pPr>
    <w:rPr>
      <w:bCs w:val="0"/>
      <w:szCs w:val="26"/>
    </w:rPr>
  </w:style>
  <w:style w:type="paragraph" w:styleId="Heading4">
    <w:name w:val="heading 4"/>
    <w:basedOn w:val="Boilerplate"/>
    <w:next w:val="Boilerplate"/>
    <w:qFormat/>
    <w:rsid w:val="0017414F"/>
    <w:pPr>
      <w:keepNext/>
      <w:spacing w:before="240"/>
      <w:outlineLvl w:val="3"/>
    </w:pPr>
    <w:rPr>
      <w:b/>
      <w:bCs/>
      <w:szCs w:val="28"/>
    </w:rPr>
  </w:style>
  <w:style w:type="paragraph" w:styleId="Heading5">
    <w:name w:val="heading 5"/>
    <w:basedOn w:val="Normal"/>
    <w:next w:val="Normal"/>
    <w:qFormat/>
    <w:rsid w:val="0017414F"/>
    <w:pPr>
      <w:spacing w:before="240" w:after="60"/>
      <w:outlineLvl w:val="4"/>
    </w:pPr>
    <w:rPr>
      <w:b/>
      <w:bCs/>
      <w:i/>
      <w:iCs/>
      <w:sz w:val="26"/>
      <w:szCs w:val="26"/>
    </w:rPr>
  </w:style>
  <w:style w:type="paragraph" w:styleId="Heading6">
    <w:name w:val="heading 6"/>
    <w:basedOn w:val="Normal"/>
    <w:next w:val="Normal"/>
    <w:qFormat/>
    <w:rsid w:val="0017414F"/>
    <w:pPr>
      <w:spacing w:before="240" w:after="60"/>
      <w:outlineLvl w:val="5"/>
    </w:pPr>
    <w:rPr>
      <w:b/>
      <w:bCs/>
      <w:szCs w:val="22"/>
    </w:rPr>
  </w:style>
  <w:style w:type="paragraph" w:styleId="Heading7">
    <w:name w:val="heading 7"/>
    <w:basedOn w:val="Normal"/>
    <w:next w:val="Normal"/>
    <w:qFormat/>
    <w:rsid w:val="0017414F"/>
    <w:pPr>
      <w:spacing w:before="240" w:after="60"/>
      <w:outlineLvl w:val="6"/>
    </w:pPr>
  </w:style>
  <w:style w:type="paragraph" w:styleId="Heading8">
    <w:name w:val="heading 8"/>
    <w:basedOn w:val="Normal"/>
    <w:next w:val="Normal"/>
    <w:qFormat/>
    <w:rsid w:val="0017414F"/>
    <w:pPr>
      <w:spacing w:before="240" w:after="60"/>
      <w:outlineLvl w:val="7"/>
    </w:pPr>
    <w:rPr>
      <w:i/>
      <w:iCs/>
    </w:rPr>
  </w:style>
  <w:style w:type="paragraph" w:styleId="Heading9">
    <w:name w:val="heading 9"/>
    <w:basedOn w:val="Normal"/>
    <w:next w:val="Normal"/>
    <w:qFormat/>
    <w:rsid w:val="0017414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17414F"/>
    <w:pPr>
      <w:tabs>
        <w:tab w:val="center" w:pos="4536"/>
        <w:tab w:val="right" w:pos="9072"/>
      </w:tabs>
    </w:pPr>
  </w:style>
  <w:style w:type="paragraph" w:styleId="Footer">
    <w:name w:val="footer"/>
    <w:basedOn w:val="Normal"/>
    <w:rsid w:val="0017414F"/>
    <w:pPr>
      <w:tabs>
        <w:tab w:val="center" w:pos="4536"/>
        <w:tab w:val="right" w:pos="9072"/>
      </w:tabs>
    </w:pPr>
  </w:style>
  <w:style w:type="character" w:styleId="PageNumber">
    <w:name w:val="page number"/>
    <w:basedOn w:val="DefaultParagraphFont"/>
    <w:semiHidden/>
    <w:rsid w:val="0017414F"/>
  </w:style>
  <w:style w:type="numbering" w:styleId="111111">
    <w:name w:val="Outline List 2"/>
    <w:basedOn w:val="NoList"/>
    <w:semiHidden/>
    <w:rsid w:val="0017414F"/>
    <w:pPr>
      <w:numPr>
        <w:numId w:val="11"/>
      </w:numPr>
    </w:pPr>
  </w:style>
  <w:style w:type="numbering" w:styleId="1ai">
    <w:name w:val="Outline List 1"/>
    <w:basedOn w:val="NoList"/>
    <w:semiHidden/>
    <w:rsid w:val="0017414F"/>
    <w:pPr>
      <w:numPr>
        <w:numId w:val="12"/>
      </w:numPr>
    </w:pPr>
  </w:style>
  <w:style w:type="paragraph" w:styleId="Salutation">
    <w:name w:val="Salutation"/>
    <w:basedOn w:val="Normal"/>
    <w:next w:val="Normal"/>
    <w:semiHidden/>
    <w:rsid w:val="0017414F"/>
  </w:style>
  <w:style w:type="numbering" w:styleId="ArticleSection">
    <w:name w:val="Outline List 3"/>
    <w:basedOn w:val="NoList"/>
    <w:semiHidden/>
    <w:rsid w:val="0017414F"/>
    <w:pPr>
      <w:numPr>
        <w:numId w:val="13"/>
      </w:numPr>
    </w:pPr>
  </w:style>
  <w:style w:type="paragraph" w:styleId="ListBullet">
    <w:name w:val="List Bullet"/>
    <w:basedOn w:val="Normal"/>
    <w:rsid w:val="0017414F"/>
    <w:pPr>
      <w:numPr>
        <w:numId w:val="21"/>
      </w:numPr>
    </w:pPr>
  </w:style>
  <w:style w:type="paragraph" w:styleId="ListBullet2">
    <w:name w:val="List Bullet 2"/>
    <w:basedOn w:val="Normal"/>
    <w:semiHidden/>
    <w:rsid w:val="0017414F"/>
    <w:pPr>
      <w:numPr>
        <w:numId w:val="22"/>
      </w:numPr>
      <w:tabs>
        <w:tab w:val="clear" w:pos="643"/>
        <w:tab w:val="num" w:pos="360"/>
      </w:tabs>
      <w:ind w:left="0" w:firstLine="0"/>
    </w:pPr>
  </w:style>
  <w:style w:type="paragraph" w:styleId="ListBullet3">
    <w:name w:val="List Bullet 3"/>
    <w:basedOn w:val="Normal"/>
    <w:semiHidden/>
    <w:rsid w:val="0017414F"/>
    <w:pPr>
      <w:numPr>
        <w:numId w:val="23"/>
      </w:numPr>
      <w:tabs>
        <w:tab w:val="clear" w:pos="926"/>
        <w:tab w:val="num" w:pos="360"/>
      </w:tabs>
      <w:ind w:left="0" w:firstLine="0"/>
    </w:pPr>
  </w:style>
  <w:style w:type="paragraph" w:styleId="ListBullet4">
    <w:name w:val="List Bullet 4"/>
    <w:basedOn w:val="Normal"/>
    <w:semiHidden/>
    <w:rsid w:val="0017414F"/>
    <w:pPr>
      <w:numPr>
        <w:numId w:val="24"/>
      </w:numPr>
      <w:tabs>
        <w:tab w:val="clear" w:pos="1209"/>
        <w:tab w:val="num" w:pos="360"/>
      </w:tabs>
      <w:ind w:left="0" w:firstLine="0"/>
    </w:pPr>
  </w:style>
  <w:style w:type="paragraph" w:styleId="ListBullet5">
    <w:name w:val="List Bullet 5"/>
    <w:basedOn w:val="Normal"/>
    <w:semiHidden/>
    <w:rsid w:val="0017414F"/>
    <w:pPr>
      <w:numPr>
        <w:numId w:val="25"/>
      </w:numPr>
      <w:tabs>
        <w:tab w:val="clear" w:pos="1492"/>
        <w:tab w:val="num" w:pos="360"/>
      </w:tabs>
      <w:ind w:left="0" w:firstLine="0"/>
    </w:pPr>
  </w:style>
  <w:style w:type="character" w:styleId="FollowedHyperlink">
    <w:name w:val="FollowedHyperlink"/>
    <w:basedOn w:val="DefaultParagraphFont"/>
    <w:semiHidden/>
    <w:rsid w:val="0017414F"/>
    <w:rPr>
      <w:color w:val="800080"/>
      <w:u w:val="single"/>
    </w:rPr>
  </w:style>
  <w:style w:type="paragraph" w:styleId="BlockText">
    <w:name w:val="Block Text"/>
    <w:basedOn w:val="Normal"/>
    <w:semiHidden/>
    <w:rsid w:val="0017414F"/>
    <w:pPr>
      <w:spacing w:after="120"/>
      <w:ind w:left="1440" w:right="1440"/>
    </w:pPr>
  </w:style>
  <w:style w:type="paragraph" w:styleId="Date">
    <w:name w:val="Date"/>
    <w:basedOn w:val="Normal"/>
    <w:next w:val="Normal"/>
    <w:semiHidden/>
    <w:rsid w:val="0017414F"/>
  </w:style>
  <w:style w:type="paragraph" w:styleId="E-mailSignature">
    <w:name w:val="E-mail Signature"/>
    <w:basedOn w:val="Normal"/>
    <w:semiHidden/>
    <w:rsid w:val="0017414F"/>
  </w:style>
  <w:style w:type="character" w:styleId="Strong">
    <w:name w:val="Strong"/>
    <w:basedOn w:val="DefaultParagraphFont"/>
    <w:uiPriority w:val="22"/>
    <w:qFormat/>
    <w:rsid w:val="0017414F"/>
    <w:rPr>
      <w:b/>
      <w:bCs/>
    </w:rPr>
  </w:style>
  <w:style w:type="paragraph" w:styleId="NoteHeading">
    <w:name w:val="Note Heading"/>
    <w:basedOn w:val="Normal"/>
    <w:next w:val="Normal"/>
    <w:semiHidden/>
    <w:rsid w:val="0017414F"/>
  </w:style>
  <w:style w:type="paragraph" w:styleId="Closing">
    <w:name w:val="Closing"/>
    <w:basedOn w:val="Normal"/>
    <w:semiHidden/>
    <w:rsid w:val="0017414F"/>
    <w:pPr>
      <w:ind w:left="4252"/>
    </w:pPr>
  </w:style>
  <w:style w:type="character" w:styleId="Emphasis">
    <w:name w:val="Emphasis"/>
    <w:basedOn w:val="DefaultParagraphFont"/>
    <w:qFormat/>
    <w:rsid w:val="0017414F"/>
    <w:rPr>
      <w:i/>
      <w:iCs/>
    </w:rPr>
  </w:style>
  <w:style w:type="paragraph" w:styleId="HTMLAddress">
    <w:name w:val="HTML Address"/>
    <w:basedOn w:val="Normal"/>
    <w:semiHidden/>
    <w:rsid w:val="0017414F"/>
    <w:rPr>
      <w:i/>
      <w:iCs/>
    </w:rPr>
  </w:style>
  <w:style w:type="character" w:styleId="HTMLAcronym">
    <w:name w:val="HTML Acronym"/>
    <w:basedOn w:val="DefaultParagraphFont"/>
    <w:semiHidden/>
    <w:rsid w:val="0017414F"/>
  </w:style>
  <w:style w:type="character" w:styleId="HTMLSample">
    <w:name w:val="HTML Sample"/>
    <w:basedOn w:val="DefaultParagraphFont"/>
    <w:semiHidden/>
    <w:rsid w:val="0017414F"/>
    <w:rPr>
      <w:rFonts w:ascii="Courier New" w:hAnsi="Courier New" w:cs="Courier New"/>
    </w:rPr>
  </w:style>
  <w:style w:type="character" w:styleId="HTMLCode">
    <w:name w:val="HTML Code"/>
    <w:basedOn w:val="DefaultParagraphFont"/>
    <w:semiHidden/>
    <w:rsid w:val="0017414F"/>
    <w:rPr>
      <w:rFonts w:ascii="Courier New" w:hAnsi="Courier New" w:cs="Courier New"/>
      <w:sz w:val="20"/>
      <w:szCs w:val="20"/>
    </w:rPr>
  </w:style>
  <w:style w:type="character" w:styleId="HTMLDefinition">
    <w:name w:val="HTML Definition"/>
    <w:basedOn w:val="DefaultParagraphFont"/>
    <w:semiHidden/>
    <w:rsid w:val="0017414F"/>
    <w:rPr>
      <w:i/>
      <w:iCs/>
    </w:rPr>
  </w:style>
  <w:style w:type="character" w:styleId="HTMLTypewriter">
    <w:name w:val="HTML Typewriter"/>
    <w:basedOn w:val="DefaultParagraphFont"/>
    <w:semiHidden/>
    <w:rsid w:val="0017414F"/>
    <w:rPr>
      <w:rFonts w:ascii="Courier New" w:hAnsi="Courier New" w:cs="Courier New"/>
      <w:sz w:val="20"/>
      <w:szCs w:val="20"/>
    </w:rPr>
  </w:style>
  <w:style w:type="character" w:styleId="HTMLKeyboard">
    <w:name w:val="HTML Keyboard"/>
    <w:basedOn w:val="DefaultParagraphFont"/>
    <w:semiHidden/>
    <w:rsid w:val="0017414F"/>
    <w:rPr>
      <w:rFonts w:ascii="Courier New" w:hAnsi="Courier New" w:cs="Courier New"/>
      <w:sz w:val="20"/>
      <w:szCs w:val="20"/>
    </w:rPr>
  </w:style>
  <w:style w:type="character" w:styleId="HTMLVariable">
    <w:name w:val="HTML Variable"/>
    <w:basedOn w:val="DefaultParagraphFont"/>
    <w:semiHidden/>
    <w:rsid w:val="0017414F"/>
    <w:rPr>
      <w:i/>
      <w:iCs/>
    </w:rPr>
  </w:style>
  <w:style w:type="paragraph" w:styleId="HTMLPreformatted">
    <w:name w:val="HTML Preformatted"/>
    <w:basedOn w:val="Normal"/>
    <w:semiHidden/>
    <w:rsid w:val="0017414F"/>
    <w:rPr>
      <w:rFonts w:ascii="Courier New" w:hAnsi="Courier New" w:cs="Courier New"/>
      <w:szCs w:val="20"/>
    </w:rPr>
  </w:style>
  <w:style w:type="character" w:styleId="HTMLCite">
    <w:name w:val="HTML Cite"/>
    <w:basedOn w:val="DefaultParagraphFont"/>
    <w:semiHidden/>
    <w:rsid w:val="0017414F"/>
    <w:rPr>
      <w:i/>
      <w:iCs/>
    </w:rPr>
  </w:style>
  <w:style w:type="character" w:styleId="Hyperlink">
    <w:name w:val="Hyperlink"/>
    <w:basedOn w:val="DefaultParagraphFont"/>
    <w:rsid w:val="0017414F"/>
    <w:rPr>
      <w:color w:val="auto"/>
      <w:u w:val="none"/>
    </w:rPr>
  </w:style>
  <w:style w:type="paragraph" w:styleId="List">
    <w:name w:val="List"/>
    <w:basedOn w:val="Normal"/>
    <w:semiHidden/>
    <w:rsid w:val="0017414F"/>
    <w:pPr>
      <w:ind w:left="283" w:hanging="283"/>
    </w:pPr>
  </w:style>
  <w:style w:type="paragraph" w:styleId="List2">
    <w:name w:val="List 2"/>
    <w:basedOn w:val="Normal"/>
    <w:semiHidden/>
    <w:rsid w:val="0017414F"/>
    <w:pPr>
      <w:ind w:left="566" w:hanging="283"/>
    </w:pPr>
  </w:style>
  <w:style w:type="paragraph" w:styleId="List3">
    <w:name w:val="List 3"/>
    <w:basedOn w:val="Normal"/>
    <w:semiHidden/>
    <w:rsid w:val="0017414F"/>
    <w:pPr>
      <w:ind w:left="849" w:hanging="283"/>
    </w:pPr>
  </w:style>
  <w:style w:type="paragraph" w:styleId="List4">
    <w:name w:val="List 4"/>
    <w:basedOn w:val="Normal"/>
    <w:semiHidden/>
    <w:rsid w:val="0017414F"/>
    <w:pPr>
      <w:ind w:left="1132" w:hanging="283"/>
    </w:pPr>
  </w:style>
  <w:style w:type="paragraph" w:styleId="List5">
    <w:name w:val="List 5"/>
    <w:basedOn w:val="Normal"/>
    <w:semiHidden/>
    <w:rsid w:val="0017414F"/>
    <w:pPr>
      <w:ind w:left="1415" w:hanging="283"/>
    </w:pPr>
  </w:style>
  <w:style w:type="paragraph" w:styleId="ListContinue">
    <w:name w:val="List Continue"/>
    <w:basedOn w:val="Normal"/>
    <w:semiHidden/>
    <w:rsid w:val="0017414F"/>
    <w:pPr>
      <w:spacing w:after="120"/>
      <w:ind w:left="283"/>
    </w:pPr>
  </w:style>
  <w:style w:type="paragraph" w:styleId="ListContinue2">
    <w:name w:val="List Continue 2"/>
    <w:basedOn w:val="Normal"/>
    <w:semiHidden/>
    <w:rsid w:val="0017414F"/>
    <w:pPr>
      <w:spacing w:after="120"/>
      <w:ind w:left="566"/>
    </w:pPr>
  </w:style>
  <w:style w:type="paragraph" w:styleId="ListContinue3">
    <w:name w:val="List Continue 3"/>
    <w:basedOn w:val="Normal"/>
    <w:semiHidden/>
    <w:rsid w:val="0017414F"/>
    <w:pPr>
      <w:spacing w:after="120"/>
      <w:ind w:left="849"/>
    </w:pPr>
  </w:style>
  <w:style w:type="paragraph" w:styleId="ListContinue4">
    <w:name w:val="List Continue 4"/>
    <w:basedOn w:val="Normal"/>
    <w:semiHidden/>
    <w:rsid w:val="0017414F"/>
    <w:pPr>
      <w:spacing w:after="120"/>
      <w:ind w:left="1132"/>
    </w:pPr>
  </w:style>
  <w:style w:type="paragraph" w:styleId="ListContinue5">
    <w:name w:val="List Continue 5"/>
    <w:basedOn w:val="Normal"/>
    <w:semiHidden/>
    <w:rsid w:val="0017414F"/>
    <w:pPr>
      <w:spacing w:after="120"/>
      <w:ind w:left="1415"/>
    </w:pPr>
  </w:style>
  <w:style w:type="paragraph" w:styleId="ListNumber">
    <w:name w:val="List Number"/>
    <w:basedOn w:val="Normal"/>
    <w:semiHidden/>
    <w:rsid w:val="0017414F"/>
    <w:pPr>
      <w:numPr>
        <w:numId w:val="26"/>
      </w:numPr>
    </w:pPr>
  </w:style>
  <w:style w:type="paragraph" w:styleId="ListNumber2">
    <w:name w:val="List Number 2"/>
    <w:basedOn w:val="Normal"/>
    <w:semiHidden/>
    <w:rsid w:val="0017414F"/>
    <w:pPr>
      <w:numPr>
        <w:numId w:val="27"/>
      </w:numPr>
    </w:pPr>
  </w:style>
  <w:style w:type="paragraph" w:styleId="ListNumber3">
    <w:name w:val="List Number 3"/>
    <w:basedOn w:val="Normal"/>
    <w:semiHidden/>
    <w:rsid w:val="0017414F"/>
    <w:pPr>
      <w:numPr>
        <w:numId w:val="28"/>
      </w:numPr>
    </w:pPr>
  </w:style>
  <w:style w:type="paragraph" w:styleId="ListNumber4">
    <w:name w:val="List Number 4"/>
    <w:basedOn w:val="Normal"/>
    <w:semiHidden/>
    <w:rsid w:val="0017414F"/>
    <w:pPr>
      <w:numPr>
        <w:numId w:val="29"/>
      </w:numPr>
    </w:pPr>
  </w:style>
  <w:style w:type="paragraph" w:styleId="ListNumber5">
    <w:name w:val="List Number 5"/>
    <w:basedOn w:val="Normal"/>
    <w:semiHidden/>
    <w:rsid w:val="0017414F"/>
    <w:pPr>
      <w:numPr>
        <w:numId w:val="30"/>
      </w:numPr>
    </w:pPr>
  </w:style>
  <w:style w:type="paragraph" w:styleId="MessageHeader">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17414F"/>
    <w:rPr>
      <w:rFonts w:ascii="Courier New" w:hAnsi="Courier New" w:cs="Courier New"/>
      <w:szCs w:val="20"/>
    </w:rPr>
  </w:style>
  <w:style w:type="paragraph" w:styleId="NormalWeb">
    <w:name w:val="Normal (Web)"/>
    <w:basedOn w:val="Normal"/>
    <w:uiPriority w:val="99"/>
    <w:semiHidden/>
    <w:rsid w:val="0017414F"/>
  </w:style>
  <w:style w:type="paragraph" w:styleId="NormalIndent">
    <w:name w:val="Normal Indent"/>
    <w:basedOn w:val="Normal"/>
    <w:semiHidden/>
    <w:rsid w:val="0017414F"/>
    <w:pPr>
      <w:ind w:left="708"/>
    </w:pPr>
  </w:style>
  <w:style w:type="table" w:styleId="Table3Deffects1">
    <w:name w:val="Table 3D effects 1"/>
    <w:basedOn w:val="Table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17414F"/>
    <w:pPr>
      <w:spacing w:after="120"/>
    </w:pPr>
  </w:style>
  <w:style w:type="paragraph" w:styleId="BodyText2">
    <w:name w:val="Body Text 2"/>
    <w:basedOn w:val="Normal"/>
    <w:semiHidden/>
    <w:rsid w:val="0017414F"/>
    <w:pPr>
      <w:spacing w:after="120" w:line="480" w:lineRule="auto"/>
    </w:pPr>
  </w:style>
  <w:style w:type="paragraph" w:styleId="BodyText3">
    <w:name w:val="Body Text 3"/>
    <w:basedOn w:val="Normal"/>
    <w:semiHidden/>
    <w:rsid w:val="0017414F"/>
    <w:pPr>
      <w:spacing w:after="120"/>
    </w:pPr>
    <w:rPr>
      <w:sz w:val="16"/>
      <w:szCs w:val="16"/>
    </w:rPr>
  </w:style>
  <w:style w:type="paragraph" w:styleId="BodyTextIndent2">
    <w:name w:val="Body Text Indent 2"/>
    <w:basedOn w:val="Normal"/>
    <w:semiHidden/>
    <w:rsid w:val="0017414F"/>
    <w:pPr>
      <w:spacing w:after="120" w:line="480" w:lineRule="auto"/>
      <w:ind w:left="283"/>
    </w:pPr>
  </w:style>
  <w:style w:type="paragraph" w:styleId="BodyTextIndent3">
    <w:name w:val="Body Text Indent 3"/>
    <w:basedOn w:val="Normal"/>
    <w:semiHidden/>
    <w:rsid w:val="0017414F"/>
    <w:pPr>
      <w:spacing w:after="120"/>
      <w:ind w:left="283"/>
    </w:pPr>
    <w:rPr>
      <w:sz w:val="16"/>
      <w:szCs w:val="16"/>
    </w:rPr>
  </w:style>
  <w:style w:type="paragraph" w:styleId="BodyTextFirstIndent">
    <w:name w:val="Body Text First Indent"/>
    <w:basedOn w:val="BodyText"/>
    <w:semiHidden/>
    <w:rsid w:val="0017414F"/>
    <w:pPr>
      <w:ind w:firstLine="210"/>
    </w:pPr>
  </w:style>
  <w:style w:type="paragraph" w:styleId="BodyTextIndent">
    <w:name w:val="Body Text Indent"/>
    <w:basedOn w:val="Normal"/>
    <w:semiHidden/>
    <w:rsid w:val="0017414F"/>
    <w:pPr>
      <w:spacing w:after="120"/>
      <w:ind w:left="283"/>
    </w:pPr>
  </w:style>
  <w:style w:type="paragraph" w:styleId="BodyTextFirstIndent2">
    <w:name w:val="Body Text First Indent 2"/>
    <w:basedOn w:val="BodyTextIndent"/>
    <w:semiHidden/>
    <w:rsid w:val="0017414F"/>
    <w:pPr>
      <w:ind w:firstLine="210"/>
    </w:pPr>
  </w:style>
  <w:style w:type="paragraph" w:styleId="Title">
    <w:name w:val="Title"/>
    <w:basedOn w:val="Normal"/>
    <w:link w:val="TitleChar"/>
    <w:uiPriority w:val="10"/>
    <w:qFormat/>
    <w:rsid w:val="0006177F"/>
    <w:pPr>
      <w:outlineLvl w:val="0"/>
    </w:pPr>
    <w:rPr>
      <w:rFonts w:cs="Arial"/>
      <w:b/>
      <w:bCs/>
      <w:kern w:val="28"/>
      <w:sz w:val="24"/>
      <w:szCs w:val="32"/>
    </w:rPr>
  </w:style>
  <w:style w:type="paragraph" w:styleId="EnvelopeReturn">
    <w:name w:val="envelope return"/>
    <w:basedOn w:val="Normal"/>
    <w:semiHidden/>
    <w:rsid w:val="0017414F"/>
    <w:rPr>
      <w:rFonts w:ascii="Arial" w:hAnsi="Arial" w:cs="Arial"/>
      <w:szCs w:val="20"/>
    </w:rPr>
  </w:style>
  <w:style w:type="paragraph" w:styleId="EnvelopeAddress">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17414F"/>
    <w:pPr>
      <w:ind w:left="4252"/>
    </w:pPr>
  </w:style>
  <w:style w:type="paragraph" w:styleId="Subtitle">
    <w:name w:val="Subtitle"/>
    <w:basedOn w:val="Normal"/>
    <w:qFormat/>
    <w:rsid w:val="0017414F"/>
    <w:pPr>
      <w:spacing w:after="60"/>
      <w:jc w:val="center"/>
      <w:outlineLvl w:val="1"/>
    </w:pPr>
    <w:rPr>
      <w:rFonts w:ascii="Arial" w:hAnsi="Arial" w:cs="Arial"/>
    </w:rPr>
  </w:style>
  <w:style w:type="character" w:styleId="LineNumber">
    <w:name w:val="line number"/>
    <w:basedOn w:val="DefaultParagraphFont"/>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Heading1"/>
    <w:rsid w:val="0006177F"/>
    <w:pPr>
      <w:numPr>
        <w:numId w:val="0"/>
      </w:numPr>
      <w:spacing w:before="0"/>
    </w:pPr>
  </w:style>
  <w:style w:type="paragraph" w:styleId="BalloonText">
    <w:name w:val="Balloon Text"/>
    <w:basedOn w:val="Normal"/>
    <w:semiHidden/>
    <w:rsid w:val="000E06AB"/>
    <w:rPr>
      <w:rFonts w:ascii="Tahoma" w:hAnsi="Tahoma" w:cs="Tahoma"/>
      <w:sz w:val="16"/>
      <w:szCs w:val="16"/>
    </w:rPr>
  </w:style>
  <w:style w:type="paragraph" w:customStyle="1" w:styleId="M1">
    <w:name w:val="M1"/>
    <w:basedOn w:val="Normal"/>
    <w:rsid w:val="00EF353E"/>
    <w:pPr>
      <w:framePr w:wrap="around" w:vAnchor="page" w:hAnchor="page" w:x="8971" w:y="3222"/>
      <w:spacing w:line="180" w:lineRule="exact"/>
      <w:ind w:right="85"/>
      <w:suppressOverlap/>
    </w:pPr>
    <w:rPr>
      <w:b/>
      <w:position w:val="-2"/>
      <w:sz w:val="13"/>
    </w:rPr>
  </w:style>
  <w:style w:type="paragraph" w:customStyle="1" w:styleId="M8">
    <w:name w:val="M8"/>
    <w:basedOn w:val="Normal"/>
    <w:rsid w:val="000B1B97"/>
    <w:pPr>
      <w:framePr w:wrap="around" w:vAnchor="page" w:hAnchor="page" w:x="8971" w:y="3222"/>
      <w:tabs>
        <w:tab w:val="left" w:pos="518"/>
      </w:tabs>
      <w:spacing w:line="180" w:lineRule="exact"/>
      <w:suppressOverlap/>
    </w:pPr>
    <w:rPr>
      <w:sz w:val="13"/>
    </w:rPr>
  </w:style>
  <w:style w:type="paragraph" w:customStyle="1" w:styleId="M9">
    <w:name w:val="M9"/>
    <w:basedOn w:val="Normal"/>
    <w:rsid w:val="000B1B97"/>
    <w:pPr>
      <w:framePr w:wrap="around" w:vAnchor="page" w:hAnchor="page" w:x="8971" w:y="3222"/>
      <w:tabs>
        <w:tab w:val="left" w:pos="518"/>
      </w:tabs>
      <w:spacing w:line="180" w:lineRule="exact"/>
      <w:suppressOverlap/>
    </w:pPr>
    <w:rPr>
      <w:sz w:val="13"/>
    </w:rPr>
  </w:style>
  <w:style w:type="paragraph" w:customStyle="1" w:styleId="M10">
    <w:name w:val="M10"/>
    <w:basedOn w:val="Normal"/>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Normal"/>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Normal"/>
    <w:rsid w:val="000B1B97"/>
    <w:pPr>
      <w:framePr w:wrap="around" w:vAnchor="page" w:hAnchor="page" w:x="8971" w:y="3222"/>
      <w:tabs>
        <w:tab w:val="left" w:pos="518"/>
      </w:tabs>
      <w:spacing w:line="180" w:lineRule="exact"/>
      <w:suppressOverlap/>
    </w:pPr>
    <w:rPr>
      <w:sz w:val="13"/>
    </w:rPr>
  </w:style>
  <w:style w:type="paragraph" w:customStyle="1" w:styleId="Default">
    <w:name w:val="Default"/>
    <w:basedOn w:val="Normal"/>
    <w:uiPriority w:val="99"/>
    <w:rsid w:val="00D81FE9"/>
    <w:pPr>
      <w:autoSpaceDE w:val="0"/>
      <w:autoSpaceDN w:val="0"/>
      <w:spacing w:line="240" w:lineRule="auto"/>
    </w:pPr>
    <w:rPr>
      <w:rFonts w:eastAsiaTheme="minorHAnsi" w:cs="Lucida Sans Unicode"/>
      <w:color w:val="000000"/>
      <w:sz w:val="24"/>
    </w:rPr>
  </w:style>
  <w:style w:type="paragraph" w:customStyle="1" w:styleId="TTitleText">
    <w:name w:val="T_Title_Text"/>
    <w:qFormat/>
    <w:rsid w:val="0006608A"/>
    <w:pPr>
      <w:keepNext/>
      <w:spacing w:after="40" w:line="220" w:lineRule="exact"/>
    </w:pPr>
    <w:rPr>
      <w:rFonts w:ascii="Evonik Prokyon Medium" w:eastAsia="Calibri" w:hAnsi="Evonik Prokyon Medium"/>
      <w:b/>
      <w:color w:val="000000"/>
      <w:sz w:val="18"/>
      <w:lang w:val="en-US" w:eastAsia="en-US"/>
    </w:rPr>
  </w:style>
  <w:style w:type="paragraph" w:customStyle="1" w:styleId="THeadfirstNumber">
    <w:name w:val="T_Head_first_Number"/>
    <w:qFormat/>
    <w:rsid w:val="0006608A"/>
    <w:pPr>
      <w:keepNext/>
      <w:spacing w:before="40" w:after="40" w:line="220" w:lineRule="exact"/>
      <w:jc w:val="center"/>
    </w:pPr>
    <w:rPr>
      <w:rFonts w:ascii="Evonik Prokyon" w:eastAsia="Calibri" w:hAnsi="Evonik Prokyon"/>
      <w:color w:val="000000"/>
      <w:sz w:val="14"/>
      <w:lang w:eastAsia="en-US"/>
    </w:rPr>
  </w:style>
  <w:style w:type="paragraph" w:customStyle="1" w:styleId="THeadlastText">
    <w:name w:val="T_Head_last_Text"/>
    <w:qFormat/>
    <w:rsid w:val="0006608A"/>
    <w:pPr>
      <w:keepNext/>
      <w:spacing w:before="40" w:after="40" w:line="220" w:lineRule="exact"/>
    </w:pPr>
    <w:rPr>
      <w:rFonts w:ascii="Evonik Prokyon" w:eastAsia="Calibri" w:hAnsi="Evonik Prokyon"/>
      <w:color w:val="000000"/>
      <w:sz w:val="12"/>
      <w:lang w:eastAsia="en-US"/>
    </w:rPr>
  </w:style>
  <w:style w:type="paragraph" w:customStyle="1" w:styleId="THeadlastNumber">
    <w:name w:val="T_Head_last_Number"/>
    <w:rsid w:val="0006608A"/>
    <w:pPr>
      <w:keepNext/>
      <w:spacing w:before="40" w:after="40" w:line="220" w:lineRule="exact"/>
      <w:ind w:right="57"/>
      <w:jc w:val="right"/>
    </w:pPr>
    <w:rPr>
      <w:rFonts w:ascii="Evonik Prokyon" w:eastAsia="Calibri" w:hAnsi="Evonik Prokyon"/>
      <w:color w:val="991D85"/>
      <w:sz w:val="14"/>
      <w:lang w:eastAsia="en-US"/>
    </w:rPr>
  </w:style>
  <w:style w:type="paragraph" w:customStyle="1" w:styleId="THeadlastNumberbold">
    <w:name w:val="T_Head_last_Number_bold"/>
    <w:qFormat/>
    <w:rsid w:val="0006608A"/>
    <w:pPr>
      <w:keepNext/>
      <w:spacing w:before="40" w:after="40" w:line="220" w:lineRule="exact"/>
      <w:ind w:right="57"/>
      <w:jc w:val="right"/>
    </w:pPr>
    <w:rPr>
      <w:rFonts w:ascii="Evonik Prokyon" w:eastAsia="Calibri" w:hAnsi="Evonik Prokyon"/>
      <w:b/>
      <w:color w:val="991D85"/>
      <w:sz w:val="14"/>
      <w:lang w:eastAsia="en-US"/>
    </w:rPr>
  </w:style>
  <w:style w:type="paragraph" w:customStyle="1" w:styleId="TBodysubtotalText">
    <w:name w:val="T_Body_subtotal_Text"/>
    <w:qFormat/>
    <w:rsid w:val="0006608A"/>
    <w:pPr>
      <w:spacing w:after="40" w:line="220" w:lineRule="exact"/>
    </w:pPr>
    <w:rPr>
      <w:rFonts w:ascii="Evonik Prokyon" w:eastAsia="Calibri" w:hAnsi="Evonik Prokyon"/>
      <w:b/>
      <w:color w:val="000000"/>
      <w:sz w:val="14"/>
      <w:lang w:eastAsia="en-US"/>
    </w:rPr>
  </w:style>
  <w:style w:type="paragraph" w:customStyle="1" w:styleId="THeaddifferenceNumber">
    <w:name w:val="T_Head_difference_Number"/>
    <w:qFormat/>
    <w:rsid w:val="0006608A"/>
    <w:pPr>
      <w:spacing w:after="40"/>
      <w:ind w:right="57"/>
      <w:jc w:val="right"/>
    </w:pPr>
    <w:rPr>
      <w:rFonts w:ascii="Evonik Prokyon" w:hAnsi="Evonik Prokyon"/>
      <w:color w:val="000000"/>
      <w:sz w:val="14"/>
      <w:lang w:eastAsia="en-US"/>
    </w:rPr>
  </w:style>
  <w:style w:type="paragraph" w:customStyle="1" w:styleId="TBodysubtotalNumber">
    <w:name w:val="T_Body_subtotal_Number"/>
    <w:qFormat/>
    <w:rsid w:val="0006608A"/>
    <w:pPr>
      <w:spacing w:after="40" w:line="220" w:lineRule="exact"/>
      <w:ind w:right="57"/>
      <w:jc w:val="right"/>
    </w:pPr>
    <w:rPr>
      <w:rFonts w:ascii="Evonik Prokyon" w:eastAsia="Calibri" w:hAnsi="Evonik Prokyon"/>
      <w:b/>
      <w:color w:val="000000"/>
      <w:sz w:val="14"/>
      <w:lang w:eastAsia="en-US"/>
    </w:rPr>
  </w:style>
  <w:style w:type="paragraph" w:customStyle="1" w:styleId="TBodynormalText">
    <w:name w:val="T_Body_normal_Text"/>
    <w:basedOn w:val="Normal"/>
    <w:qFormat/>
    <w:rsid w:val="0006608A"/>
    <w:pPr>
      <w:keepNext/>
      <w:keepLines/>
      <w:spacing w:after="40" w:line="220" w:lineRule="exact"/>
    </w:pPr>
    <w:rPr>
      <w:rFonts w:ascii="Evonik Prokyon" w:eastAsia="Calibri" w:hAnsi="Evonik Prokyon"/>
      <w:color w:val="000000"/>
      <w:sz w:val="14"/>
      <w:szCs w:val="20"/>
      <w:lang w:eastAsia="en-US"/>
    </w:rPr>
  </w:style>
  <w:style w:type="paragraph" w:customStyle="1" w:styleId="TBodynormalNumber">
    <w:name w:val="T_Body_normal_Number"/>
    <w:qFormat/>
    <w:rsid w:val="0006608A"/>
    <w:pPr>
      <w:spacing w:after="40" w:line="220" w:lineRule="exact"/>
      <w:ind w:right="57"/>
      <w:jc w:val="right"/>
    </w:pPr>
    <w:rPr>
      <w:rFonts w:ascii="Evonik Prokyon" w:eastAsia="Calibri" w:hAnsi="Evonik Prokyon"/>
      <w:color w:val="000000"/>
      <w:sz w:val="14"/>
      <w:lang w:eastAsia="en-US"/>
    </w:rPr>
  </w:style>
  <w:style w:type="paragraph" w:customStyle="1" w:styleId="TDummy">
    <w:name w:val="T_Dummy"/>
    <w:rsid w:val="0006608A"/>
    <w:rPr>
      <w:rFonts w:ascii="Evonik Prokyon" w:eastAsia="Calibri" w:hAnsi="Evonik Prokyon"/>
      <w:color w:val="000000"/>
      <w:sz w:val="4"/>
      <w:lang w:val="en-US" w:eastAsia="en-US"/>
    </w:rPr>
  </w:style>
  <w:style w:type="paragraph" w:customStyle="1" w:styleId="TBodytotalText">
    <w:name w:val="T_Body_total_Text"/>
    <w:qFormat/>
    <w:rsid w:val="00CE10DA"/>
    <w:pPr>
      <w:keepNext/>
      <w:spacing w:after="40" w:line="220" w:lineRule="exact"/>
    </w:pPr>
    <w:rPr>
      <w:rFonts w:ascii="Evonik Prokyon" w:eastAsia="Calibri" w:hAnsi="Evonik Prokyon"/>
      <w:b/>
      <w:color w:val="000000"/>
      <w:sz w:val="14"/>
      <w:lang w:eastAsia="en-US"/>
    </w:rPr>
  </w:style>
  <w:style w:type="paragraph" w:customStyle="1" w:styleId="TBodytotalNumber">
    <w:name w:val="T_Body_total_Number"/>
    <w:qFormat/>
    <w:rsid w:val="00CE10DA"/>
    <w:pPr>
      <w:keepNext/>
      <w:spacing w:after="40" w:line="220" w:lineRule="exact"/>
      <w:ind w:right="57"/>
      <w:jc w:val="right"/>
    </w:pPr>
    <w:rPr>
      <w:rFonts w:ascii="Evonik Prokyon" w:eastAsia="Calibri" w:hAnsi="Evonik Prokyon"/>
      <w:b/>
      <w:color w:val="000000"/>
      <w:sz w:val="14"/>
      <w:lang w:eastAsia="en-US"/>
    </w:rPr>
  </w:style>
  <w:style w:type="paragraph" w:customStyle="1" w:styleId="THeadsingleText">
    <w:name w:val="T_Head_single_Text"/>
    <w:qFormat/>
    <w:rsid w:val="00282723"/>
    <w:pPr>
      <w:keepNext/>
      <w:spacing w:before="40" w:after="40" w:line="220" w:lineRule="exact"/>
    </w:pPr>
    <w:rPr>
      <w:rFonts w:ascii="Evonik Prokyon" w:eastAsia="Calibri" w:hAnsi="Evonik Prokyon"/>
      <w:color w:val="000000"/>
      <w:sz w:val="12"/>
      <w:lang w:eastAsia="en-US"/>
    </w:rPr>
  </w:style>
  <w:style w:type="paragraph" w:customStyle="1" w:styleId="THeadsingleNumber">
    <w:name w:val="T_Head_single_Number"/>
    <w:qFormat/>
    <w:rsid w:val="00282723"/>
    <w:pPr>
      <w:keepNext/>
      <w:spacing w:before="40" w:after="40" w:line="220" w:lineRule="exact"/>
      <w:ind w:right="57"/>
      <w:jc w:val="right"/>
    </w:pPr>
    <w:rPr>
      <w:rFonts w:ascii="Evonik Prokyon" w:eastAsia="Calibri" w:hAnsi="Evonik Prokyon"/>
      <w:color w:val="991D85"/>
      <w:sz w:val="14"/>
      <w:lang w:eastAsia="en-US"/>
    </w:rPr>
  </w:style>
  <w:style w:type="paragraph" w:customStyle="1" w:styleId="THeadsingleNumberbold">
    <w:name w:val="T_Head_single_Number_bold"/>
    <w:qFormat/>
    <w:rsid w:val="00282723"/>
    <w:pPr>
      <w:keepNext/>
      <w:spacing w:before="40" w:after="40" w:line="220" w:lineRule="exact"/>
      <w:ind w:right="57"/>
      <w:jc w:val="right"/>
    </w:pPr>
    <w:rPr>
      <w:rFonts w:ascii="Evonik Prokyon" w:eastAsia="Calibri" w:hAnsi="Evonik Prokyon"/>
      <w:b/>
      <w:color w:val="991D85"/>
      <w:sz w:val="14"/>
      <w:lang w:eastAsia="en-US"/>
    </w:rPr>
  </w:style>
  <w:style w:type="character" w:styleId="CommentReference">
    <w:name w:val="annotation reference"/>
    <w:basedOn w:val="DefaultParagraphFont"/>
    <w:semiHidden/>
    <w:unhideWhenUsed/>
    <w:rsid w:val="00E56426"/>
    <w:rPr>
      <w:sz w:val="16"/>
      <w:szCs w:val="16"/>
    </w:rPr>
  </w:style>
  <w:style w:type="paragraph" w:styleId="CommentText">
    <w:name w:val="annotation text"/>
    <w:basedOn w:val="Normal"/>
    <w:link w:val="CommentTextChar"/>
    <w:semiHidden/>
    <w:unhideWhenUsed/>
    <w:rsid w:val="00E56426"/>
    <w:pPr>
      <w:spacing w:line="240" w:lineRule="auto"/>
    </w:pPr>
    <w:rPr>
      <w:sz w:val="20"/>
      <w:szCs w:val="20"/>
    </w:rPr>
  </w:style>
  <w:style w:type="character" w:customStyle="1" w:styleId="CommentTextChar">
    <w:name w:val="Comment Text Char"/>
    <w:basedOn w:val="DefaultParagraphFont"/>
    <w:link w:val="CommentText"/>
    <w:semiHidden/>
    <w:rsid w:val="00E56426"/>
    <w:rPr>
      <w:rFonts w:ascii="Lucida Sans Unicode" w:hAnsi="Lucida Sans Unicode"/>
    </w:rPr>
  </w:style>
  <w:style w:type="paragraph" w:styleId="CommentSubject">
    <w:name w:val="annotation subject"/>
    <w:basedOn w:val="CommentText"/>
    <w:next w:val="CommentText"/>
    <w:link w:val="CommentSubjectChar"/>
    <w:semiHidden/>
    <w:unhideWhenUsed/>
    <w:rsid w:val="00E56426"/>
    <w:rPr>
      <w:b/>
      <w:bCs/>
    </w:rPr>
  </w:style>
  <w:style w:type="character" w:customStyle="1" w:styleId="CommentSubjectChar">
    <w:name w:val="Comment Subject Char"/>
    <w:basedOn w:val="CommentTextChar"/>
    <w:link w:val="CommentSubject"/>
    <w:semiHidden/>
    <w:rsid w:val="00E56426"/>
    <w:rPr>
      <w:rFonts w:ascii="Lucida Sans Unicode" w:hAnsi="Lucida Sans Unicode"/>
      <w:b/>
      <w:bCs/>
    </w:rPr>
  </w:style>
  <w:style w:type="character" w:styleId="UnresolvedMention">
    <w:name w:val="Unresolved Mention"/>
    <w:basedOn w:val="DefaultParagraphFont"/>
    <w:uiPriority w:val="99"/>
    <w:semiHidden/>
    <w:unhideWhenUsed/>
    <w:rsid w:val="00212D4A"/>
    <w:rPr>
      <w:color w:val="605E5C"/>
      <w:shd w:val="clear" w:color="auto" w:fill="E1DFDD"/>
    </w:rPr>
  </w:style>
  <w:style w:type="paragraph" w:customStyle="1" w:styleId="SNberschrift1">
    <w:name w:val="_SN_Überschrift 1"/>
    <w:basedOn w:val="Normal"/>
    <w:next w:val="Normal"/>
    <w:link w:val="SNberschrift1Zchn"/>
    <w:qFormat/>
    <w:rsid w:val="00C142D6"/>
    <w:pPr>
      <w:keepNext/>
      <w:keepLines/>
      <w:spacing w:before="300" w:after="300" w:line="240" w:lineRule="auto"/>
      <w:outlineLvl w:val="0"/>
    </w:pPr>
    <w:rPr>
      <w:rFonts w:ascii="Evonik Prokyon Medium" w:hAnsi="Evonik Prokyon Medium"/>
      <w:color w:val="991D85"/>
      <w:sz w:val="40"/>
      <w:szCs w:val="20"/>
      <w:lang w:eastAsia="en-US"/>
    </w:rPr>
  </w:style>
  <w:style w:type="character" w:customStyle="1" w:styleId="SNberschrift1Zchn">
    <w:name w:val="_SN_Überschrift 1 Zchn"/>
    <w:link w:val="SNberschrift1"/>
    <w:locked/>
    <w:rsid w:val="00C142D6"/>
    <w:rPr>
      <w:rFonts w:ascii="Evonik Prokyon Medium" w:hAnsi="Evonik Prokyon Medium"/>
      <w:color w:val="991D85"/>
      <w:sz w:val="40"/>
      <w:lang w:eastAsia="en-US"/>
    </w:rPr>
  </w:style>
  <w:style w:type="paragraph" w:customStyle="1" w:styleId="SNEvonikTabellenfu">
    <w:name w:val="_SN_Evonik Tabellenfuß"/>
    <w:basedOn w:val="Normal"/>
    <w:qFormat/>
    <w:rsid w:val="00AC6DC8"/>
    <w:pPr>
      <w:spacing w:before="60" w:line="160" w:lineRule="exact"/>
    </w:pPr>
    <w:rPr>
      <w:rFonts w:ascii="Evonik Prokyon" w:hAnsi="Evonik Prokyon"/>
      <w:sz w:val="12"/>
      <w:szCs w:val="12"/>
      <w:lang w:val="en-US" w:eastAsia="en-US"/>
    </w:rPr>
  </w:style>
  <w:style w:type="paragraph" w:styleId="Revision">
    <w:name w:val="Revision"/>
    <w:hidden/>
    <w:uiPriority w:val="99"/>
    <w:semiHidden/>
    <w:rsid w:val="007E502D"/>
    <w:rPr>
      <w:rFonts w:ascii="Lucida Sans Unicode" w:hAnsi="Lucida Sans Unicode"/>
      <w:sz w:val="22"/>
      <w:szCs w:val="24"/>
    </w:rPr>
  </w:style>
  <w:style w:type="character" w:customStyle="1" w:styleId="tw4winMark">
    <w:name w:val="tw4winMark"/>
    <w:basedOn w:val="DefaultParagraphFont"/>
    <w:rsid w:val="005B6CF4"/>
    <w:rPr>
      <w:rFonts w:ascii="Courier New" w:hAnsi="Courier New" w:cs="Courier New"/>
      <w:b w:val="0"/>
      <w:i w:val="0"/>
      <w:dstrike w:val="0"/>
      <w:noProof/>
      <w:vanish/>
      <w:color w:val="800080"/>
      <w:sz w:val="18"/>
      <w:szCs w:val="20"/>
      <w:u w:val="single"/>
      <w:effect w:val="none"/>
      <w:vertAlign w:val="subscript"/>
      <w:lang w:val="en-US"/>
    </w:rPr>
  </w:style>
  <w:style w:type="character" w:customStyle="1" w:styleId="TitleChar">
    <w:name w:val="Title Char"/>
    <w:basedOn w:val="DefaultParagraphFont"/>
    <w:link w:val="Title"/>
    <w:uiPriority w:val="10"/>
    <w:rsid w:val="00C45FD4"/>
    <w:rPr>
      <w:rFonts w:ascii="Lucida Sans Unicode" w:hAnsi="Lucida Sans Unicode" w:cs="Arial"/>
      <w:b/>
      <w:bCs/>
      <w:kern w:val="28"/>
      <w:sz w:val="24"/>
      <w:szCs w:val="32"/>
    </w:rPr>
  </w:style>
  <w:style w:type="paragraph" w:customStyle="1" w:styleId="TBodyindent5Text">
    <w:name w:val="T_Body_indent5_Text"/>
    <w:rsid w:val="002952A9"/>
    <w:pPr>
      <w:spacing w:after="40" w:line="220" w:lineRule="exact"/>
      <w:ind w:left="227"/>
    </w:pPr>
    <w:rPr>
      <w:rFonts w:ascii="Evonik Prokyon" w:eastAsia="Calibri" w:hAnsi="Evonik Prokyon"/>
      <w:color w:val="6F6F6E"/>
      <w:sz w:val="14"/>
      <w:lang w:val="en-US" w:eastAsia="en-US"/>
    </w:rPr>
  </w:style>
  <w:style w:type="paragraph" w:customStyle="1" w:styleId="TBodyindent3Number">
    <w:name w:val="T_Body_indent3_Number"/>
    <w:rsid w:val="002952A9"/>
    <w:pPr>
      <w:spacing w:after="40" w:line="220" w:lineRule="exact"/>
      <w:ind w:right="57"/>
      <w:jc w:val="right"/>
    </w:pPr>
    <w:rPr>
      <w:rFonts w:ascii="Evonik Prokyon" w:eastAsia="Calibri" w:hAnsi="Evonik Prokyon"/>
      <w:color w:val="6F6F6E"/>
      <w:sz w:val="14"/>
      <w:lang w:val="en-US" w:eastAsia="en-US"/>
    </w:rPr>
  </w:style>
  <w:style w:type="paragraph" w:styleId="z-TopofForm">
    <w:name w:val="HTML Top of Form"/>
    <w:basedOn w:val="Normal"/>
    <w:next w:val="Normal"/>
    <w:link w:val="z-TopofFormChar"/>
    <w:hidden/>
    <w:uiPriority w:val="99"/>
    <w:semiHidden/>
    <w:unhideWhenUsed/>
    <w:rsid w:val="00031010"/>
    <w:pPr>
      <w:pBdr>
        <w:bottom w:val="single" w:sz="6" w:space="1" w:color="auto"/>
      </w:pBdr>
      <w:spacing w:line="240" w:lineRule="auto"/>
      <w:jc w:val="center"/>
    </w:pPr>
    <w:rPr>
      <w:rFonts w:ascii="Arial" w:hAnsi="Arial" w:cs="Arial"/>
      <w:vanish/>
      <w:sz w:val="16"/>
      <w:szCs w:val="16"/>
      <w:lang w:val="pt-BR" w:eastAsia="pt-BR"/>
    </w:rPr>
  </w:style>
  <w:style w:type="character" w:customStyle="1" w:styleId="z-TopofFormChar">
    <w:name w:val="z-Top of Form Char"/>
    <w:basedOn w:val="DefaultParagraphFont"/>
    <w:link w:val="z-TopofForm"/>
    <w:uiPriority w:val="99"/>
    <w:semiHidden/>
    <w:rsid w:val="00031010"/>
    <w:rPr>
      <w:rFonts w:ascii="Arial" w:hAnsi="Arial" w:cs="Arial"/>
      <w:vanish/>
      <w:sz w:val="16"/>
      <w:szCs w:val="16"/>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9043">
      <w:bodyDiv w:val="1"/>
      <w:marLeft w:val="0"/>
      <w:marRight w:val="0"/>
      <w:marTop w:val="0"/>
      <w:marBottom w:val="0"/>
      <w:divBdr>
        <w:top w:val="none" w:sz="0" w:space="0" w:color="auto"/>
        <w:left w:val="none" w:sz="0" w:space="0" w:color="auto"/>
        <w:bottom w:val="none" w:sz="0" w:space="0" w:color="auto"/>
        <w:right w:val="none" w:sz="0" w:space="0" w:color="auto"/>
      </w:divBdr>
    </w:div>
    <w:div w:id="73402142">
      <w:bodyDiv w:val="1"/>
      <w:marLeft w:val="0"/>
      <w:marRight w:val="0"/>
      <w:marTop w:val="0"/>
      <w:marBottom w:val="0"/>
      <w:divBdr>
        <w:top w:val="none" w:sz="0" w:space="0" w:color="auto"/>
        <w:left w:val="none" w:sz="0" w:space="0" w:color="auto"/>
        <w:bottom w:val="none" w:sz="0" w:space="0" w:color="auto"/>
        <w:right w:val="none" w:sz="0" w:space="0" w:color="auto"/>
      </w:divBdr>
      <w:divsChild>
        <w:div w:id="1896041793">
          <w:marLeft w:val="0"/>
          <w:marRight w:val="0"/>
          <w:marTop w:val="0"/>
          <w:marBottom w:val="0"/>
          <w:divBdr>
            <w:top w:val="single" w:sz="2" w:space="0" w:color="E3E3E3"/>
            <w:left w:val="single" w:sz="2" w:space="0" w:color="E3E3E3"/>
            <w:bottom w:val="single" w:sz="2" w:space="0" w:color="E3E3E3"/>
            <w:right w:val="single" w:sz="2" w:space="0" w:color="E3E3E3"/>
          </w:divBdr>
          <w:divsChild>
            <w:div w:id="1037393629">
              <w:marLeft w:val="0"/>
              <w:marRight w:val="0"/>
              <w:marTop w:val="0"/>
              <w:marBottom w:val="0"/>
              <w:divBdr>
                <w:top w:val="single" w:sz="2" w:space="0" w:color="E3E3E3"/>
                <w:left w:val="single" w:sz="2" w:space="0" w:color="E3E3E3"/>
                <w:bottom w:val="single" w:sz="2" w:space="0" w:color="E3E3E3"/>
                <w:right w:val="single" w:sz="2" w:space="0" w:color="E3E3E3"/>
              </w:divBdr>
              <w:divsChild>
                <w:div w:id="953369216">
                  <w:marLeft w:val="0"/>
                  <w:marRight w:val="0"/>
                  <w:marTop w:val="0"/>
                  <w:marBottom w:val="0"/>
                  <w:divBdr>
                    <w:top w:val="single" w:sz="2" w:space="0" w:color="E3E3E3"/>
                    <w:left w:val="single" w:sz="2" w:space="0" w:color="E3E3E3"/>
                    <w:bottom w:val="single" w:sz="2" w:space="0" w:color="E3E3E3"/>
                    <w:right w:val="single" w:sz="2" w:space="0" w:color="E3E3E3"/>
                  </w:divBdr>
                  <w:divsChild>
                    <w:div w:id="111242456">
                      <w:marLeft w:val="0"/>
                      <w:marRight w:val="0"/>
                      <w:marTop w:val="0"/>
                      <w:marBottom w:val="0"/>
                      <w:divBdr>
                        <w:top w:val="single" w:sz="2" w:space="0" w:color="E3E3E3"/>
                        <w:left w:val="single" w:sz="2" w:space="0" w:color="E3E3E3"/>
                        <w:bottom w:val="single" w:sz="2" w:space="0" w:color="E3E3E3"/>
                        <w:right w:val="single" w:sz="2" w:space="0" w:color="E3E3E3"/>
                      </w:divBdr>
                      <w:divsChild>
                        <w:div w:id="1425492046">
                          <w:marLeft w:val="0"/>
                          <w:marRight w:val="0"/>
                          <w:marTop w:val="0"/>
                          <w:marBottom w:val="0"/>
                          <w:divBdr>
                            <w:top w:val="single" w:sz="2" w:space="0" w:color="E3E3E3"/>
                            <w:left w:val="single" w:sz="2" w:space="0" w:color="E3E3E3"/>
                            <w:bottom w:val="single" w:sz="2" w:space="0" w:color="E3E3E3"/>
                            <w:right w:val="single" w:sz="2" w:space="0" w:color="E3E3E3"/>
                          </w:divBdr>
                          <w:divsChild>
                            <w:div w:id="1998683280">
                              <w:marLeft w:val="0"/>
                              <w:marRight w:val="0"/>
                              <w:marTop w:val="100"/>
                              <w:marBottom w:val="100"/>
                              <w:divBdr>
                                <w:top w:val="single" w:sz="2" w:space="0" w:color="E3E3E3"/>
                                <w:left w:val="single" w:sz="2" w:space="0" w:color="E3E3E3"/>
                                <w:bottom w:val="single" w:sz="2" w:space="0" w:color="E3E3E3"/>
                                <w:right w:val="single" w:sz="2" w:space="0" w:color="E3E3E3"/>
                              </w:divBdr>
                              <w:divsChild>
                                <w:div w:id="1071536844">
                                  <w:marLeft w:val="0"/>
                                  <w:marRight w:val="0"/>
                                  <w:marTop w:val="0"/>
                                  <w:marBottom w:val="0"/>
                                  <w:divBdr>
                                    <w:top w:val="single" w:sz="2" w:space="0" w:color="E3E3E3"/>
                                    <w:left w:val="single" w:sz="2" w:space="0" w:color="E3E3E3"/>
                                    <w:bottom w:val="single" w:sz="2" w:space="0" w:color="E3E3E3"/>
                                    <w:right w:val="single" w:sz="2" w:space="0" w:color="E3E3E3"/>
                                  </w:divBdr>
                                  <w:divsChild>
                                    <w:div w:id="536814149">
                                      <w:marLeft w:val="0"/>
                                      <w:marRight w:val="0"/>
                                      <w:marTop w:val="0"/>
                                      <w:marBottom w:val="0"/>
                                      <w:divBdr>
                                        <w:top w:val="single" w:sz="2" w:space="0" w:color="E3E3E3"/>
                                        <w:left w:val="single" w:sz="2" w:space="0" w:color="E3E3E3"/>
                                        <w:bottom w:val="single" w:sz="2" w:space="0" w:color="E3E3E3"/>
                                        <w:right w:val="single" w:sz="2" w:space="0" w:color="E3E3E3"/>
                                      </w:divBdr>
                                      <w:divsChild>
                                        <w:div w:id="786780140">
                                          <w:marLeft w:val="0"/>
                                          <w:marRight w:val="0"/>
                                          <w:marTop w:val="0"/>
                                          <w:marBottom w:val="0"/>
                                          <w:divBdr>
                                            <w:top w:val="single" w:sz="2" w:space="0" w:color="E3E3E3"/>
                                            <w:left w:val="single" w:sz="2" w:space="0" w:color="E3E3E3"/>
                                            <w:bottom w:val="single" w:sz="2" w:space="0" w:color="E3E3E3"/>
                                            <w:right w:val="single" w:sz="2" w:space="0" w:color="E3E3E3"/>
                                          </w:divBdr>
                                          <w:divsChild>
                                            <w:div w:id="238560987">
                                              <w:marLeft w:val="0"/>
                                              <w:marRight w:val="0"/>
                                              <w:marTop w:val="0"/>
                                              <w:marBottom w:val="0"/>
                                              <w:divBdr>
                                                <w:top w:val="single" w:sz="2" w:space="0" w:color="E3E3E3"/>
                                                <w:left w:val="single" w:sz="2" w:space="0" w:color="E3E3E3"/>
                                                <w:bottom w:val="single" w:sz="2" w:space="0" w:color="E3E3E3"/>
                                                <w:right w:val="single" w:sz="2" w:space="0" w:color="E3E3E3"/>
                                              </w:divBdr>
                                              <w:divsChild>
                                                <w:div w:id="809522582">
                                                  <w:marLeft w:val="0"/>
                                                  <w:marRight w:val="0"/>
                                                  <w:marTop w:val="0"/>
                                                  <w:marBottom w:val="0"/>
                                                  <w:divBdr>
                                                    <w:top w:val="single" w:sz="2" w:space="0" w:color="E3E3E3"/>
                                                    <w:left w:val="single" w:sz="2" w:space="0" w:color="E3E3E3"/>
                                                    <w:bottom w:val="single" w:sz="2" w:space="0" w:color="E3E3E3"/>
                                                    <w:right w:val="single" w:sz="2" w:space="0" w:color="E3E3E3"/>
                                                  </w:divBdr>
                                                  <w:divsChild>
                                                    <w:div w:id="6446216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94656974">
          <w:marLeft w:val="0"/>
          <w:marRight w:val="0"/>
          <w:marTop w:val="0"/>
          <w:marBottom w:val="0"/>
          <w:divBdr>
            <w:top w:val="none" w:sz="0" w:space="0" w:color="auto"/>
            <w:left w:val="none" w:sz="0" w:space="0" w:color="auto"/>
            <w:bottom w:val="none" w:sz="0" w:space="0" w:color="auto"/>
            <w:right w:val="none" w:sz="0" w:space="0" w:color="auto"/>
          </w:divBdr>
        </w:div>
      </w:divsChild>
    </w:div>
    <w:div w:id="80101849">
      <w:bodyDiv w:val="1"/>
      <w:marLeft w:val="0"/>
      <w:marRight w:val="0"/>
      <w:marTop w:val="0"/>
      <w:marBottom w:val="0"/>
      <w:divBdr>
        <w:top w:val="none" w:sz="0" w:space="0" w:color="auto"/>
        <w:left w:val="none" w:sz="0" w:space="0" w:color="auto"/>
        <w:bottom w:val="none" w:sz="0" w:space="0" w:color="auto"/>
        <w:right w:val="none" w:sz="0" w:space="0" w:color="auto"/>
      </w:divBdr>
    </w:div>
    <w:div w:id="205065709">
      <w:bodyDiv w:val="1"/>
      <w:marLeft w:val="0"/>
      <w:marRight w:val="0"/>
      <w:marTop w:val="0"/>
      <w:marBottom w:val="0"/>
      <w:divBdr>
        <w:top w:val="none" w:sz="0" w:space="0" w:color="auto"/>
        <w:left w:val="none" w:sz="0" w:space="0" w:color="auto"/>
        <w:bottom w:val="none" w:sz="0" w:space="0" w:color="auto"/>
        <w:right w:val="none" w:sz="0" w:space="0" w:color="auto"/>
      </w:divBdr>
    </w:div>
    <w:div w:id="304508346">
      <w:bodyDiv w:val="1"/>
      <w:marLeft w:val="0"/>
      <w:marRight w:val="0"/>
      <w:marTop w:val="0"/>
      <w:marBottom w:val="0"/>
      <w:divBdr>
        <w:top w:val="none" w:sz="0" w:space="0" w:color="auto"/>
        <w:left w:val="none" w:sz="0" w:space="0" w:color="auto"/>
        <w:bottom w:val="none" w:sz="0" w:space="0" w:color="auto"/>
        <w:right w:val="none" w:sz="0" w:space="0" w:color="auto"/>
      </w:divBdr>
      <w:divsChild>
        <w:div w:id="1594128132">
          <w:marLeft w:val="0"/>
          <w:marRight w:val="0"/>
          <w:marTop w:val="0"/>
          <w:marBottom w:val="0"/>
          <w:divBdr>
            <w:top w:val="none" w:sz="0" w:space="0" w:color="auto"/>
            <w:left w:val="none" w:sz="0" w:space="0" w:color="auto"/>
            <w:bottom w:val="none" w:sz="0" w:space="0" w:color="auto"/>
            <w:right w:val="none" w:sz="0" w:space="0" w:color="auto"/>
          </w:divBdr>
          <w:divsChild>
            <w:div w:id="152261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339873">
      <w:bodyDiv w:val="1"/>
      <w:marLeft w:val="0"/>
      <w:marRight w:val="0"/>
      <w:marTop w:val="0"/>
      <w:marBottom w:val="0"/>
      <w:divBdr>
        <w:top w:val="none" w:sz="0" w:space="0" w:color="auto"/>
        <w:left w:val="none" w:sz="0" w:space="0" w:color="auto"/>
        <w:bottom w:val="none" w:sz="0" w:space="0" w:color="auto"/>
        <w:right w:val="none" w:sz="0" w:space="0" w:color="auto"/>
      </w:divBdr>
    </w:div>
    <w:div w:id="479538026">
      <w:bodyDiv w:val="1"/>
      <w:marLeft w:val="0"/>
      <w:marRight w:val="0"/>
      <w:marTop w:val="0"/>
      <w:marBottom w:val="0"/>
      <w:divBdr>
        <w:top w:val="none" w:sz="0" w:space="0" w:color="auto"/>
        <w:left w:val="none" w:sz="0" w:space="0" w:color="auto"/>
        <w:bottom w:val="none" w:sz="0" w:space="0" w:color="auto"/>
        <w:right w:val="none" w:sz="0" w:space="0" w:color="auto"/>
      </w:divBdr>
      <w:divsChild>
        <w:div w:id="1453859628">
          <w:marLeft w:val="0"/>
          <w:marRight w:val="0"/>
          <w:marTop w:val="0"/>
          <w:marBottom w:val="0"/>
          <w:divBdr>
            <w:top w:val="single" w:sz="2" w:space="0" w:color="E3E3E3"/>
            <w:left w:val="single" w:sz="2" w:space="0" w:color="E3E3E3"/>
            <w:bottom w:val="single" w:sz="2" w:space="0" w:color="E3E3E3"/>
            <w:right w:val="single" w:sz="2" w:space="0" w:color="E3E3E3"/>
          </w:divBdr>
          <w:divsChild>
            <w:div w:id="544831488">
              <w:marLeft w:val="0"/>
              <w:marRight w:val="0"/>
              <w:marTop w:val="0"/>
              <w:marBottom w:val="0"/>
              <w:divBdr>
                <w:top w:val="single" w:sz="2" w:space="0" w:color="E3E3E3"/>
                <w:left w:val="single" w:sz="2" w:space="0" w:color="E3E3E3"/>
                <w:bottom w:val="single" w:sz="2" w:space="0" w:color="E3E3E3"/>
                <w:right w:val="single" w:sz="2" w:space="0" w:color="E3E3E3"/>
              </w:divBdr>
              <w:divsChild>
                <w:div w:id="556165505">
                  <w:marLeft w:val="0"/>
                  <w:marRight w:val="0"/>
                  <w:marTop w:val="0"/>
                  <w:marBottom w:val="0"/>
                  <w:divBdr>
                    <w:top w:val="single" w:sz="2" w:space="0" w:color="E3E3E3"/>
                    <w:left w:val="single" w:sz="2" w:space="0" w:color="E3E3E3"/>
                    <w:bottom w:val="single" w:sz="2" w:space="0" w:color="E3E3E3"/>
                    <w:right w:val="single" w:sz="2" w:space="0" w:color="E3E3E3"/>
                  </w:divBdr>
                  <w:divsChild>
                    <w:div w:id="1994992087">
                      <w:marLeft w:val="0"/>
                      <w:marRight w:val="0"/>
                      <w:marTop w:val="0"/>
                      <w:marBottom w:val="0"/>
                      <w:divBdr>
                        <w:top w:val="single" w:sz="2" w:space="0" w:color="E3E3E3"/>
                        <w:left w:val="single" w:sz="2" w:space="0" w:color="E3E3E3"/>
                        <w:bottom w:val="single" w:sz="2" w:space="0" w:color="E3E3E3"/>
                        <w:right w:val="single" w:sz="2" w:space="0" w:color="E3E3E3"/>
                      </w:divBdr>
                      <w:divsChild>
                        <w:div w:id="1226918807">
                          <w:marLeft w:val="0"/>
                          <w:marRight w:val="0"/>
                          <w:marTop w:val="0"/>
                          <w:marBottom w:val="0"/>
                          <w:divBdr>
                            <w:top w:val="single" w:sz="2" w:space="0" w:color="E3E3E3"/>
                            <w:left w:val="single" w:sz="2" w:space="0" w:color="E3E3E3"/>
                            <w:bottom w:val="single" w:sz="2" w:space="0" w:color="E3E3E3"/>
                            <w:right w:val="single" w:sz="2" w:space="0" w:color="E3E3E3"/>
                          </w:divBdr>
                          <w:divsChild>
                            <w:div w:id="2067216109">
                              <w:marLeft w:val="0"/>
                              <w:marRight w:val="0"/>
                              <w:marTop w:val="100"/>
                              <w:marBottom w:val="100"/>
                              <w:divBdr>
                                <w:top w:val="single" w:sz="2" w:space="0" w:color="E3E3E3"/>
                                <w:left w:val="single" w:sz="2" w:space="0" w:color="E3E3E3"/>
                                <w:bottom w:val="single" w:sz="2" w:space="0" w:color="E3E3E3"/>
                                <w:right w:val="single" w:sz="2" w:space="0" w:color="E3E3E3"/>
                              </w:divBdr>
                              <w:divsChild>
                                <w:div w:id="779447670">
                                  <w:marLeft w:val="0"/>
                                  <w:marRight w:val="0"/>
                                  <w:marTop w:val="0"/>
                                  <w:marBottom w:val="0"/>
                                  <w:divBdr>
                                    <w:top w:val="single" w:sz="2" w:space="0" w:color="E3E3E3"/>
                                    <w:left w:val="single" w:sz="2" w:space="0" w:color="E3E3E3"/>
                                    <w:bottom w:val="single" w:sz="2" w:space="0" w:color="E3E3E3"/>
                                    <w:right w:val="single" w:sz="2" w:space="0" w:color="E3E3E3"/>
                                  </w:divBdr>
                                  <w:divsChild>
                                    <w:div w:id="1607931710">
                                      <w:marLeft w:val="0"/>
                                      <w:marRight w:val="0"/>
                                      <w:marTop w:val="0"/>
                                      <w:marBottom w:val="0"/>
                                      <w:divBdr>
                                        <w:top w:val="single" w:sz="2" w:space="0" w:color="E3E3E3"/>
                                        <w:left w:val="single" w:sz="2" w:space="0" w:color="E3E3E3"/>
                                        <w:bottom w:val="single" w:sz="2" w:space="0" w:color="E3E3E3"/>
                                        <w:right w:val="single" w:sz="2" w:space="0" w:color="E3E3E3"/>
                                      </w:divBdr>
                                      <w:divsChild>
                                        <w:div w:id="409349572">
                                          <w:marLeft w:val="0"/>
                                          <w:marRight w:val="0"/>
                                          <w:marTop w:val="0"/>
                                          <w:marBottom w:val="0"/>
                                          <w:divBdr>
                                            <w:top w:val="single" w:sz="2" w:space="0" w:color="E3E3E3"/>
                                            <w:left w:val="single" w:sz="2" w:space="0" w:color="E3E3E3"/>
                                            <w:bottom w:val="single" w:sz="2" w:space="0" w:color="E3E3E3"/>
                                            <w:right w:val="single" w:sz="2" w:space="0" w:color="E3E3E3"/>
                                          </w:divBdr>
                                          <w:divsChild>
                                            <w:div w:id="1782145148">
                                              <w:marLeft w:val="0"/>
                                              <w:marRight w:val="0"/>
                                              <w:marTop w:val="0"/>
                                              <w:marBottom w:val="0"/>
                                              <w:divBdr>
                                                <w:top w:val="single" w:sz="2" w:space="0" w:color="E3E3E3"/>
                                                <w:left w:val="single" w:sz="2" w:space="0" w:color="E3E3E3"/>
                                                <w:bottom w:val="single" w:sz="2" w:space="0" w:color="E3E3E3"/>
                                                <w:right w:val="single" w:sz="2" w:space="0" w:color="E3E3E3"/>
                                              </w:divBdr>
                                              <w:divsChild>
                                                <w:div w:id="1975333601">
                                                  <w:marLeft w:val="0"/>
                                                  <w:marRight w:val="0"/>
                                                  <w:marTop w:val="0"/>
                                                  <w:marBottom w:val="0"/>
                                                  <w:divBdr>
                                                    <w:top w:val="single" w:sz="2" w:space="0" w:color="E3E3E3"/>
                                                    <w:left w:val="single" w:sz="2" w:space="0" w:color="E3E3E3"/>
                                                    <w:bottom w:val="single" w:sz="2" w:space="0" w:color="E3E3E3"/>
                                                    <w:right w:val="single" w:sz="2" w:space="0" w:color="E3E3E3"/>
                                                  </w:divBdr>
                                                  <w:divsChild>
                                                    <w:div w:id="485724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422995322">
          <w:marLeft w:val="0"/>
          <w:marRight w:val="0"/>
          <w:marTop w:val="0"/>
          <w:marBottom w:val="0"/>
          <w:divBdr>
            <w:top w:val="none" w:sz="0" w:space="0" w:color="auto"/>
            <w:left w:val="none" w:sz="0" w:space="0" w:color="auto"/>
            <w:bottom w:val="none" w:sz="0" w:space="0" w:color="auto"/>
            <w:right w:val="none" w:sz="0" w:space="0" w:color="auto"/>
          </w:divBdr>
        </w:div>
      </w:divsChild>
    </w:div>
    <w:div w:id="739526639">
      <w:bodyDiv w:val="1"/>
      <w:marLeft w:val="0"/>
      <w:marRight w:val="0"/>
      <w:marTop w:val="0"/>
      <w:marBottom w:val="0"/>
      <w:divBdr>
        <w:top w:val="none" w:sz="0" w:space="0" w:color="auto"/>
        <w:left w:val="none" w:sz="0" w:space="0" w:color="auto"/>
        <w:bottom w:val="none" w:sz="0" w:space="0" w:color="auto"/>
        <w:right w:val="none" w:sz="0" w:space="0" w:color="auto"/>
      </w:divBdr>
    </w:div>
    <w:div w:id="918247298">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297679764">
      <w:bodyDiv w:val="1"/>
      <w:marLeft w:val="0"/>
      <w:marRight w:val="0"/>
      <w:marTop w:val="0"/>
      <w:marBottom w:val="0"/>
      <w:divBdr>
        <w:top w:val="none" w:sz="0" w:space="0" w:color="auto"/>
        <w:left w:val="none" w:sz="0" w:space="0" w:color="auto"/>
        <w:bottom w:val="none" w:sz="0" w:space="0" w:color="auto"/>
        <w:right w:val="none" w:sz="0" w:space="0" w:color="auto"/>
      </w:divBdr>
      <w:divsChild>
        <w:div w:id="611013963">
          <w:marLeft w:val="0"/>
          <w:marRight w:val="0"/>
          <w:marTop w:val="0"/>
          <w:marBottom w:val="0"/>
          <w:divBdr>
            <w:top w:val="single" w:sz="2" w:space="0" w:color="E3E3E3"/>
            <w:left w:val="single" w:sz="2" w:space="0" w:color="E3E3E3"/>
            <w:bottom w:val="single" w:sz="2" w:space="0" w:color="E3E3E3"/>
            <w:right w:val="single" w:sz="2" w:space="0" w:color="E3E3E3"/>
          </w:divBdr>
          <w:divsChild>
            <w:div w:id="1558855869">
              <w:marLeft w:val="0"/>
              <w:marRight w:val="0"/>
              <w:marTop w:val="100"/>
              <w:marBottom w:val="100"/>
              <w:divBdr>
                <w:top w:val="single" w:sz="2" w:space="0" w:color="E3E3E3"/>
                <w:left w:val="single" w:sz="2" w:space="0" w:color="E3E3E3"/>
                <w:bottom w:val="single" w:sz="2" w:space="0" w:color="E3E3E3"/>
                <w:right w:val="single" w:sz="2" w:space="0" w:color="E3E3E3"/>
              </w:divBdr>
              <w:divsChild>
                <w:div w:id="1612202087">
                  <w:marLeft w:val="0"/>
                  <w:marRight w:val="0"/>
                  <w:marTop w:val="0"/>
                  <w:marBottom w:val="0"/>
                  <w:divBdr>
                    <w:top w:val="single" w:sz="2" w:space="0" w:color="E3E3E3"/>
                    <w:left w:val="single" w:sz="2" w:space="0" w:color="E3E3E3"/>
                    <w:bottom w:val="single" w:sz="2" w:space="0" w:color="E3E3E3"/>
                    <w:right w:val="single" w:sz="2" w:space="0" w:color="E3E3E3"/>
                  </w:divBdr>
                  <w:divsChild>
                    <w:div w:id="1601719220">
                      <w:marLeft w:val="0"/>
                      <w:marRight w:val="0"/>
                      <w:marTop w:val="0"/>
                      <w:marBottom w:val="0"/>
                      <w:divBdr>
                        <w:top w:val="single" w:sz="2" w:space="0" w:color="E3E3E3"/>
                        <w:left w:val="single" w:sz="2" w:space="0" w:color="E3E3E3"/>
                        <w:bottom w:val="single" w:sz="2" w:space="0" w:color="E3E3E3"/>
                        <w:right w:val="single" w:sz="2" w:space="0" w:color="E3E3E3"/>
                      </w:divBdr>
                      <w:divsChild>
                        <w:div w:id="1103771020">
                          <w:marLeft w:val="0"/>
                          <w:marRight w:val="0"/>
                          <w:marTop w:val="0"/>
                          <w:marBottom w:val="0"/>
                          <w:divBdr>
                            <w:top w:val="single" w:sz="2" w:space="0" w:color="E3E3E3"/>
                            <w:left w:val="single" w:sz="2" w:space="0" w:color="E3E3E3"/>
                            <w:bottom w:val="single" w:sz="2" w:space="0" w:color="E3E3E3"/>
                            <w:right w:val="single" w:sz="2" w:space="0" w:color="E3E3E3"/>
                          </w:divBdr>
                          <w:divsChild>
                            <w:div w:id="1377586079">
                              <w:marLeft w:val="0"/>
                              <w:marRight w:val="0"/>
                              <w:marTop w:val="0"/>
                              <w:marBottom w:val="0"/>
                              <w:divBdr>
                                <w:top w:val="single" w:sz="2" w:space="0" w:color="E3E3E3"/>
                                <w:left w:val="single" w:sz="2" w:space="0" w:color="E3E3E3"/>
                                <w:bottom w:val="single" w:sz="2" w:space="0" w:color="E3E3E3"/>
                                <w:right w:val="single" w:sz="2" w:space="0" w:color="E3E3E3"/>
                              </w:divBdr>
                              <w:divsChild>
                                <w:div w:id="223689204">
                                  <w:marLeft w:val="0"/>
                                  <w:marRight w:val="0"/>
                                  <w:marTop w:val="0"/>
                                  <w:marBottom w:val="0"/>
                                  <w:divBdr>
                                    <w:top w:val="single" w:sz="2" w:space="0" w:color="E3E3E3"/>
                                    <w:left w:val="single" w:sz="2" w:space="0" w:color="E3E3E3"/>
                                    <w:bottom w:val="single" w:sz="2" w:space="0" w:color="E3E3E3"/>
                                    <w:right w:val="single" w:sz="2" w:space="0" w:color="E3E3E3"/>
                                  </w:divBdr>
                                  <w:divsChild>
                                    <w:div w:id="9352101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402753771">
      <w:bodyDiv w:val="1"/>
      <w:marLeft w:val="0"/>
      <w:marRight w:val="0"/>
      <w:marTop w:val="0"/>
      <w:marBottom w:val="0"/>
      <w:divBdr>
        <w:top w:val="none" w:sz="0" w:space="0" w:color="auto"/>
        <w:left w:val="none" w:sz="0" w:space="0" w:color="auto"/>
        <w:bottom w:val="none" w:sz="0" w:space="0" w:color="auto"/>
        <w:right w:val="none" w:sz="0" w:space="0" w:color="auto"/>
      </w:divBdr>
      <w:divsChild>
        <w:div w:id="1893228774">
          <w:marLeft w:val="0"/>
          <w:marRight w:val="0"/>
          <w:marTop w:val="0"/>
          <w:marBottom w:val="0"/>
          <w:divBdr>
            <w:top w:val="single" w:sz="2" w:space="0" w:color="E3E3E3"/>
            <w:left w:val="single" w:sz="2" w:space="0" w:color="E3E3E3"/>
            <w:bottom w:val="single" w:sz="2" w:space="0" w:color="E3E3E3"/>
            <w:right w:val="single" w:sz="2" w:space="0" w:color="E3E3E3"/>
          </w:divBdr>
          <w:divsChild>
            <w:div w:id="934246071">
              <w:marLeft w:val="0"/>
              <w:marRight w:val="0"/>
              <w:marTop w:val="0"/>
              <w:marBottom w:val="0"/>
              <w:divBdr>
                <w:top w:val="single" w:sz="2" w:space="0" w:color="E3E3E3"/>
                <w:left w:val="single" w:sz="2" w:space="0" w:color="E3E3E3"/>
                <w:bottom w:val="single" w:sz="2" w:space="0" w:color="E3E3E3"/>
                <w:right w:val="single" w:sz="2" w:space="0" w:color="E3E3E3"/>
              </w:divBdr>
              <w:divsChild>
                <w:div w:id="1093091114">
                  <w:marLeft w:val="0"/>
                  <w:marRight w:val="0"/>
                  <w:marTop w:val="0"/>
                  <w:marBottom w:val="0"/>
                  <w:divBdr>
                    <w:top w:val="single" w:sz="2" w:space="0" w:color="E3E3E3"/>
                    <w:left w:val="single" w:sz="2" w:space="0" w:color="E3E3E3"/>
                    <w:bottom w:val="single" w:sz="2" w:space="0" w:color="E3E3E3"/>
                    <w:right w:val="single" w:sz="2" w:space="0" w:color="E3E3E3"/>
                  </w:divBdr>
                  <w:divsChild>
                    <w:div w:id="1412392211">
                      <w:marLeft w:val="0"/>
                      <w:marRight w:val="0"/>
                      <w:marTop w:val="0"/>
                      <w:marBottom w:val="0"/>
                      <w:divBdr>
                        <w:top w:val="single" w:sz="2" w:space="0" w:color="E3E3E3"/>
                        <w:left w:val="single" w:sz="2" w:space="0" w:color="E3E3E3"/>
                        <w:bottom w:val="single" w:sz="2" w:space="0" w:color="E3E3E3"/>
                        <w:right w:val="single" w:sz="2" w:space="0" w:color="E3E3E3"/>
                      </w:divBdr>
                      <w:divsChild>
                        <w:div w:id="259066813">
                          <w:marLeft w:val="0"/>
                          <w:marRight w:val="0"/>
                          <w:marTop w:val="0"/>
                          <w:marBottom w:val="0"/>
                          <w:divBdr>
                            <w:top w:val="single" w:sz="2" w:space="0" w:color="E3E3E3"/>
                            <w:left w:val="single" w:sz="2" w:space="0" w:color="E3E3E3"/>
                            <w:bottom w:val="single" w:sz="2" w:space="0" w:color="E3E3E3"/>
                            <w:right w:val="single" w:sz="2" w:space="0" w:color="E3E3E3"/>
                          </w:divBdr>
                          <w:divsChild>
                            <w:div w:id="1325937301">
                              <w:marLeft w:val="0"/>
                              <w:marRight w:val="0"/>
                              <w:marTop w:val="100"/>
                              <w:marBottom w:val="100"/>
                              <w:divBdr>
                                <w:top w:val="single" w:sz="2" w:space="0" w:color="E3E3E3"/>
                                <w:left w:val="single" w:sz="2" w:space="0" w:color="E3E3E3"/>
                                <w:bottom w:val="single" w:sz="2" w:space="0" w:color="E3E3E3"/>
                                <w:right w:val="single" w:sz="2" w:space="0" w:color="E3E3E3"/>
                              </w:divBdr>
                              <w:divsChild>
                                <w:div w:id="645009488">
                                  <w:marLeft w:val="0"/>
                                  <w:marRight w:val="0"/>
                                  <w:marTop w:val="0"/>
                                  <w:marBottom w:val="0"/>
                                  <w:divBdr>
                                    <w:top w:val="single" w:sz="2" w:space="0" w:color="E3E3E3"/>
                                    <w:left w:val="single" w:sz="2" w:space="0" w:color="E3E3E3"/>
                                    <w:bottom w:val="single" w:sz="2" w:space="0" w:color="E3E3E3"/>
                                    <w:right w:val="single" w:sz="2" w:space="0" w:color="E3E3E3"/>
                                  </w:divBdr>
                                  <w:divsChild>
                                    <w:div w:id="1407992414">
                                      <w:marLeft w:val="0"/>
                                      <w:marRight w:val="0"/>
                                      <w:marTop w:val="0"/>
                                      <w:marBottom w:val="0"/>
                                      <w:divBdr>
                                        <w:top w:val="single" w:sz="2" w:space="0" w:color="E3E3E3"/>
                                        <w:left w:val="single" w:sz="2" w:space="0" w:color="E3E3E3"/>
                                        <w:bottom w:val="single" w:sz="2" w:space="0" w:color="E3E3E3"/>
                                        <w:right w:val="single" w:sz="2" w:space="0" w:color="E3E3E3"/>
                                      </w:divBdr>
                                      <w:divsChild>
                                        <w:div w:id="1222332404">
                                          <w:marLeft w:val="0"/>
                                          <w:marRight w:val="0"/>
                                          <w:marTop w:val="0"/>
                                          <w:marBottom w:val="0"/>
                                          <w:divBdr>
                                            <w:top w:val="single" w:sz="2" w:space="0" w:color="E3E3E3"/>
                                            <w:left w:val="single" w:sz="2" w:space="0" w:color="E3E3E3"/>
                                            <w:bottom w:val="single" w:sz="2" w:space="0" w:color="E3E3E3"/>
                                            <w:right w:val="single" w:sz="2" w:space="0" w:color="E3E3E3"/>
                                          </w:divBdr>
                                          <w:divsChild>
                                            <w:div w:id="2033795212">
                                              <w:marLeft w:val="0"/>
                                              <w:marRight w:val="0"/>
                                              <w:marTop w:val="0"/>
                                              <w:marBottom w:val="0"/>
                                              <w:divBdr>
                                                <w:top w:val="single" w:sz="2" w:space="0" w:color="E3E3E3"/>
                                                <w:left w:val="single" w:sz="2" w:space="0" w:color="E3E3E3"/>
                                                <w:bottom w:val="single" w:sz="2" w:space="0" w:color="E3E3E3"/>
                                                <w:right w:val="single" w:sz="2" w:space="0" w:color="E3E3E3"/>
                                              </w:divBdr>
                                              <w:divsChild>
                                                <w:div w:id="1928342471">
                                                  <w:marLeft w:val="0"/>
                                                  <w:marRight w:val="0"/>
                                                  <w:marTop w:val="0"/>
                                                  <w:marBottom w:val="0"/>
                                                  <w:divBdr>
                                                    <w:top w:val="single" w:sz="2" w:space="0" w:color="E3E3E3"/>
                                                    <w:left w:val="single" w:sz="2" w:space="0" w:color="E3E3E3"/>
                                                    <w:bottom w:val="single" w:sz="2" w:space="0" w:color="E3E3E3"/>
                                                    <w:right w:val="single" w:sz="2" w:space="0" w:color="E3E3E3"/>
                                                  </w:divBdr>
                                                  <w:divsChild>
                                                    <w:div w:id="17010088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1706234">
          <w:marLeft w:val="0"/>
          <w:marRight w:val="0"/>
          <w:marTop w:val="0"/>
          <w:marBottom w:val="0"/>
          <w:divBdr>
            <w:top w:val="none" w:sz="0" w:space="0" w:color="auto"/>
            <w:left w:val="none" w:sz="0" w:space="0" w:color="auto"/>
            <w:bottom w:val="none" w:sz="0" w:space="0" w:color="auto"/>
            <w:right w:val="none" w:sz="0" w:space="0" w:color="auto"/>
          </w:divBdr>
        </w:div>
      </w:divsChild>
    </w:div>
    <w:div w:id="1455833165">
      <w:bodyDiv w:val="1"/>
      <w:marLeft w:val="0"/>
      <w:marRight w:val="0"/>
      <w:marTop w:val="0"/>
      <w:marBottom w:val="0"/>
      <w:divBdr>
        <w:top w:val="none" w:sz="0" w:space="0" w:color="auto"/>
        <w:left w:val="none" w:sz="0" w:space="0" w:color="auto"/>
        <w:bottom w:val="none" w:sz="0" w:space="0" w:color="auto"/>
        <w:right w:val="none" w:sz="0" w:space="0" w:color="auto"/>
      </w:divBdr>
    </w:div>
    <w:div w:id="1590306707">
      <w:bodyDiv w:val="1"/>
      <w:marLeft w:val="0"/>
      <w:marRight w:val="0"/>
      <w:marTop w:val="0"/>
      <w:marBottom w:val="0"/>
      <w:divBdr>
        <w:top w:val="none" w:sz="0" w:space="0" w:color="auto"/>
        <w:left w:val="none" w:sz="0" w:space="0" w:color="auto"/>
        <w:bottom w:val="none" w:sz="0" w:space="0" w:color="auto"/>
        <w:right w:val="none" w:sz="0" w:space="0" w:color="auto"/>
      </w:divBdr>
    </w:div>
    <w:div w:id="1637905313">
      <w:bodyDiv w:val="1"/>
      <w:marLeft w:val="0"/>
      <w:marRight w:val="0"/>
      <w:marTop w:val="0"/>
      <w:marBottom w:val="0"/>
      <w:divBdr>
        <w:top w:val="none" w:sz="0" w:space="0" w:color="auto"/>
        <w:left w:val="none" w:sz="0" w:space="0" w:color="auto"/>
        <w:bottom w:val="none" w:sz="0" w:space="0" w:color="auto"/>
        <w:right w:val="none" w:sz="0" w:space="0" w:color="auto"/>
      </w:divBdr>
    </w:div>
    <w:div w:id="1947536857">
      <w:bodyDiv w:val="1"/>
      <w:marLeft w:val="0"/>
      <w:marRight w:val="0"/>
      <w:marTop w:val="0"/>
      <w:marBottom w:val="0"/>
      <w:divBdr>
        <w:top w:val="none" w:sz="0" w:space="0" w:color="auto"/>
        <w:left w:val="none" w:sz="0" w:space="0" w:color="auto"/>
        <w:bottom w:val="none" w:sz="0" w:space="0" w:color="auto"/>
        <w:right w:val="none" w:sz="0" w:space="0" w:color="auto"/>
      </w:divBdr>
    </w:div>
    <w:div w:id="207304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is@viapublicacomunicacao.com.b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B65E6A9755BA49A890BCF621E2948D" ma:contentTypeVersion="21" ma:contentTypeDescription="Create a new document." ma:contentTypeScope="" ma:versionID="127f290795cfa01962c08dbb47fad86a">
  <xsd:schema xmlns:xsd="http://www.w3.org/2001/XMLSchema" xmlns:xs="http://www.w3.org/2001/XMLSchema" xmlns:p="http://schemas.microsoft.com/office/2006/metadata/properties" xmlns:ns2="b415715e-9e5f-41fb-99b2-94fa13c59ef2" xmlns:ns3="ed93e86f-58e3-4db4-ae23-bda0ce9f8446" targetNamespace="http://schemas.microsoft.com/office/2006/metadata/properties" ma:root="true" ma:fieldsID="33d18217f67cc052c5f8c1113c1e8fcc" ns2:_="" ns3:_="">
    <xsd:import namespace="b415715e-9e5f-41fb-99b2-94fa13c59ef2"/>
    <xsd:import namespace="ed93e86f-58e3-4db4-ae23-bda0ce9f84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5715e-9e5f-41fb-99b2-94fa13c59e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93e86f-58e3-4db4-ae23-bda0ce9f84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cfa22bc-f675-437d-8941-eb1cea8ebfe8}" ma:internalName="TaxCatchAll" ma:showField="CatchAllData" ma:web="ed93e86f-58e3-4db4-ae23-bda0ce9f84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d93e86f-58e3-4db4-ae23-bda0ce9f8446" xsi:nil="true"/>
    <lcf76f155ced4ddcb4097134ff3c332f xmlns="b415715e-9e5f-41fb-99b2-94fa13c59ef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5DE18-FD1D-432E-A305-AA283B9100D9}">
  <ds:schemaRefs>
    <ds:schemaRef ds:uri="http://schemas.microsoft.com/sharepoint/v3/contenttype/forms"/>
  </ds:schemaRefs>
</ds:datastoreItem>
</file>

<file path=customXml/itemProps2.xml><?xml version="1.0" encoding="utf-8"?>
<ds:datastoreItem xmlns:ds="http://schemas.openxmlformats.org/officeDocument/2006/customXml" ds:itemID="{2D3A1DCF-5D45-4B0D-94BC-A037B4F78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5715e-9e5f-41fb-99b2-94fa13c59ef2"/>
    <ds:schemaRef ds:uri="ed93e86f-58e3-4db4-ae23-bda0ce9f8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E96469-8551-4322-B6EB-ABC465527346}">
  <ds:schemaRefs>
    <ds:schemaRef ds:uri="b415715e-9e5f-41fb-99b2-94fa13c59ef2"/>
    <ds:schemaRef ds:uri="http://purl.org/dc/terms/"/>
    <ds:schemaRef ds:uri="ed93e86f-58e3-4db4-ae23-bda0ce9f8446"/>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6A239A75-ABFA-41E9-9928-DA5F34934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1457</Words>
  <Characters>8311</Characters>
  <Application>Microsoft Office Word</Application>
  <DocSecurity>0</DocSecurity>
  <Lines>69</Lines>
  <Paragraphs>19</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Evonik</vt:lpstr>
      <vt:lpstr>Pressemitteilung Evonik</vt:lpstr>
    </vt:vector>
  </TitlesOfParts>
  <Company>Via Pública Comunicação</Company>
  <LinksUpToDate>false</LinksUpToDate>
  <CharactersWithSpaces>9749</CharactersWithSpaces>
  <SharedDoc>false</SharedDoc>
  <HLinks>
    <vt:vector size="12" baseType="variant">
      <vt:variant>
        <vt:i4>2490413</vt:i4>
      </vt:variant>
      <vt:variant>
        <vt:i4>3</vt:i4>
      </vt:variant>
      <vt:variant>
        <vt:i4>0</vt:i4>
      </vt:variant>
      <vt:variant>
        <vt:i4>5</vt:i4>
      </vt:variant>
      <vt:variant>
        <vt:lpwstr>http://www.evonik.com/</vt:lpwstr>
      </vt:variant>
      <vt:variant>
        <vt:lpwstr/>
      </vt:variant>
      <vt:variant>
        <vt:i4>8060992</vt:i4>
      </vt:variant>
      <vt:variant>
        <vt:i4>0</vt:i4>
      </vt:variant>
      <vt:variant>
        <vt:i4>0</vt:i4>
      </vt:variant>
      <vt:variant>
        <vt:i4>5</vt:i4>
      </vt:variant>
      <vt:variant>
        <vt:lpwstr>mailto:Joerg2.Wagner@evonik.com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Resultados Financeiros 1Trim 2024 - Espanhol</dc:subject>
  <dc:creator>Taís Augusto</dc:creator>
  <cp:keywords/>
  <dc:description>Maio 2024</dc:description>
  <cp:lastModifiedBy>Cabrera, Guilherme</cp:lastModifiedBy>
  <cp:revision>4</cp:revision>
  <cp:lastPrinted>2024-06-07T19:50:00Z</cp:lastPrinted>
  <dcterms:created xsi:type="dcterms:W3CDTF">2024-06-03T11:57:00Z</dcterms:created>
  <dcterms:modified xsi:type="dcterms:W3CDTF">2024-06-07T19:51:00Z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871acb-3e8e-4cf1-928b-53cb657a6025_Enabled">
    <vt:lpwstr>true</vt:lpwstr>
  </property>
  <property fmtid="{D5CDD505-2E9C-101B-9397-08002B2CF9AE}" pid="3" name="MSIP_Label_29871acb-3e8e-4cf1-928b-53cb657a6025_SetDate">
    <vt:lpwstr>2021-03-04T06:14:36Z</vt:lpwstr>
  </property>
  <property fmtid="{D5CDD505-2E9C-101B-9397-08002B2CF9AE}" pid="4" name="MSIP_Label_29871acb-3e8e-4cf1-928b-53cb657a6025_Method">
    <vt:lpwstr>Privileged</vt:lpwstr>
  </property>
  <property fmtid="{D5CDD505-2E9C-101B-9397-08002B2CF9AE}" pid="5" name="MSIP_Label_29871acb-3e8e-4cf1-928b-53cb657a6025_Name">
    <vt:lpwstr>29871acb-3e8e-4cf1-928b-53cb657a6025</vt:lpwstr>
  </property>
  <property fmtid="{D5CDD505-2E9C-101B-9397-08002B2CF9AE}" pid="6" name="MSIP_Label_29871acb-3e8e-4cf1-928b-53cb657a6025_SiteId">
    <vt:lpwstr>acf01cd9-ddd4-4522-a2c3-ebcadef31fbb</vt:lpwstr>
  </property>
  <property fmtid="{D5CDD505-2E9C-101B-9397-08002B2CF9AE}" pid="7" name="MSIP_Label_29871acb-3e8e-4cf1-928b-53cb657a6025_ActionId">
    <vt:lpwstr>39b3b1ca-ba2c-49bb-94bc-0b4c794d204b</vt:lpwstr>
  </property>
  <property fmtid="{D5CDD505-2E9C-101B-9397-08002B2CF9AE}" pid="8" name="MSIP_Label_29871acb-3e8e-4cf1-928b-53cb657a6025_ContentBits">
    <vt:lpwstr>0</vt:lpwstr>
  </property>
  <property fmtid="{D5CDD505-2E9C-101B-9397-08002B2CF9AE}" pid="9" name="ContentTypeId">
    <vt:lpwstr>0x01010060B65E6A9755BA49A890BCF621E2948D</vt:lpwstr>
  </property>
  <property fmtid="{D5CDD505-2E9C-101B-9397-08002B2CF9AE}" pid="10" name="MediaServiceImageTags">
    <vt:lpwstr/>
  </property>
  <property fmtid="{D5CDD505-2E9C-101B-9397-08002B2CF9AE}" pid="11" name="43b072f0-0f82-4aac-be1e-8abeffc32f66">
    <vt:bool>false</vt:bool>
  </property>
</Properties>
</file>