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23D04" w14:textId="77777777" w:rsidR="009F572D" w:rsidRPr="00F53E96" w:rsidRDefault="009F572D" w:rsidP="003D3082">
      <w:pPr>
        <w:pStyle w:val="Ttulo"/>
        <w:rPr>
          <w:lang w:val="pt-BR"/>
        </w:rPr>
      </w:pPr>
      <w:bookmarkStart w:id="0" w:name="_Int_q3zN2eWu"/>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F572D" w:rsidRPr="008D6C5B" w14:paraId="5B7F781E" w14:textId="77777777" w:rsidTr="00F0526A">
        <w:trPr>
          <w:trHeight w:val="851"/>
        </w:trPr>
        <w:tc>
          <w:tcPr>
            <w:tcW w:w="2552" w:type="dxa"/>
            <w:shd w:val="clear" w:color="auto" w:fill="auto"/>
          </w:tcPr>
          <w:p w14:paraId="315BB9AA" w14:textId="77777777" w:rsidR="004469DF" w:rsidRPr="00053B0B" w:rsidRDefault="009855B4">
            <w:pPr>
              <w:pStyle w:val="M7"/>
              <w:framePr w:wrap="auto" w:vAnchor="margin" w:hAnchor="text" w:xAlign="left" w:yAlign="inline"/>
              <w:suppressOverlap w:val="0"/>
              <w:rPr>
                <w:b w:val="0"/>
                <w:sz w:val="18"/>
                <w:szCs w:val="18"/>
                <w:lang w:val="es-419"/>
              </w:rPr>
            </w:pPr>
            <w:r w:rsidRPr="00053B0B">
              <w:rPr>
                <w:b w:val="0"/>
                <w:sz w:val="18"/>
                <w:szCs w:val="18"/>
                <w:lang w:val="es-419"/>
              </w:rPr>
              <w:t xml:space="preserve">17 de </w:t>
            </w:r>
            <w:r w:rsidR="009F572D" w:rsidRPr="00053B0B">
              <w:rPr>
                <w:b w:val="0"/>
                <w:sz w:val="18"/>
                <w:szCs w:val="18"/>
                <w:lang w:val="es-419"/>
              </w:rPr>
              <w:t>julio de 2024</w:t>
            </w:r>
          </w:p>
          <w:p w14:paraId="26EE8839" w14:textId="77777777" w:rsidR="009F572D" w:rsidRPr="00053B0B" w:rsidRDefault="009F572D" w:rsidP="00F0526A">
            <w:pPr>
              <w:pStyle w:val="M7"/>
              <w:framePr w:wrap="auto" w:vAnchor="margin" w:hAnchor="text" w:xAlign="left" w:yAlign="inline"/>
              <w:suppressOverlap w:val="0"/>
              <w:rPr>
                <w:lang w:val="es-419"/>
              </w:rPr>
            </w:pPr>
          </w:p>
          <w:p w14:paraId="27ECC7E7" w14:textId="77777777" w:rsidR="009F572D" w:rsidRPr="00053B0B" w:rsidRDefault="009F572D" w:rsidP="00F0526A">
            <w:pPr>
              <w:pStyle w:val="M7"/>
              <w:framePr w:wrap="auto" w:vAnchor="margin" w:hAnchor="text" w:xAlign="left" w:yAlign="inline"/>
              <w:suppressOverlap w:val="0"/>
              <w:rPr>
                <w:lang w:val="es-419"/>
              </w:rPr>
            </w:pPr>
          </w:p>
          <w:p w14:paraId="41BDB08D" w14:textId="77777777" w:rsidR="004469DF" w:rsidRPr="00053B0B" w:rsidRDefault="009855B4">
            <w:pPr>
              <w:pStyle w:val="M7"/>
              <w:framePr w:wrap="auto" w:vAnchor="margin" w:hAnchor="text" w:xAlign="left" w:yAlign="inline"/>
              <w:suppressOverlap w:val="0"/>
              <w:rPr>
                <w:lang w:val="es-419"/>
              </w:rPr>
            </w:pPr>
            <w:r w:rsidRPr="00053B0B">
              <w:rPr>
                <w:rFonts w:eastAsia="Lucida Sans Unicode" w:cs="Lucida Sans Unicode"/>
                <w:szCs w:val="13"/>
                <w:bdr w:val="nil"/>
                <w:lang w:val="es-419"/>
              </w:rPr>
              <w:t>Regina Bárbara</w:t>
            </w:r>
          </w:p>
          <w:p w14:paraId="252ADD94" w14:textId="053C6CEB" w:rsidR="004469DF" w:rsidRPr="00053B0B" w:rsidRDefault="009855B4">
            <w:pPr>
              <w:pStyle w:val="M7"/>
              <w:framePr w:wrap="auto" w:vAnchor="margin" w:hAnchor="text" w:xAlign="left" w:yAlign="inline"/>
              <w:suppressOverlap w:val="0"/>
              <w:rPr>
                <w:b w:val="0"/>
                <w:lang w:val="es-419"/>
              </w:rPr>
            </w:pPr>
            <w:r w:rsidRPr="00053B0B">
              <w:rPr>
                <w:rFonts w:eastAsia="Lucida Sans Unicode" w:cs="Lucida Sans Unicode"/>
                <w:b w:val="0"/>
                <w:bCs w:val="0"/>
                <w:szCs w:val="13"/>
                <w:bdr w:val="nil"/>
                <w:lang w:val="es-419"/>
              </w:rPr>
              <w:t xml:space="preserve">Comunicación y Eventos </w:t>
            </w:r>
            <w:r w:rsidRPr="00053B0B">
              <w:rPr>
                <w:rFonts w:eastAsia="Lucida Sans Unicode" w:cs="Lucida Sans Unicode"/>
                <w:b w:val="0"/>
                <w:bCs w:val="0"/>
                <w:szCs w:val="13"/>
                <w:bdr w:val="nil"/>
                <w:lang w:val="es-419"/>
              </w:rPr>
              <w:br/>
              <w:t xml:space="preserve">América Central y </w:t>
            </w:r>
            <w:r w:rsidRPr="00BB3D19">
              <w:rPr>
                <w:rFonts w:eastAsia="Lucida Sans Unicode" w:cs="Lucida Sans Unicode"/>
                <w:b w:val="0"/>
                <w:bCs w:val="0"/>
                <w:szCs w:val="13"/>
                <w:bdr w:val="nil"/>
                <w:lang w:val="es-419"/>
              </w:rPr>
              <w:t>del</w:t>
            </w:r>
            <w:r w:rsidRPr="00053B0B">
              <w:rPr>
                <w:rFonts w:eastAsia="Lucida Sans Unicode" w:cs="Lucida Sans Unicode"/>
                <w:b w:val="0"/>
                <w:bCs w:val="0"/>
                <w:szCs w:val="13"/>
                <w:bdr w:val="nil"/>
                <w:lang w:val="es-419"/>
              </w:rPr>
              <w:br/>
              <w:t xml:space="preserve">Sur </w:t>
            </w:r>
            <w:r w:rsidRPr="00053B0B">
              <w:rPr>
                <w:rFonts w:eastAsia="Lucida Sans Unicode" w:cs="Lucida Sans Unicode"/>
                <w:szCs w:val="13"/>
                <w:bdr w:val="nil"/>
                <w:lang w:val="es-419"/>
              </w:rPr>
              <w:br/>
            </w:r>
            <w:r w:rsidRPr="00053B0B">
              <w:rPr>
                <w:rFonts w:eastAsia="Lucida Sans Unicode" w:cs="Lucida Sans Unicode"/>
                <w:b w:val="0"/>
                <w:bCs w:val="0"/>
                <w:szCs w:val="13"/>
                <w:bdr w:val="nil"/>
                <w:lang w:val="es-419"/>
              </w:rPr>
              <w:t>Teléfono +55 11 3146-4170</w:t>
            </w:r>
          </w:p>
          <w:p w14:paraId="78832DC3" w14:textId="77777777" w:rsidR="004469DF" w:rsidRDefault="009855B4">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9F572D" w:rsidRPr="008D6C5B" w14:paraId="7DDD1835" w14:textId="77777777" w:rsidTr="00F0526A">
        <w:trPr>
          <w:trHeight w:val="851"/>
        </w:trPr>
        <w:tc>
          <w:tcPr>
            <w:tcW w:w="2552" w:type="dxa"/>
            <w:shd w:val="clear" w:color="auto" w:fill="auto"/>
          </w:tcPr>
          <w:p w14:paraId="442FEE7D" w14:textId="77777777" w:rsidR="009F572D" w:rsidRPr="008D6C5B" w:rsidRDefault="009F572D" w:rsidP="00F0526A">
            <w:pPr>
              <w:pStyle w:val="M10"/>
              <w:framePr w:wrap="auto" w:vAnchor="margin" w:hAnchor="text" w:xAlign="left" w:yAlign="inline"/>
              <w:suppressOverlap w:val="0"/>
              <w:rPr>
                <w:lang w:val="pt-BR"/>
              </w:rPr>
            </w:pPr>
          </w:p>
        </w:tc>
      </w:tr>
    </w:tbl>
    <w:p w14:paraId="25F6B18D" w14:textId="77777777" w:rsidR="004469DF" w:rsidRDefault="009855B4">
      <w:pPr>
        <w:pStyle w:val="Ttulo"/>
        <w:rPr>
          <w:sz w:val="28"/>
          <w:szCs w:val="28"/>
          <w:lang w:val="pt-BR"/>
        </w:rPr>
      </w:pPr>
      <w:r w:rsidRPr="005F3346">
        <w:rPr>
          <w:rFonts w:cs="Lucida Sans Unicode"/>
          <w:kern w:val="36"/>
          <w:sz w:val="28"/>
          <w:szCs w:val="28"/>
          <w:lang w:val="pt-BR"/>
        </w:rPr>
        <w:t>Evonik eleva significativamente sus previsiones para 2024</w:t>
      </w:r>
    </w:p>
    <w:p w14:paraId="0406314A" w14:textId="77777777" w:rsidR="005F3346" w:rsidRPr="008206CE" w:rsidRDefault="005F3346" w:rsidP="005F3346">
      <w:pPr>
        <w:rPr>
          <w:rFonts w:cs="Lucida Sans Unicode"/>
          <w:b/>
          <w:bCs/>
          <w:szCs w:val="22"/>
          <w:lang w:val="pt-BR"/>
        </w:rPr>
      </w:pPr>
    </w:p>
    <w:p w14:paraId="7C9D86CC" w14:textId="77777777" w:rsidR="004469DF" w:rsidRPr="00053B0B" w:rsidRDefault="009855B4">
      <w:pPr>
        <w:numPr>
          <w:ilvl w:val="0"/>
          <w:numId w:val="32"/>
        </w:numPr>
        <w:tabs>
          <w:tab w:val="clear" w:pos="1425"/>
          <w:tab w:val="num" w:pos="360"/>
        </w:tabs>
        <w:ind w:left="360" w:right="85"/>
        <w:rPr>
          <w:rFonts w:cs="Lucida Sans Unicode"/>
          <w:color w:val="000000"/>
          <w:sz w:val="24"/>
          <w:lang w:val="es-419"/>
        </w:rPr>
      </w:pPr>
      <w:r w:rsidRPr="00053B0B">
        <w:rPr>
          <w:rFonts w:cs="Lucida Sans Unicode"/>
          <w:sz w:val="24"/>
          <w:lang w:val="es-419"/>
        </w:rPr>
        <w:t>EBITDA ajustado en el segundo trimestre muy por encima del año anterior</w:t>
      </w:r>
    </w:p>
    <w:p w14:paraId="424932AD" w14:textId="77777777" w:rsidR="004469DF" w:rsidRPr="00053B0B" w:rsidRDefault="009855B4">
      <w:pPr>
        <w:numPr>
          <w:ilvl w:val="0"/>
          <w:numId w:val="32"/>
        </w:numPr>
        <w:tabs>
          <w:tab w:val="clear" w:pos="1425"/>
          <w:tab w:val="num" w:pos="360"/>
        </w:tabs>
        <w:ind w:left="360" w:right="85"/>
        <w:rPr>
          <w:rFonts w:cs="Lucida Sans Unicode"/>
          <w:color w:val="000000"/>
          <w:sz w:val="24"/>
          <w:lang w:val="es-419"/>
        </w:rPr>
      </w:pPr>
      <w:r w:rsidRPr="00053B0B">
        <w:rPr>
          <w:rFonts w:cs="Lucida Sans Unicode"/>
          <w:sz w:val="24"/>
          <w:lang w:val="es-419"/>
        </w:rPr>
        <w:t xml:space="preserve">Mejora también en comparación con el ya </w:t>
      </w:r>
      <w:r w:rsidR="00651146" w:rsidRPr="00053B0B">
        <w:rPr>
          <w:rFonts w:cs="Lucida Sans Unicode"/>
          <w:sz w:val="24"/>
          <w:lang w:val="es-419"/>
        </w:rPr>
        <w:t xml:space="preserve">positivo </w:t>
      </w:r>
      <w:r w:rsidRPr="00053B0B">
        <w:rPr>
          <w:rFonts w:cs="Lucida Sans Unicode"/>
          <w:sz w:val="24"/>
          <w:lang w:val="es-419"/>
        </w:rPr>
        <w:t>primer trimestre</w:t>
      </w:r>
    </w:p>
    <w:p w14:paraId="0D29E65A" w14:textId="77777777" w:rsidR="004469DF" w:rsidRPr="00053B0B" w:rsidRDefault="009855B4">
      <w:pPr>
        <w:numPr>
          <w:ilvl w:val="0"/>
          <w:numId w:val="32"/>
        </w:numPr>
        <w:tabs>
          <w:tab w:val="clear" w:pos="1425"/>
          <w:tab w:val="num" w:pos="360"/>
        </w:tabs>
        <w:ind w:left="360" w:right="85"/>
        <w:rPr>
          <w:rFonts w:cs="Lucida Sans Unicode"/>
          <w:color w:val="000000"/>
          <w:sz w:val="24"/>
          <w:lang w:val="es-419"/>
        </w:rPr>
      </w:pPr>
      <w:r w:rsidRPr="00053B0B">
        <w:rPr>
          <w:rFonts w:cs="Lucida Sans Unicode"/>
          <w:sz w:val="24"/>
          <w:lang w:val="es-419"/>
        </w:rPr>
        <w:t xml:space="preserve">Expectativas </w:t>
      </w:r>
      <w:r w:rsidR="005F3346" w:rsidRPr="00053B0B">
        <w:rPr>
          <w:rFonts w:cs="Lucida Sans Unicode"/>
          <w:sz w:val="24"/>
          <w:lang w:val="es-419"/>
        </w:rPr>
        <w:t xml:space="preserve">para todo el año: EBITDA ajustado estimado entre 1.900 </w:t>
      </w:r>
      <w:r w:rsidRPr="00053B0B">
        <w:rPr>
          <w:rFonts w:cs="Lucida Sans Unicode"/>
          <w:sz w:val="24"/>
          <w:lang w:val="es-419"/>
        </w:rPr>
        <w:t xml:space="preserve">y </w:t>
      </w:r>
      <w:r w:rsidR="005F3346" w:rsidRPr="00053B0B">
        <w:rPr>
          <w:rFonts w:cs="Lucida Sans Unicode"/>
          <w:sz w:val="24"/>
          <w:lang w:val="es-419"/>
        </w:rPr>
        <w:t xml:space="preserve">2.200 millones de euros. </w:t>
      </w:r>
    </w:p>
    <w:p w14:paraId="1B76B375" w14:textId="77777777" w:rsidR="005F3346" w:rsidRPr="00053B0B" w:rsidRDefault="005F3346" w:rsidP="005F3346">
      <w:pPr>
        <w:ind w:right="85"/>
        <w:rPr>
          <w:color w:val="000000"/>
          <w:sz w:val="24"/>
          <w:lang w:val="es-419"/>
        </w:rPr>
      </w:pPr>
    </w:p>
    <w:p w14:paraId="33CF6227" w14:textId="77777777" w:rsidR="005F3346" w:rsidRPr="00053B0B" w:rsidRDefault="005F3346" w:rsidP="005F3346">
      <w:pPr>
        <w:ind w:right="85"/>
        <w:rPr>
          <w:color w:val="000000"/>
          <w:sz w:val="24"/>
          <w:lang w:val="es-419"/>
        </w:rPr>
      </w:pPr>
    </w:p>
    <w:p w14:paraId="35F5330F" w14:textId="77777777" w:rsidR="004469DF" w:rsidRPr="00053B0B" w:rsidRDefault="009855B4">
      <w:pPr>
        <w:rPr>
          <w:color w:val="000000"/>
          <w:lang w:val="es-419"/>
        </w:rPr>
      </w:pPr>
      <w:r w:rsidRPr="00053B0B">
        <w:rPr>
          <w:lang w:val="es-419"/>
        </w:rPr>
        <w:t xml:space="preserve">En un clima económico difícil, Evonik registró otro trimestre fuerte, superando las expectativas de los analistas. Por este motivo, la empresa </w:t>
      </w:r>
      <w:proofErr w:type="spellStart"/>
      <w:r w:rsidRPr="00053B0B">
        <w:rPr>
          <w:lang w:val="es-419"/>
        </w:rPr>
        <w:t>publica</w:t>
      </w:r>
      <w:proofErr w:type="spellEnd"/>
      <w:r w:rsidRPr="00053B0B">
        <w:rPr>
          <w:lang w:val="es-419"/>
        </w:rPr>
        <w:t xml:space="preserve"> por adelantado sus principales resultados preliminares del segundo trimestre y aumenta considerablemente sus perspectivas para el ejercicio 2024. </w:t>
      </w:r>
    </w:p>
    <w:p w14:paraId="1AB48577" w14:textId="77777777" w:rsidR="005F3346" w:rsidRPr="00053B0B" w:rsidRDefault="005F3346" w:rsidP="005F3346">
      <w:pPr>
        <w:rPr>
          <w:color w:val="000000"/>
          <w:lang w:val="es-419"/>
        </w:rPr>
      </w:pPr>
    </w:p>
    <w:p w14:paraId="1A70F6DB" w14:textId="77777777" w:rsidR="004469DF" w:rsidRPr="00053B0B" w:rsidRDefault="009855B4">
      <w:pPr>
        <w:rPr>
          <w:color w:val="000000" w:themeColor="text1"/>
          <w:lang w:val="es-419"/>
        </w:rPr>
      </w:pPr>
      <w:r w:rsidRPr="00053B0B">
        <w:rPr>
          <w:lang w:val="es-419"/>
        </w:rPr>
        <w:t xml:space="preserve">Según </w:t>
      </w:r>
      <w:r w:rsidR="005F3346" w:rsidRPr="00053B0B">
        <w:rPr>
          <w:lang w:val="es-419"/>
        </w:rPr>
        <w:t xml:space="preserve">cifras preliminares y no auditadas, Evonik registró un EBITDA ajustado de 578 millones de euros en el segundo trimestre, un 29% más que el año anterior (2T 2023: 450 millones de euros). Los analistas habían estimado una cifra de 531 millones de euros (Vara </w:t>
      </w:r>
      <w:proofErr w:type="spellStart"/>
      <w:r w:rsidR="005F3346" w:rsidRPr="00053B0B">
        <w:rPr>
          <w:lang w:val="es-419"/>
        </w:rPr>
        <w:t>Consensus</w:t>
      </w:r>
      <w:proofErr w:type="spellEnd"/>
      <w:r w:rsidR="005F3346" w:rsidRPr="00053B0B">
        <w:rPr>
          <w:lang w:val="es-419"/>
        </w:rPr>
        <w:t xml:space="preserve"> a 29 de mayo de 2024). Al mismo tiempo, el resultado es un 11% superior al obtenido en el primer trimestre, que ya fue </w:t>
      </w:r>
      <w:r w:rsidRPr="00053B0B">
        <w:rPr>
          <w:lang w:val="es-419"/>
        </w:rPr>
        <w:t>positivo</w:t>
      </w:r>
      <w:r w:rsidR="005F3346" w:rsidRPr="00053B0B">
        <w:rPr>
          <w:lang w:val="es-419"/>
        </w:rPr>
        <w:t xml:space="preserve">. </w:t>
      </w:r>
    </w:p>
    <w:p w14:paraId="7ABAF41D" w14:textId="77777777" w:rsidR="00651146" w:rsidRPr="00053B0B" w:rsidRDefault="00651146" w:rsidP="005F3346">
      <w:pPr>
        <w:rPr>
          <w:color w:val="000000"/>
          <w:lang w:val="es-419"/>
        </w:rPr>
      </w:pPr>
    </w:p>
    <w:p w14:paraId="71340474" w14:textId="3520F825" w:rsidR="004469DF" w:rsidRPr="00053B0B" w:rsidRDefault="009855B4">
      <w:pPr>
        <w:rPr>
          <w:color w:val="000000"/>
          <w:lang w:val="es-419"/>
        </w:rPr>
      </w:pPr>
      <w:r w:rsidRPr="00053B0B">
        <w:rPr>
          <w:lang w:val="es-419"/>
        </w:rPr>
        <w:t xml:space="preserve">Dado que aún no se ha producido una recuperación macroeconómica generalizada, esta evolución positiva se debió principalmente </w:t>
      </w:r>
      <w:r w:rsidRPr="00053B0B">
        <w:rPr>
          <w:lang w:val="es-419"/>
        </w:rPr>
        <w:br/>
        <w:t xml:space="preserve">a factores específicos de </w:t>
      </w:r>
      <w:r w:rsidR="00545831" w:rsidRPr="00053B0B">
        <w:rPr>
          <w:lang w:val="es-419"/>
        </w:rPr>
        <w:t xml:space="preserve">la </w:t>
      </w:r>
      <w:r w:rsidRPr="00053B0B">
        <w:rPr>
          <w:lang w:val="es-419"/>
        </w:rPr>
        <w:t xml:space="preserve">empresa: además del mantenimiento de una estricta disciplina de </w:t>
      </w:r>
      <w:r>
        <w:rPr>
          <w:lang w:val="es-419"/>
        </w:rPr>
        <w:t>costos</w:t>
      </w:r>
      <w:r w:rsidRPr="00053B0B">
        <w:rPr>
          <w:lang w:val="es-419"/>
        </w:rPr>
        <w:t xml:space="preserve">, el buen </w:t>
      </w:r>
      <w:r w:rsidR="00545831" w:rsidRPr="00053B0B">
        <w:rPr>
          <w:lang w:val="es-419"/>
        </w:rPr>
        <w:t xml:space="preserve">comportamiento de los </w:t>
      </w:r>
      <w:r w:rsidRPr="00053B0B">
        <w:rPr>
          <w:lang w:val="es-419"/>
        </w:rPr>
        <w:t xml:space="preserve">volúmenes en la división de </w:t>
      </w:r>
      <w:r>
        <w:rPr>
          <w:lang w:val="es-419"/>
        </w:rPr>
        <w:t xml:space="preserve">Specialty </w:t>
      </w:r>
      <w:proofErr w:type="spellStart"/>
      <w:r>
        <w:rPr>
          <w:lang w:val="es-419"/>
        </w:rPr>
        <w:t>Additives</w:t>
      </w:r>
      <w:proofErr w:type="spellEnd"/>
      <w:r w:rsidRPr="00053B0B">
        <w:rPr>
          <w:lang w:val="es-419"/>
        </w:rPr>
        <w:t xml:space="preserve">, </w:t>
      </w:r>
      <w:r w:rsidR="00545831" w:rsidRPr="00053B0B">
        <w:rPr>
          <w:lang w:val="es-419"/>
        </w:rPr>
        <w:t>junto</w:t>
      </w:r>
      <w:r w:rsidRPr="00053B0B">
        <w:rPr>
          <w:lang w:val="es-419"/>
        </w:rPr>
        <w:t xml:space="preserve"> con </w:t>
      </w:r>
      <w:r w:rsidR="00545831" w:rsidRPr="00053B0B">
        <w:rPr>
          <w:lang w:val="es-419"/>
        </w:rPr>
        <w:t>la</w:t>
      </w:r>
      <w:r w:rsidRPr="00053B0B">
        <w:rPr>
          <w:lang w:val="es-419"/>
        </w:rPr>
        <w:t xml:space="preserve"> recuperación de los precios en la división de </w:t>
      </w:r>
      <w:r>
        <w:rPr>
          <w:lang w:val="es-419"/>
        </w:rPr>
        <w:t>Animal Nutrition</w:t>
      </w:r>
      <w:r w:rsidRPr="00053B0B">
        <w:rPr>
          <w:lang w:val="es-419"/>
        </w:rPr>
        <w:t xml:space="preserve"> y la reducción de los </w:t>
      </w:r>
      <w:r>
        <w:rPr>
          <w:lang w:val="es-419"/>
        </w:rPr>
        <w:t>costos</w:t>
      </w:r>
      <w:r w:rsidRPr="00053B0B">
        <w:rPr>
          <w:lang w:val="es-419"/>
        </w:rPr>
        <w:t xml:space="preserve"> de producción</w:t>
      </w:r>
      <w:r w:rsidR="00545831" w:rsidRPr="00053B0B">
        <w:rPr>
          <w:lang w:val="es-419"/>
        </w:rPr>
        <w:t xml:space="preserve">, impulsaron </w:t>
      </w:r>
      <w:r w:rsidRPr="00053B0B">
        <w:rPr>
          <w:lang w:val="es-419"/>
        </w:rPr>
        <w:t>el aumento secuencial.</w:t>
      </w:r>
    </w:p>
    <w:p w14:paraId="739BC329" w14:textId="77777777" w:rsidR="00545831" w:rsidRPr="00053B0B" w:rsidRDefault="00545831" w:rsidP="005F3346">
      <w:pPr>
        <w:rPr>
          <w:color w:val="000000"/>
          <w:lang w:val="es-419"/>
        </w:rPr>
      </w:pPr>
    </w:p>
    <w:p w14:paraId="05AFCBE8" w14:textId="23334182" w:rsidR="004469DF" w:rsidRPr="00053B0B" w:rsidRDefault="009855B4" w:rsidP="009855B4">
      <w:pPr>
        <w:rPr>
          <w:color w:val="000000" w:themeColor="text1"/>
          <w:lang w:val="es-419"/>
        </w:rPr>
      </w:pPr>
      <w:r w:rsidRPr="00053B0B">
        <w:rPr>
          <w:lang w:val="es-419"/>
        </w:rPr>
        <w:t xml:space="preserve">Sobre la base de estos desarrollos, Evonik eleva sus perspectivas para el EBITDA ajustado, llevando el rango para el año completo 2024 </w:t>
      </w:r>
      <w:r>
        <w:rPr>
          <w:lang w:val="es-419"/>
        </w:rPr>
        <w:t>a</w:t>
      </w:r>
      <w:r w:rsidRPr="00053B0B">
        <w:rPr>
          <w:lang w:val="es-419"/>
        </w:rPr>
        <w:t xml:space="preserve"> 200 millones de euros. Ahora se sitúa entre 1.900 y 2.200 millones de euros (antes</w:t>
      </w:r>
      <w:r>
        <w:rPr>
          <w:lang w:val="es-419"/>
        </w:rPr>
        <w:t xml:space="preserve"> entre</w:t>
      </w:r>
      <w:r w:rsidRPr="00053B0B">
        <w:rPr>
          <w:lang w:val="es-419"/>
        </w:rPr>
        <w:t xml:space="preserve"> 1.700 </w:t>
      </w:r>
      <w:r>
        <w:rPr>
          <w:lang w:val="es-419"/>
        </w:rPr>
        <w:t>y</w:t>
      </w:r>
      <w:r w:rsidRPr="00053B0B">
        <w:rPr>
          <w:lang w:val="es-419"/>
        </w:rPr>
        <w:t xml:space="preserve"> 2.000 millones de euros).</w:t>
      </w:r>
    </w:p>
    <w:p w14:paraId="442E412C" w14:textId="77777777" w:rsidR="005F3346" w:rsidRPr="00053B0B" w:rsidRDefault="005F3346" w:rsidP="005F3346">
      <w:pPr>
        <w:rPr>
          <w:color w:val="000000" w:themeColor="text1"/>
          <w:lang w:val="es-419"/>
        </w:rPr>
      </w:pPr>
    </w:p>
    <w:p w14:paraId="3D87102C" w14:textId="77777777" w:rsidR="004469DF" w:rsidRPr="00053B0B" w:rsidRDefault="009855B4">
      <w:pPr>
        <w:rPr>
          <w:color w:val="000000" w:themeColor="text1"/>
          <w:lang w:val="es-419"/>
        </w:rPr>
      </w:pPr>
      <w:r w:rsidRPr="00053B0B">
        <w:rPr>
          <w:lang w:val="es-419"/>
        </w:rPr>
        <w:t>Tras un ligero descenso en el primer trimestre, las ventas del segundo trimestre, según cifras preliminares, superaron ligeramente los 3.900 millones de euros, acercándose así al nivel del año anterior (2T 2023: 3.900 millones de euros).</w:t>
      </w:r>
    </w:p>
    <w:p w14:paraId="01844400" w14:textId="13CB8B5D" w:rsidR="004469DF" w:rsidRPr="00053B0B" w:rsidRDefault="009855B4">
      <w:pPr>
        <w:rPr>
          <w:color w:val="000000" w:themeColor="text1"/>
          <w:lang w:val="es-419"/>
        </w:rPr>
      </w:pPr>
      <w:r w:rsidRPr="00053B0B">
        <w:rPr>
          <w:lang w:val="es-419"/>
        </w:rPr>
        <w:t xml:space="preserve">Las estrictas medidas de contingencia condujeron a reducciones de </w:t>
      </w:r>
      <w:r>
        <w:rPr>
          <w:lang w:val="es-419"/>
        </w:rPr>
        <w:t>costos</w:t>
      </w:r>
      <w:r w:rsidRPr="00053B0B">
        <w:rPr>
          <w:lang w:val="es-419"/>
        </w:rPr>
        <w:t xml:space="preserve"> en todo el Grupo. Esta estrategia repercutió positivamente en el margen EBITDA ajustado, que mejoró en 3,1 puntos porcentuales respecto al año anterior, situándose en el 14,7% (2T 2023: 11,6%)</w:t>
      </w:r>
      <w:r w:rsidRPr="00053B0B">
        <w:rPr>
          <w:color w:val="000000" w:themeColor="text1"/>
          <w:lang w:val="es-419"/>
        </w:rPr>
        <w:t xml:space="preserve">. </w:t>
      </w:r>
    </w:p>
    <w:p w14:paraId="4A316993" w14:textId="77777777" w:rsidR="005F3346" w:rsidRPr="00053B0B" w:rsidRDefault="005F3346" w:rsidP="005F3346">
      <w:pPr>
        <w:rPr>
          <w:color w:val="000000" w:themeColor="text1"/>
          <w:lang w:val="es-419"/>
        </w:rPr>
      </w:pPr>
    </w:p>
    <w:p w14:paraId="64AC015F" w14:textId="77777777" w:rsidR="004469DF" w:rsidRPr="00053B0B" w:rsidRDefault="009855B4">
      <w:pPr>
        <w:rPr>
          <w:color w:val="000000" w:themeColor="text1"/>
          <w:lang w:val="es-419"/>
        </w:rPr>
      </w:pPr>
      <w:r w:rsidRPr="00053B0B">
        <w:rPr>
          <w:lang w:val="es-419"/>
        </w:rPr>
        <w:t xml:space="preserve">Evonik publicará sus resultados definitivos del segundo trimestre de 2024 </w:t>
      </w:r>
      <w:r w:rsidR="00545831" w:rsidRPr="00053B0B">
        <w:rPr>
          <w:lang w:val="es-419"/>
        </w:rPr>
        <w:t xml:space="preserve">el </w:t>
      </w:r>
      <w:r w:rsidRPr="00053B0B">
        <w:rPr>
          <w:lang w:val="es-419"/>
        </w:rPr>
        <w:t xml:space="preserve">1 de agosto, según lo previsto. </w:t>
      </w:r>
    </w:p>
    <w:p w14:paraId="35BD7E11" w14:textId="77777777" w:rsidR="005F3346" w:rsidRPr="00053B0B" w:rsidRDefault="005F3346" w:rsidP="005F3346">
      <w:pPr>
        <w:rPr>
          <w:color w:val="000000" w:themeColor="text1"/>
          <w:lang w:val="es-419"/>
        </w:rPr>
      </w:pPr>
    </w:p>
    <w:p w14:paraId="419A22E0" w14:textId="77777777" w:rsidR="005F3346" w:rsidRPr="00053B0B" w:rsidRDefault="005F3346" w:rsidP="005F3346">
      <w:pPr>
        <w:rPr>
          <w:color w:val="000000"/>
          <w:lang w:val="es-419"/>
        </w:rPr>
      </w:pPr>
    </w:p>
    <w:p w14:paraId="5138B6E7" w14:textId="77777777" w:rsidR="004469DF" w:rsidRPr="00053B0B" w:rsidRDefault="009855B4">
      <w:pPr>
        <w:rPr>
          <w:b/>
          <w:bCs/>
          <w:color w:val="000000"/>
          <w:lang w:val="es-419"/>
        </w:rPr>
      </w:pPr>
      <w:r w:rsidRPr="00053B0B">
        <w:rPr>
          <w:b/>
          <w:bCs/>
          <w:u w:val="single"/>
          <w:lang w:val="es-419"/>
        </w:rPr>
        <w:t xml:space="preserve">Desarrollo en las divisiones </w:t>
      </w:r>
    </w:p>
    <w:p w14:paraId="07CD995B" w14:textId="77777777" w:rsidR="005F3346" w:rsidRPr="00053B0B" w:rsidRDefault="005F3346" w:rsidP="005F3346">
      <w:pPr>
        <w:rPr>
          <w:color w:val="000000"/>
          <w:lang w:val="es-419"/>
        </w:rPr>
      </w:pPr>
    </w:p>
    <w:p w14:paraId="7580FEF0" w14:textId="11A3FBEB" w:rsidR="004469DF" w:rsidRPr="00053B0B" w:rsidRDefault="009855B4">
      <w:pPr>
        <w:rPr>
          <w:lang w:val="es-419"/>
        </w:rPr>
      </w:pPr>
      <w:r w:rsidRPr="00053B0B">
        <w:rPr>
          <w:lang w:val="es-419"/>
        </w:rPr>
        <w:t xml:space="preserve">Con un EBITDA ajustado de 220 millones de euros, la división de </w:t>
      </w:r>
      <w:r>
        <w:rPr>
          <w:lang w:val="es-419"/>
        </w:rPr>
        <w:t xml:space="preserve">Specialty </w:t>
      </w:r>
      <w:proofErr w:type="spellStart"/>
      <w:r>
        <w:rPr>
          <w:lang w:val="es-419"/>
        </w:rPr>
        <w:t>Additives</w:t>
      </w:r>
      <w:proofErr w:type="spellEnd"/>
      <w:r w:rsidRPr="00053B0B">
        <w:rPr>
          <w:lang w:val="es-419"/>
        </w:rPr>
        <w:t xml:space="preserve"> consiguió aumentar un 19% su ya positivo resultado del primer trimestre. En comparación con el año anterior, los resultados mejoraron un 10% (2T 2023: 199 millones de euros). El margen de EBITDA ajustado aumentó hasta cerca del 23%. En comparación con el primer trimestre, el volumen de ventas y, en consecuencia, la utilización de la capacidad, siguieron aumentando.  A ello contribuyó la caída de los precios de las materias primas. </w:t>
      </w:r>
    </w:p>
    <w:p w14:paraId="70C136F1" w14:textId="77777777" w:rsidR="005F3346" w:rsidRPr="00053B0B" w:rsidRDefault="005F3346" w:rsidP="005F3346">
      <w:pPr>
        <w:rPr>
          <w:color w:val="000000" w:themeColor="text1"/>
          <w:lang w:val="es-419"/>
        </w:rPr>
      </w:pPr>
    </w:p>
    <w:p w14:paraId="3F65C233" w14:textId="4A517279" w:rsidR="004469DF" w:rsidRPr="00053B0B" w:rsidRDefault="009855B4">
      <w:pPr>
        <w:rPr>
          <w:color w:val="000000" w:themeColor="text1"/>
          <w:lang w:val="es-419"/>
        </w:rPr>
      </w:pPr>
      <w:r w:rsidRPr="00053B0B">
        <w:rPr>
          <w:lang w:val="es-419"/>
        </w:rPr>
        <w:t xml:space="preserve">Con un EBITDA ajustado de 140 millones de euros, la división Nutrition &amp; Care duplicó sus resultados en comparación con el débil año anterior (2T 2023: 71 millones de euros). La cifra </w:t>
      </w:r>
      <w:r w:rsidR="00747838" w:rsidRPr="00053B0B">
        <w:rPr>
          <w:lang w:val="es-419"/>
        </w:rPr>
        <w:t xml:space="preserve">se mantuvo al </w:t>
      </w:r>
      <w:r w:rsidRPr="00053B0B">
        <w:rPr>
          <w:lang w:val="es-419"/>
        </w:rPr>
        <w:t xml:space="preserve">mismo nivel que en el primer trimestre. Este avance </w:t>
      </w:r>
      <w:r w:rsidR="00747838" w:rsidRPr="00053B0B">
        <w:rPr>
          <w:lang w:val="es-419"/>
        </w:rPr>
        <w:t xml:space="preserve">se debió </w:t>
      </w:r>
      <w:r w:rsidRPr="00053B0B">
        <w:rPr>
          <w:lang w:val="es-419"/>
        </w:rPr>
        <w:t xml:space="preserve">principalmente a la división de </w:t>
      </w:r>
      <w:r>
        <w:rPr>
          <w:lang w:val="es-419"/>
        </w:rPr>
        <w:t>Animal Nutrition</w:t>
      </w:r>
      <w:r w:rsidRPr="00053B0B">
        <w:rPr>
          <w:lang w:val="es-419"/>
        </w:rPr>
        <w:t xml:space="preserve">, </w:t>
      </w:r>
      <w:r>
        <w:rPr>
          <w:lang w:val="es-419"/>
        </w:rPr>
        <w:t>en la cual</w:t>
      </w:r>
      <w:r w:rsidRPr="00053B0B">
        <w:rPr>
          <w:lang w:val="es-419"/>
        </w:rPr>
        <w:t xml:space="preserve"> los nuevos aumentos de precios compensaron los menores volúmenes resultantes de la parada de la unidad de Singapur para ampliar su capacidad. La parada </w:t>
      </w:r>
      <w:r w:rsidR="00747838" w:rsidRPr="00053B0B">
        <w:rPr>
          <w:lang w:val="es-419"/>
        </w:rPr>
        <w:t xml:space="preserve">finalizó </w:t>
      </w:r>
      <w:r w:rsidRPr="00053B0B">
        <w:rPr>
          <w:lang w:val="es-419"/>
        </w:rPr>
        <w:t xml:space="preserve">a finales del trimestre, como </w:t>
      </w:r>
      <w:r w:rsidR="00747838" w:rsidRPr="00053B0B">
        <w:rPr>
          <w:lang w:val="es-419"/>
        </w:rPr>
        <w:t>estaba previsto</w:t>
      </w:r>
      <w:r w:rsidRPr="00053B0B">
        <w:rPr>
          <w:lang w:val="es-419"/>
        </w:rPr>
        <w:t xml:space="preserve">. La línea Care Solutions </w:t>
      </w:r>
      <w:r w:rsidR="00747838" w:rsidRPr="00053B0B">
        <w:rPr>
          <w:lang w:val="es-419"/>
        </w:rPr>
        <w:t xml:space="preserve">mantuvo su </w:t>
      </w:r>
      <w:r w:rsidRPr="00053B0B">
        <w:rPr>
          <w:lang w:val="es-419"/>
        </w:rPr>
        <w:t xml:space="preserve">tendencia positiva, especialmente en el negocio de </w:t>
      </w:r>
      <w:r>
        <w:rPr>
          <w:lang w:val="es-419"/>
        </w:rPr>
        <w:t xml:space="preserve">Active </w:t>
      </w:r>
      <w:proofErr w:type="spellStart"/>
      <w:r>
        <w:rPr>
          <w:lang w:val="es-419"/>
        </w:rPr>
        <w:t>Ingredients</w:t>
      </w:r>
      <w:proofErr w:type="spellEnd"/>
      <w:r w:rsidRPr="00053B0B">
        <w:rPr>
          <w:lang w:val="es-419"/>
        </w:rPr>
        <w:t xml:space="preserve">. </w:t>
      </w:r>
      <w:r w:rsidR="00747838" w:rsidRPr="00053B0B">
        <w:rPr>
          <w:lang w:val="es-419"/>
        </w:rPr>
        <w:t xml:space="preserve">Toda la división se </w:t>
      </w:r>
      <w:r w:rsidRPr="00053B0B">
        <w:rPr>
          <w:lang w:val="es-419"/>
        </w:rPr>
        <w:t xml:space="preserve">benefició de unos </w:t>
      </w:r>
      <w:r>
        <w:rPr>
          <w:lang w:val="es-419"/>
        </w:rPr>
        <w:t>costos</w:t>
      </w:r>
      <w:r w:rsidRPr="00053B0B">
        <w:rPr>
          <w:lang w:val="es-419"/>
        </w:rPr>
        <w:t xml:space="preserve"> variables más bajos. </w:t>
      </w:r>
    </w:p>
    <w:p w14:paraId="3DD7E1BD" w14:textId="77777777" w:rsidR="00747838" w:rsidRPr="00053B0B" w:rsidRDefault="00747838" w:rsidP="005F3346">
      <w:pPr>
        <w:rPr>
          <w:color w:val="000000" w:themeColor="text1"/>
          <w:lang w:val="es-419"/>
        </w:rPr>
      </w:pPr>
    </w:p>
    <w:p w14:paraId="1DFBE6E1" w14:textId="4CB5D30B" w:rsidR="004469DF" w:rsidRPr="00053B0B" w:rsidRDefault="009855B4">
      <w:pPr>
        <w:rPr>
          <w:color w:val="000000" w:themeColor="text1"/>
          <w:lang w:val="es-419"/>
        </w:rPr>
      </w:pPr>
      <w:r w:rsidRPr="00053B0B">
        <w:rPr>
          <w:lang w:val="es-419"/>
        </w:rPr>
        <w:lastRenderedPageBreak/>
        <w:t xml:space="preserve">La división de </w:t>
      </w:r>
      <w:r>
        <w:rPr>
          <w:lang w:val="es-419"/>
        </w:rPr>
        <w:t xml:space="preserve">Smart </w:t>
      </w:r>
      <w:proofErr w:type="spellStart"/>
      <w:r>
        <w:rPr>
          <w:lang w:val="es-419"/>
        </w:rPr>
        <w:t>Materials</w:t>
      </w:r>
      <w:proofErr w:type="spellEnd"/>
      <w:r w:rsidRPr="00053B0B">
        <w:rPr>
          <w:lang w:val="es-419"/>
        </w:rPr>
        <w:t xml:space="preserve"> prosiguió su recuperación en el segundo trimestre. En comparación con el año anterior, el EBITDA ajustado creció un 41% hasta 171 millones de euros (2T 2023: 122 millones de euros). La cifra también aumentó un 8% en comparación con el trimestre anterior. La mejora operativa fue aún mayor si se tiene en cuenta que el primer trimestre se había beneficiado de la venta de una licencia. La mejora se vio impulsada por una ligera recuperación, especialmente en los productos inorgánicos, así como por la reducción de los </w:t>
      </w:r>
      <w:r>
        <w:rPr>
          <w:lang w:val="es-419"/>
        </w:rPr>
        <w:t>costos</w:t>
      </w:r>
      <w:r w:rsidRPr="00053B0B">
        <w:rPr>
          <w:lang w:val="es-419"/>
        </w:rPr>
        <w:t xml:space="preserve"> de las materias primas. El año anterior, una parada programada en la planta de PA12 de </w:t>
      </w:r>
      <w:proofErr w:type="spellStart"/>
      <w:r w:rsidRPr="00053B0B">
        <w:rPr>
          <w:lang w:val="es-419"/>
        </w:rPr>
        <w:t>Marl</w:t>
      </w:r>
      <w:proofErr w:type="spellEnd"/>
      <w:r w:rsidRPr="00053B0B">
        <w:rPr>
          <w:lang w:val="es-419"/>
        </w:rPr>
        <w:t xml:space="preserve"> (Alemania) había tenido un importante impacto negativo en los resultados</w:t>
      </w:r>
      <w:r w:rsidRPr="00053B0B">
        <w:rPr>
          <w:color w:val="000000" w:themeColor="text1"/>
          <w:lang w:val="es-419"/>
        </w:rPr>
        <w:t xml:space="preserve">. </w:t>
      </w:r>
    </w:p>
    <w:p w14:paraId="63D509B2" w14:textId="77777777" w:rsidR="005F3346" w:rsidRPr="00053B0B" w:rsidRDefault="005F3346" w:rsidP="005F3346">
      <w:pPr>
        <w:rPr>
          <w:color w:val="000000" w:themeColor="text1"/>
          <w:lang w:val="es-419"/>
        </w:rPr>
      </w:pPr>
    </w:p>
    <w:p w14:paraId="7EE1E832" w14:textId="751A1633" w:rsidR="004469DF" w:rsidRPr="00053B0B" w:rsidRDefault="009855B4">
      <w:pPr>
        <w:rPr>
          <w:color w:val="000000" w:themeColor="text1"/>
          <w:lang w:val="es-419"/>
        </w:rPr>
      </w:pPr>
      <w:r w:rsidRPr="00053B0B">
        <w:rPr>
          <w:lang w:val="es-419"/>
        </w:rPr>
        <w:t xml:space="preserve">Con un EBITDA ajustado de 52 millones de euros, la división Performance </w:t>
      </w:r>
      <w:proofErr w:type="spellStart"/>
      <w:r w:rsidRPr="00053B0B">
        <w:rPr>
          <w:lang w:val="es-419"/>
        </w:rPr>
        <w:t>Materials</w:t>
      </w:r>
      <w:proofErr w:type="spellEnd"/>
      <w:r w:rsidRPr="00053B0B">
        <w:rPr>
          <w:lang w:val="es-419"/>
        </w:rPr>
        <w:t xml:space="preserve"> registró un resultado un 17% superior al del año anterior (2T 2023: 45 millones de euros) y un 22% superior al del primer trimestre</w:t>
      </w:r>
      <w:r>
        <w:rPr>
          <w:lang w:val="es-419"/>
        </w:rPr>
        <w:t xml:space="preserve">. </w:t>
      </w:r>
      <w:r w:rsidRPr="00053B0B">
        <w:rPr>
          <w:rStyle w:val="tw4winMark"/>
          <w:lang w:val="es-419"/>
        </w:rPr>
        <w:t xml:space="preserve">.&lt;0} </w:t>
      </w:r>
      <w:r w:rsidRPr="00053B0B">
        <w:rPr>
          <w:lang w:val="es-419"/>
        </w:rPr>
        <w:t xml:space="preserve">Al inicio del trimestre, las perturbaciones en las cadenas de suministro tuvieron un impacto positivo, especialmente en los negocios de </w:t>
      </w:r>
      <w:proofErr w:type="spellStart"/>
      <w:r w:rsidRPr="00053B0B">
        <w:rPr>
          <w:lang w:val="es-419"/>
        </w:rPr>
        <w:t>oxoalcoholes</w:t>
      </w:r>
      <w:proofErr w:type="spellEnd"/>
      <w:r w:rsidRPr="00053B0B">
        <w:rPr>
          <w:lang w:val="es-419"/>
        </w:rPr>
        <w:t xml:space="preserve"> y plastificantes.  </w:t>
      </w:r>
    </w:p>
    <w:p w14:paraId="3B95D401" w14:textId="77777777" w:rsidR="005F3346" w:rsidRPr="00053B0B" w:rsidRDefault="005F3346" w:rsidP="005F3346">
      <w:pPr>
        <w:rPr>
          <w:color w:val="000000" w:themeColor="text1"/>
          <w:lang w:val="es-419"/>
        </w:rPr>
      </w:pPr>
    </w:p>
    <w:p w14:paraId="7DF2FE5B" w14:textId="6F43EEC2" w:rsidR="004469DF" w:rsidRPr="00053B0B" w:rsidRDefault="009855B4">
      <w:pPr>
        <w:rPr>
          <w:color w:val="000000" w:themeColor="text1"/>
          <w:lang w:val="es-419"/>
        </w:rPr>
      </w:pPr>
      <w:r w:rsidRPr="00053B0B">
        <w:rPr>
          <w:lang w:val="es-419"/>
        </w:rPr>
        <w:t xml:space="preserve">Como en trimestres anteriores, la división </w:t>
      </w:r>
      <w:proofErr w:type="spellStart"/>
      <w:r w:rsidRPr="00846E75">
        <w:rPr>
          <w:lang w:val="es-419"/>
        </w:rPr>
        <w:t>Technology</w:t>
      </w:r>
      <w:proofErr w:type="spellEnd"/>
      <w:r w:rsidRPr="00846E75">
        <w:rPr>
          <w:lang w:val="es-419"/>
        </w:rPr>
        <w:t xml:space="preserve"> &amp; </w:t>
      </w:r>
      <w:proofErr w:type="spellStart"/>
      <w:r w:rsidRPr="00846E75">
        <w:rPr>
          <w:lang w:val="es-419"/>
        </w:rPr>
        <w:t>Infrastructure</w:t>
      </w:r>
      <w:proofErr w:type="spellEnd"/>
      <w:r w:rsidRPr="00846E75">
        <w:rPr>
          <w:lang w:val="es-419"/>
        </w:rPr>
        <w:t xml:space="preserve"> / </w:t>
      </w:r>
      <w:proofErr w:type="spellStart"/>
      <w:proofErr w:type="gramStart"/>
      <w:r w:rsidRPr="00846E75">
        <w:rPr>
          <w:lang w:val="es-419"/>
        </w:rPr>
        <w:t>Other</w:t>
      </w:r>
      <w:proofErr w:type="spellEnd"/>
      <w:r w:rsidRPr="00846E75">
        <w:rPr>
          <w:lang w:val="es-419"/>
        </w:rPr>
        <w:t xml:space="preserve"> </w:t>
      </w:r>
      <w:r w:rsidRPr="00053B0B">
        <w:rPr>
          <w:lang w:val="es-419"/>
        </w:rPr>
        <w:t xml:space="preserve"> tuvo</w:t>
      </w:r>
      <w:proofErr w:type="gramEnd"/>
      <w:r w:rsidRPr="00053B0B">
        <w:rPr>
          <w:lang w:val="es-419"/>
        </w:rPr>
        <w:t xml:space="preserve"> un reflejo positivo en las medidas de contingencia del Grupo. Sin embargo, esta ventaja se vio contrarrestada por mayores provisiones de unos30 millones de euros, </w:t>
      </w:r>
      <w:r w:rsidR="00E34B35" w:rsidRPr="00053B0B">
        <w:rPr>
          <w:lang w:val="es-419"/>
        </w:rPr>
        <w:t xml:space="preserve">entre otras cosas, </w:t>
      </w:r>
      <w:r w:rsidRPr="00053B0B">
        <w:rPr>
          <w:lang w:val="es-419"/>
        </w:rPr>
        <w:t xml:space="preserve">para retribución variable. En consecuencia, el EBITDA ajustado ascendió a un total negativo de cinco millones de euros, frente a una cifra positiva de 13 millones de euros en el mismo trimestre del año anterior. </w:t>
      </w:r>
    </w:p>
    <w:p w14:paraId="6E14DAA6" w14:textId="77777777" w:rsidR="005F3346" w:rsidRPr="00053B0B" w:rsidRDefault="005F3346" w:rsidP="003D3082">
      <w:pPr>
        <w:rPr>
          <w:color w:val="000000"/>
          <w:lang w:val="es-419"/>
        </w:rPr>
      </w:pPr>
    </w:p>
    <w:bookmarkEnd w:id="0"/>
    <w:p w14:paraId="3114FA3B" w14:textId="77777777" w:rsidR="00C840A5" w:rsidRDefault="00C840A5" w:rsidP="00C840A5">
      <w:pPr>
        <w:spacing w:line="240" w:lineRule="auto"/>
        <w:rPr>
          <w:lang w:val="es-419"/>
        </w:rPr>
      </w:pPr>
    </w:p>
    <w:p w14:paraId="0E923CF8" w14:textId="77777777" w:rsidR="00053B0B" w:rsidRDefault="00053B0B" w:rsidP="00053B0B">
      <w:pPr>
        <w:autoSpaceDE w:val="0"/>
        <w:autoSpaceDN w:val="0"/>
        <w:adjustRightInd w:val="0"/>
        <w:spacing w:line="220" w:lineRule="exact"/>
        <w:rPr>
          <w:rFonts w:cs="Lucida Sans Unicode"/>
          <w:szCs w:val="22"/>
          <w:lang w:val="es-419"/>
        </w:rPr>
      </w:pPr>
    </w:p>
    <w:p w14:paraId="1B399F62" w14:textId="77777777" w:rsidR="00053B0B" w:rsidRDefault="00053B0B" w:rsidP="00053B0B">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0CA4294D" w14:textId="77777777" w:rsidR="00053B0B" w:rsidRDefault="00053B0B" w:rsidP="00053B0B">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10D13961" w14:textId="77777777" w:rsidR="00053B0B" w:rsidRDefault="00053B0B" w:rsidP="00053B0B">
      <w:pPr>
        <w:spacing w:line="220" w:lineRule="exact"/>
        <w:rPr>
          <w:rFonts w:cs="Lucida Sans Unicode"/>
          <w:color w:val="000000"/>
          <w:sz w:val="18"/>
          <w:szCs w:val="18"/>
          <w:lang w:val="es-ES" w:eastAsia="pt-BR"/>
        </w:rPr>
      </w:pPr>
    </w:p>
    <w:p w14:paraId="4592FFE0" w14:textId="77777777" w:rsidR="00053B0B" w:rsidRDefault="00053B0B" w:rsidP="00053B0B">
      <w:pPr>
        <w:spacing w:line="220" w:lineRule="exact"/>
        <w:jc w:val="both"/>
        <w:rPr>
          <w:rFonts w:cs="Lucida Sans Unicode"/>
          <w:color w:val="000000"/>
          <w:sz w:val="18"/>
          <w:szCs w:val="18"/>
          <w:lang w:val="es-ES" w:eastAsia="pt-BR"/>
        </w:rPr>
      </w:pPr>
    </w:p>
    <w:p w14:paraId="336F12B6" w14:textId="77777777" w:rsidR="00053B0B" w:rsidRDefault="00053B0B" w:rsidP="00053B0B">
      <w:pPr>
        <w:spacing w:line="220" w:lineRule="exact"/>
        <w:jc w:val="both"/>
        <w:rPr>
          <w:b/>
          <w:bCs/>
          <w:sz w:val="18"/>
          <w:szCs w:val="18"/>
          <w:lang w:val="es-ES" w:eastAsia="pt-BR"/>
        </w:rPr>
      </w:pPr>
      <w:r>
        <w:rPr>
          <w:b/>
          <w:bCs/>
          <w:sz w:val="18"/>
          <w:szCs w:val="18"/>
          <w:lang w:val="es-ES" w:eastAsia="pt-BR"/>
        </w:rPr>
        <w:t>Nota legal</w:t>
      </w:r>
    </w:p>
    <w:p w14:paraId="472D9DE5" w14:textId="77777777" w:rsidR="00053B0B" w:rsidRDefault="00053B0B" w:rsidP="00053B0B">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w:t>
      </w:r>
      <w:r>
        <w:rPr>
          <w:rFonts w:cs="Lucida Sans Unicode"/>
          <w:color w:val="000000"/>
          <w:sz w:val="18"/>
          <w:szCs w:val="18"/>
          <w:lang w:val="es-ES" w:eastAsia="pt-BR"/>
        </w:rPr>
        <w:lastRenderedPageBreak/>
        <w:t xml:space="preserve">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C0F227F" w14:textId="77777777" w:rsidR="00053B0B" w:rsidRDefault="00053B0B" w:rsidP="00053B0B">
      <w:pPr>
        <w:spacing w:line="220" w:lineRule="exact"/>
        <w:jc w:val="both"/>
        <w:rPr>
          <w:rFonts w:cs="Lucida Sans Unicode"/>
          <w:color w:val="FF0000"/>
          <w:sz w:val="18"/>
          <w:szCs w:val="18"/>
          <w:lang w:val="es-ES" w:eastAsia="pt-BR"/>
        </w:rPr>
      </w:pPr>
    </w:p>
    <w:p w14:paraId="2BAB46D8" w14:textId="77777777" w:rsidR="00053B0B" w:rsidRDefault="00053B0B" w:rsidP="00053B0B">
      <w:pPr>
        <w:outlineLvl w:val="0"/>
        <w:rPr>
          <w:rFonts w:cs="Arial"/>
          <w:kern w:val="28"/>
          <w:sz w:val="18"/>
          <w:szCs w:val="18"/>
          <w:lang w:val="es-ES" w:eastAsia="pt-BR"/>
        </w:rPr>
      </w:pPr>
    </w:p>
    <w:p w14:paraId="64C984BD" w14:textId="77777777" w:rsidR="00053B0B" w:rsidRDefault="00053B0B" w:rsidP="00053B0B">
      <w:pPr>
        <w:spacing w:line="240" w:lineRule="auto"/>
        <w:rPr>
          <w:rFonts w:cs="Lucida Sans Unicode"/>
          <w:b/>
          <w:sz w:val="18"/>
          <w:szCs w:val="18"/>
          <w:lang w:val="pt-BR" w:eastAsia="pt-BR"/>
        </w:rPr>
      </w:pPr>
      <w:bookmarkStart w:id="2" w:name="_Hlk29560670"/>
      <w:bookmarkEnd w:id="2"/>
      <w:r w:rsidRPr="00CD35A3">
        <w:rPr>
          <w:rFonts w:cs="Lucida Sans Unicode"/>
          <w:b/>
          <w:sz w:val="18"/>
          <w:szCs w:val="18"/>
          <w:lang w:val="pt-BR" w:eastAsia="pt-BR"/>
        </w:rPr>
        <w:t>Evonik Brasil Ltda.</w:t>
      </w:r>
    </w:p>
    <w:p w14:paraId="21F63050" w14:textId="77777777" w:rsidR="00053B0B" w:rsidRPr="00CD35A3" w:rsidRDefault="00053B0B" w:rsidP="00053B0B">
      <w:pPr>
        <w:spacing w:line="240" w:lineRule="auto"/>
        <w:rPr>
          <w:rFonts w:cs="Lucida Sans Unicode"/>
          <w:sz w:val="18"/>
          <w:szCs w:val="18"/>
          <w:lang w:val="pt-BR" w:eastAsia="pt-BR"/>
        </w:rPr>
      </w:pPr>
      <w:proofErr w:type="spellStart"/>
      <w:r w:rsidRPr="00CD35A3">
        <w:rPr>
          <w:rFonts w:cs="Lucida Sans Unicode"/>
          <w:sz w:val="18"/>
          <w:szCs w:val="18"/>
          <w:lang w:val="pt-BR" w:eastAsia="pt-BR"/>
        </w:rPr>
        <w:t>Teléfono</w:t>
      </w:r>
      <w:proofErr w:type="spellEnd"/>
      <w:r w:rsidRPr="00CD35A3">
        <w:rPr>
          <w:rFonts w:cs="Lucida Sans Unicode"/>
          <w:sz w:val="18"/>
          <w:szCs w:val="18"/>
          <w:lang w:val="pt-BR" w:eastAsia="pt-BR"/>
        </w:rPr>
        <w:t>: (11) 3146-4100</w:t>
      </w:r>
    </w:p>
    <w:p w14:paraId="7CA824E1" w14:textId="77777777" w:rsidR="00053B0B" w:rsidRPr="00CD35A3" w:rsidRDefault="00053B0B" w:rsidP="00053B0B">
      <w:pPr>
        <w:spacing w:line="240" w:lineRule="auto"/>
        <w:rPr>
          <w:rFonts w:cs="Lucida Sans Unicode"/>
          <w:sz w:val="18"/>
          <w:szCs w:val="18"/>
          <w:lang w:val="pt-BR" w:eastAsia="pt-BR"/>
        </w:rPr>
      </w:pPr>
      <w:r w:rsidRPr="00CD35A3">
        <w:rPr>
          <w:rFonts w:cs="Lucida Sans Unicode"/>
          <w:sz w:val="18"/>
          <w:szCs w:val="18"/>
          <w:lang w:val="pt-BR" w:eastAsia="pt-BR"/>
        </w:rPr>
        <w:t>www.evonik.com.br</w:t>
      </w:r>
    </w:p>
    <w:p w14:paraId="599BD84D" w14:textId="77777777" w:rsidR="00053B0B" w:rsidRPr="00CD35A3" w:rsidRDefault="00053B0B" w:rsidP="00053B0B">
      <w:pPr>
        <w:spacing w:line="240" w:lineRule="auto"/>
        <w:rPr>
          <w:rFonts w:cs="Lucida Sans Unicode"/>
          <w:sz w:val="18"/>
          <w:szCs w:val="18"/>
          <w:lang w:val="pt-BR" w:eastAsia="pt-BR"/>
        </w:rPr>
      </w:pPr>
      <w:r w:rsidRPr="00CD35A3">
        <w:rPr>
          <w:rFonts w:cs="Lucida Sans Unicode"/>
          <w:sz w:val="18"/>
          <w:szCs w:val="18"/>
          <w:lang w:val="pt-BR" w:eastAsia="pt-BR"/>
        </w:rPr>
        <w:t>facebook.com/Evonik</w:t>
      </w:r>
    </w:p>
    <w:p w14:paraId="4AC5F8E2" w14:textId="77777777" w:rsidR="00053B0B" w:rsidRPr="00CD35A3" w:rsidRDefault="00053B0B" w:rsidP="00053B0B">
      <w:pPr>
        <w:spacing w:line="240" w:lineRule="auto"/>
        <w:rPr>
          <w:rFonts w:cs="Lucida Sans Unicode"/>
          <w:sz w:val="18"/>
          <w:szCs w:val="18"/>
          <w:lang w:val="pt-BR" w:eastAsia="pt-BR"/>
        </w:rPr>
      </w:pPr>
      <w:r w:rsidRPr="00CD35A3">
        <w:rPr>
          <w:rFonts w:cs="Lucida Sans Unicode"/>
          <w:sz w:val="18"/>
          <w:szCs w:val="18"/>
          <w:lang w:val="pt-BR" w:eastAsia="pt-BR"/>
        </w:rPr>
        <w:t>instagram.com/</w:t>
      </w:r>
      <w:proofErr w:type="spellStart"/>
      <w:r w:rsidRPr="00CD35A3">
        <w:rPr>
          <w:rFonts w:cs="Lucida Sans Unicode"/>
          <w:sz w:val="18"/>
          <w:szCs w:val="18"/>
          <w:lang w:val="pt-BR" w:eastAsia="pt-BR"/>
        </w:rPr>
        <w:t>Evonik.Brasil</w:t>
      </w:r>
      <w:proofErr w:type="spellEnd"/>
    </w:p>
    <w:p w14:paraId="27E9DA0F" w14:textId="77777777" w:rsidR="00053B0B" w:rsidRPr="00846E75" w:rsidRDefault="00053B0B" w:rsidP="00053B0B">
      <w:pPr>
        <w:spacing w:line="240" w:lineRule="auto"/>
        <w:rPr>
          <w:rFonts w:cs="Lucida Sans Unicode"/>
          <w:sz w:val="18"/>
          <w:szCs w:val="18"/>
          <w:lang w:val="es-419" w:eastAsia="pt-BR"/>
        </w:rPr>
      </w:pPr>
      <w:r w:rsidRPr="00846E75">
        <w:rPr>
          <w:rFonts w:cs="Lucida Sans Unicode"/>
          <w:sz w:val="18"/>
          <w:szCs w:val="18"/>
          <w:lang w:val="es-419" w:eastAsia="pt-BR"/>
        </w:rPr>
        <w:t>youtube.com/</w:t>
      </w:r>
      <w:proofErr w:type="spellStart"/>
      <w:r w:rsidRPr="00846E75">
        <w:rPr>
          <w:rFonts w:cs="Lucida Sans Unicode"/>
          <w:sz w:val="18"/>
          <w:szCs w:val="18"/>
          <w:lang w:val="es-419" w:eastAsia="pt-BR"/>
        </w:rPr>
        <w:t>EvonikIndustries</w:t>
      </w:r>
      <w:proofErr w:type="spellEnd"/>
    </w:p>
    <w:p w14:paraId="515F30C3" w14:textId="77777777" w:rsidR="00053B0B" w:rsidRPr="00846E75" w:rsidRDefault="00053B0B" w:rsidP="00053B0B">
      <w:pPr>
        <w:spacing w:line="240" w:lineRule="auto"/>
        <w:rPr>
          <w:rFonts w:cs="Lucida Sans Unicode"/>
          <w:sz w:val="18"/>
          <w:szCs w:val="18"/>
          <w:lang w:val="es-419" w:eastAsia="pt-BR"/>
        </w:rPr>
      </w:pPr>
      <w:r w:rsidRPr="00846E75">
        <w:rPr>
          <w:rFonts w:cs="Lucida Sans Unicode"/>
          <w:sz w:val="18"/>
          <w:szCs w:val="18"/>
          <w:lang w:val="es-419" w:eastAsia="pt-BR"/>
        </w:rPr>
        <w:t>linkedin.com/company/Evonik</w:t>
      </w:r>
    </w:p>
    <w:p w14:paraId="4BDE9556" w14:textId="77777777" w:rsidR="00053B0B" w:rsidRPr="00846E75" w:rsidRDefault="00053B0B" w:rsidP="00053B0B">
      <w:pPr>
        <w:spacing w:line="220" w:lineRule="exact"/>
        <w:outlineLvl w:val="0"/>
        <w:rPr>
          <w:sz w:val="18"/>
          <w:szCs w:val="18"/>
          <w:lang w:val="es-419" w:eastAsia="pt-BR"/>
        </w:rPr>
      </w:pPr>
    </w:p>
    <w:p w14:paraId="3513DEAE" w14:textId="77777777" w:rsidR="00053B0B" w:rsidRPr="00846E75" w:rsidRDefault="00053B0B" w:rsidP="00053B0B">
      <w:pPr>
        <w:spacing w:line="220" w:lineRule="exact"/>
        <w:rPr>
          <w:rFonts w:eastAsia="Lucida Sans Unicode" w:cs="Lucida Sans Unicode"/>
          <w:sz w:val="18"/>
          <w:szCs w:val="18"/>
          <w:bdr w:val="none" w:sz="0" w:space="0" w:color="auto" w:frame="1"/>
          <w:lang w:val="es-419" w:eastAsia="pt-BR"/>
        </w:rPr>
      </w:pPr>
    </w:p>
    <w:p w14:paraId="56529C44" w14:textId="77777777" w:rsidR="00053B0B" w:rsidRDefault="00053B0B" w:rsidP="00053B0B">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A41BB7D" w14:textId="77777777" w:rsidR="00053B0B" w:rsidRDefault="00053B0B" w:rsidP="00053B0B">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06C27BA3" w14:textId="77777777" w:rsidR="00053B0B" w:rsidRPr="00CD35A3" w:rsidRDefault="00053B0B" w:rsidP="00053B0B">
      <w:pPr>
        <w:spacing w:line="240" w:lineRule="auto"/>
        <w:rPr>
          <w:rFonts w:cs="Lucida Sans Unicode"/>
          <w:bCs/>
          <w:sz w:val="18"/>
          <w:szCs w:val="18"/>
          <w:lang w:val="pt-BR" w:eastAsia="pt-BR"/>
        </w:rPr>
      </w:pPr>
      <w:r w:rsidRPr="00CD35A3">
        <w:rPr>
          <w:rFonts w:cs="Lucida Sans Unicode"/>
          <w:bCs/>
          <w:sz w:val="18"/>
          <w:szCs w:val="18"/>
          <w:lang w:val="pt-BR" w:eastAsia="pt-BR"/>
        </w:rPr>
        <w:t>Sheila Diez: (11) 3473.0255 - sheila@viapublicacomunicacao.com.br</w:t>
      </w:r>
    </w:p>
    <w:p w14:paraId="6E0DCBCB" w14:textId="77777777" w:rsidR="00053B0B" w:rsidRDefault="00053B0B" w:rsidP="00053B0B">
      <w:pPr>
        <w:spacing w:line="240" w:lineRule="auto"/>
        <w:rPr>
          <w:rFonts w:cs="Lucida Sans Unicode"/>
          <w:bCs/>
          <w:sz w:val="18"/>
          <w:szCs w:val="18"/>
          <w:lang w:val="pt-BR"/>
        </w:rPr>
      </w:pPr>
      <w:r w:rsidRPr="00CD35A3">
        <w:rPr>
          <w:rFonts w:cs="Lucida Sans Unicode"/>
          <w:bCs/>
          <w:sz w:val="18"/>
          <w:szCs w:val="18"/>
          <w:lang w:val="pt-BR" w:eastAsia="pt-BR"/>
        </w:rPr>
        <w:t xml:space="preserve">Taís Augusto: (11) 3562.5555 - </w:t>
      </w:r>
      <w:hyperlink r:id="rId11" w:history="1">
        <w:r w:rsidRPr="00CD35A3">
          <w:rPr>
            <w:rStyle w:val="Hyperlink"/>
            <w:rFonts w:cs="Lucida Sans Unicode"/>
            <w:bCs/>
            <w:sz w:val="18"/>
            <w:szCs w:val="18"/>
            <w:lang w:val="pt-BR" w:eastAsia="pt-BR"/>
          </w:rPr>
          <w:t>tais@viapublicacomunicacao.com.br</w:t>
        </w:r>
      </w:hyperlink>
      <w:bookmarkEnd w:id="1"/>
    </w:p>
    <w:p w14:paraId="225011B3" w14:textId="77777777" w:rsidR="00053B0B" w:rsidRPr="00CD35A3" w:rsidRDefault="00053B0B" w:rsidP="00053B0B">
      <w:pPr>
        <w:spacing w:line="240" w:lineRule="auto"/>
        <w:rPr>
          <w:rFonts w:cs="Lucida Sans Unicode"/>
          <w:bCs/>
          <w:sz w:val="18"/>
          <w:szCs w:val="18"/>
          <w:lang w:val="pt-BR"/>
        </w:rPr>
      </w:pPr>
    </w:p>
    <w:p w14:paraId="74C3C9AE" w14:textId="77777777" w:rsidR="00053B0B" w:rsidRPr="00CD35A3" w:rsidRDefault="00053B0B" w:rsidP="00053B0B">
      <w:pPr>
        <w:spacing w:line="220" w:lineRule="exact"/>
        <w:outlineLvl w:val="0"/>
        <w:rPr>
          <w:b/>
          <w:bCs/>
          <w:color w:val="000000"/>
          <w:sz w:val="18"/>
          <w:szCs w:val="18"/>
          <w:lang w:val="pt-BR"/>
        </w:rPr>
      </w:pPr>
    </w:p>
    <w:p w14:paraId="54CD33D3" w14:textId="77777777" w:rsidR="00053B0B" w:rsidRPr="00CD35A3" w:rsidRDefault="00053B0B" w:rsidP="00C840A5">
      <w:pPr>
        <w:spacing w:line="240" w:lineRule="auto"/>
        <w:rPr>
          <w:lang w:val="pt-BR"/>
        </w:rPr>
      </w:pPr>
    </w:p>
    <w:sectPr w:rsidR="00053B0B" w:rsidRPr="00CD35A3" w:rsidSect="00363C7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DFD91" w14:textId="77777777" w:rsidR="005B225B" w:rsidRDefault="005B225B" w:rsidP="00FD1184">
      <w:r>
        <w:separator/>
      </w:r>
    </w:p>
  </w:endnote>
  <w:endnote w:type="continuationSeparator" w:id="0">
    <w:p w14:paraId="6CEBCDCD" w14:textId="77777777" w:rsidR="005B225B" w:rsidRDefault="005B225B" w:rsidP="00FD1184">
      <w:r>
        <w:continuationSeparator/>
      </w:r>
    </w:p>
  </w:endnote>
  <w:endnote w:type="continuationNotice" w:id="1">
    <w:p w14:paraId="04123FFA" w14:textId="77777777" w:rsidR="005B225B" w:rsidRDefault="005B22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EBFD7" w14:textId="77777777" w:rsidR="004B3707" w:rsidRDefault="004B3707">
    <w:pPr>
      <w:pStyle w:val="Rodap"/>
    </w:pPr>
  </w:p>
  <w:p w14:paraId="76227C22" w14:textId="77777777" w:rsidR="004469DF" w:rsidRDefault="009855B4">
    <w:pPr>
      <w:pStyle w:val="Rodap"/>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de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0BD7A" w14:textId="77777777" w:rsidR="004B3707" w:rsidRDefault="004B3707" w:rsidP="00316EC0">
    <w:pPr>
      <w:pStyle w:val="Rodap"/>
    </w:pPr>
  </w:p>
  <w:p w14:paraId="2491A878" w14:textId="77777777" w:rsidR="004469DF" w:rsidRDefault="009855B4">
    <w:pPr>
      <w:pStyle w:val="Rodap"/>
      <w:rPr>
        <w:szCs w:val="18"/>
      </w:rPr>
    </w:pPr>
    <w:r w:rsidRPr="005225EC">
      <w:rPr>
        <w:szCs w:val="18"/>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BB1A4" w14:textId="77777777" w:rsidR="005B225B" w:rsidRDefault="005B225B" w:rsidP="00FD1184">
      <w:r>
        <w:separator/>
      </w:r>
    </w:p>
  </w:footnote>
  <w:footnote w:type="continuationSeparator" w:id="0">
    <w:p w14:paraId="2F57F45C" w14:textId="77777777" w:rsidR="005B225B" w:rsidRDefault="005B225B" w:rsidP="00FD1184">
      <w:r>
        <w:continuationSeparator/>
      </w:r>
    </w:p>
  </w:footnote>
  <w:footnote w:type="continuationNotice" w:id="1">
    <w:p w14:paraId="0E960D9C" w14:textId="77777777" w:rsidR="005B225B" w:rsidRDefault="005B22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62BF" w14:textId="77777777" w:rsidR="004469DF" w:rsidRDefault="009855B4">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5B842D85" wp14:editId="78D33D53">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5AE49C93" wp14:editId="0F57A453">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BE89" w14:textId="77777777" w:rsidR="004469DF" w:rsidRDefault="009855B4">
    <w:pPr>
      <w:pStyle w:val="Cabealho"/>
      <w:rPr>
        <w:b/>
        <w:sz w:val="2"/>
        <w:szCs w:val="2"/>
      </w:rPr>
    </w:pPr>
    <w:r>
      <w:rPr>
        <w:noProof/>
      </w:rPr>
      <w:drawing>
        <wp:anchor distT="0" distB="0" distL="114300" distR="114300" simplePos="0" relativeHeight="251658242" behindDoc="0" locked="0" layoutInCell="1" allowOverlap="1" wp14:anchorId="3047AD5D" wp14:editId="48D29EE1">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325EC43" wp14:editId="70E5ADF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419"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14019"/>
    <w:rsid w:val="00017DD1"/>
    <w:rsid w:val="00017FD6"/>
    <w:rsid w:val="00022955"/>
    <w:rsid w:val="000261BB"/>
    <w:rsid w:val="00031010"/>
    <w:rsid w:val="00031C52"/>
    <w:rsid w:val="00033332"/>
    <w:rsid w:val="00033B6F"/>
    <w:rsid w:val="00035360"/>
    <w:rsid w:val="00035CA5"/>
    <w:rsid w:val="00036D31"/>
    <w:rsid w:val="00042660"/>
    <w:rsid w:val="00044EB8"/>
    <w:rsid w:val="00046D8D"/>
    <w:rsid w:val="000478DF"/>
    <w:rsid w:val="00047E57"/>
    <w:rsid w:val="00050FC3"/>
    <w:rsid w:val="00052D1E"/>
    <w:rsid w:val="00052FB1"/>
    <w:rsid w:val="00053B0B"/>
    <w:rsid w:val="00054327"/>
    <w:rsid w:val="0005492A"/>
    <w:rsid w:val="000557A8"/>
    <w:rsid w:val="0006177F"/>
    <w:rsid w:val="000619F7"/>
    <w:rsid w:val="0006608A"/>
    <w:rsid w:val="0006653B"/>
    <w:rsid w:val="0007047A"/>
    <w:rsid w:val="0007097D"/>
    <w:rsid w:val="00070FC4"/>
    <w:rsid w:val="000731FD"/>
    <w:rsid w:val="0007513E"/>
    <w:rsid w:val="00077E44"/>
    <w:rsid w:val="00083287"/>
    <w:rsid w:val="00084015"/>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0109"/>
    <w:rsid w:val="000B1B97"/>
    <w:rsid w:val="000B48F4"/>
    <w:rsid w:val="000B4D73"/>
    <w:rsid w:val="000B52A3"/>
    <w:rsid w:val="000C2CC1"/>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0D65"/>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B61F5"/>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3E6"/>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5F21"/>
    <w:rsid w:val="002A67F0"/>
    <w:rsid w:val="002A777D"/>
    <w:rsid w:val="002A77D8"/>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464B"/>
    <w:rsid w:val="002E310E"/>
    <w:rsid w:val="002E671B"/>
    <w:rsid w:val="002E698A"/>
    <w:rsid w:val="002F03E7"/>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387D"/>
    <w:rsid w:val="0035474F"/>
    <w:rsid w:val="003603CB"/>
    <w:rsid w:val="003609B3"/>
    <w:rsid w:val="00363C7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5FED"/>
    <w:rsid w:val="003868B6"/>
    <w:rsid w:val="003935F4"/>
    <w:rsid w:val="00395524"/>
    <w:rsid w:val="00397877"/>
    <w:rsid w:val="003A023D"/>
    <w:rsid w:val="003A0E96"/>
    <w:rsid w:val="003A1BB1"/>
    <w:rsid w:val="003A390F"/>
    <w:rsid w:val="003A4CED"/>
    <w:rsid w:val="003A555F"/>
    <w:rsid w:val="003A6890"/>
    <w:rsid w:val="003B0938"/>
    <w:rsid w:val="003B46BD"/>
    <w:rsid w:val="003B50BB"/>
    <w:rsid w:val="003B5E1A"/>
    <w:rsid w:val="003B7457"/>
    <w:rsid w:val="003C0198"/>
    <w:rsid w:val="003C0B6A"/>
    <w:rsid w:val="003C14F1"/>
    <w:rsid w:val="003C1A93"/>
    <w:rsid w:val="003C2F96"/>
    <w:rsid w:val="003C30A8"/>
    <w:rsid w:val="003C3519"/>
    <w:rsid w:val="003D3082"/>
    <w:rsid w:val="003D3C20"/>
    <w:rsid w:val="003D4604"/>
    <w:rsid w:val="003D5621"/>
    <w:rsid w:val="003D6991"/>
    <w:rsid w:val="003D6E84"/>
    <w:rsid w:val="003E3A9B"/>
    <w:rsid w:val="003E4161"/>
    <w:rsid w:val="003E607B"/>
    <w:rsid w:val="003F01FD"/>
    <w:rsid w:val="003F092C"/>
    <w:rsid w:val="003F0B74"/>
    <w:rsid w:val="003F217C"/>
    <w:rsid w:val="003F37FB"/>
    <w:rsid w:val="003F4BE4"/>
    <w:rsid w:val="003F5509"/>
    <w:rsid w:val="003F5690"/>
    <w:rsid w:val="003F67EB"/>
    <w:rsid w:val="003F7122"/>
    <w:rsid w:val="004010A5"/>
    <w:rsid w:val="004016F5"/>
    <w:rsid w:val="00401CCC"/>
    <w:rsid w:val="00402562"/>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469DF"/>
    <w:rsid w:val="004523C4"/>
    <w:rsid w:val="0045469F"/>
    <w:rsid w:val="00462694"/>
    <w:rsid w:val="00462845"/>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117E"/>
    <w:rsid w:val="004D1330"/>
    <w:rsid w:val="004D2D91"/>
    <w:rsid w:val="004D5CA3"/>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10ACF"/>
    <w:rsid w:val="00513D7D"/>
    <w:rsid w:val="00515029"/>
    <w:rsid w:val="00515B12"/>
    <w:rsid w:val="0051648B"/>
    <w:rsid w:val="00516E89"/>
    <w:rsid w:val="005225B4"/>
    <w:rsid w:val="005225EC"/>
    <w:rsid w:val="00523650"/>
    <w:rsid w:val="00525014"/>
    <w:rsid w:val="00525847"/>
    <w:rsid w:val="00530D61"/>
    <w:rsid w:val="0053273E"/>
    <w:rsid w:val="005337DD"/>
    <w:rsid w:val="005374D9"/>
    <w:rsid w:val="00537644"/>
    <w:rsid w:val="00537FE8"/>
    <w:rsid w:val="00540E64"/>
    <w:rsid w:val="0054257B"/>
    <w:rsid w:val="00545831"/>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225B"/>
    <w:rsid w:val="005B3116"/>
    <w:rsid w:val="005B3BD7"/>
    <w:rsid w:val="005B4DEE"/>
    <w:rsid w:val="005B5492"/>
    <w:rsid w:val="005B5CBD"/>
    <w:rsid w:val="005B6481"/>
    <w:rsid w:val="005B6CF4"/>
    <w:rsid w:val="005B6EA1"/>
    <w:rsid w:val="005B6EF5"/>
    <w:rsid w:val="005B7C4D"/>
    <w:rsid w:val="005C05D3"/>
    <w:rsid w:val="005C2B62"/>
    <w:rsid w:val="005D13CD"/>
    <w:rsid w:val="005D1F12"/>
    <w:rsid w:val="005D3E2C"/>
    <w:rsid w:val="005D6F8C"/>
    <w:rsid w:val="005D774D"/>
    <w:rsid w:val="005E0314"/>
    <w:rsid w:val="005E0397"/>
    <w:rsid w:val="005E799F"/>
    <w:rsid w:val="005F14F3"/>
    <w:rsid w:val="005F234C"/>
    <w:rsid w:val="005F26C2"/>
    <w:rsid w:val="005F3346"/>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4028"/>
    <w:rsid w:val="00645F2F"/>
    <w:rsid w:val="006460A9"/>
    <w:rsid w:val="0064779E"/>
    <w:rsid w:val="00647919"/>
    <w:rsid w:val="00650D2D"/>
    <w:rsid w:val="00651146"/>
    <w:rsid w:val="00651F1E"/>
    <w:rsid w:val="00652A75"/>
    <w:rsid w:val="0065314A"/>
    <w:rsid w:val="0065697E"/>
    <w:rsid w:val="00657E1F"/>
    <w:rsid w:val="00661635"/>
    <w:rsid w:val="00662D9E"/>
    <w:rsid w:val="00665007"/>
    <w:rsid w:val="006651E2"/>
    <w:rsid w:val="00665AD6"/>
    <w:rsid w:val="00666F8E"/>
    <w:rsid w:val="00671993"/>
    <w:rsid w:val="006729D2"/>
    <w:rsid w:val="00676B4B"/>
    <w:rsid w:val="0068334F"/>
    <w:rsid w:val="00684C05"/>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A7D5C"/>
    <w:rsid w:val="006B0C0D"/>
    <w:rsid w:val="006B0EAD"/>
    <w:rsid w:val="006B5A48"/>
    <w:rsid w:val="006B78F2"/>
    <w:rsid w:val="006B7C22"/>
    <w:rsid w:val="006C35A6"/>
    <w:rsid w:val="006C388A"/>
    <w:rsid w:val="006C6ABC"/>
    <w:rsid w:val="006C6B58"/>
    <w:rsid w:val="006C733A"/>
    <w:rsid w:val="006D0B36"/>
    <w:rsid w:val="006D12F9"/>
    <w:rsid w:val="006D2890"/>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47838"/>
    <w:rsid w:val="00751E3D"/>
    <w:rsid w:val="007601B0"/>
    <w:rsid w:val="00763004"/>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5051"/>
    <w:rsid w:val="007A7E47"/>
    <w:rsid w:val="007A7F8A"/>
    <w:rsid w:val="007B0012"/>
    <w:rsid w:val="007B05D6"/>
    <w:rsid w:val="007B0E41"/>
    <w:rsid w:val="007B3B39"/>
    <w:rsid w:val="007C2596"/>
    <w:rsid w:val="007C3F8C"/>
    <w:rsid w:val="007C42FA"/>
    <w:rsid w:val="007D1E07"/>
    <w:rsid w:val="007D611B"/>
    <w:rsid w:val="007D6DEC"/>
    <w:rsid w:val="007D7056"/>
    <w:rsid w:val="007E025C"/>
    <w:rsid w:val="007E1760"/>
    <w:rsid w:val="007E2A6A"/>
    <w:rsid w:val="007E3390"/>
    <w:rsid w:val="007E3DBB"/>
    <w:rsid w:val="007E502D"/>
    <w:rsid w:val="007E5A2B"/>
    <w:rsid w:val="007E615D"/>
    <w:rsid w:val="007E6547"/>
    <w:rsid w:val="007E7C76"/>
    <w:rsid w:val="007F0D6E"/>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46E75"/>
    <w:rsid w:val="00850864"/>
    <w:rsid w:val="00851A49"/>
    <w:rsid w:val="008522FD"/>
    <w:rsid w:val="008528B3"/>
    <w:rsid w:val="00853FC9"/>
    <w:rsid w:val="00855E52"/>
    <w:rsid w:val="008609B6"/>
    <w:rsid w:val="00860A6B"/>
    <w:rsid w:val="00860CDC"/>
    <w:rsid w:val="00861A39"/>
    <w:rsid w:val="0086407A"/>
    <w:rsid w:val="00864967"/>
    <w:rsid w:val="00866B7D"/>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55B4"/>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3E02"/>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2590"/>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3D19"/>
    <w:rsid w:val="00BB4C6A"/>
    <w:rsid w:val="00BB5424"/>
    <w:rsid w:val="00BB62FD"/>
    <w:rsid w:val="00BC1D7E"/>
    <w:rsid w:val="00BC2653"/>
    <w:rsid w:val="00BC2833"/>
    <w:rsid w:val="00BC59CB"/>
    <w:rsid w:val="00BC6C2F"/>
    <w:rsid w:val="00BD03DC"/>
    <w:rsid w:val="00BD0760"/>
    <w:rsid w:val="00BD07F2"/>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69A5"/>
    <w:rsid w:val="00CC7E85"/>
    <w:rsid w:val="00CD12B9"/>
    <w:rsid w:val="00CD18DB"/>
    <w:rsid w:val="00CD2BCF"/>
    <w:rsid w:val="00CD35A3"/>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CF75D3"/>
    <w:rsid w:val="00D04E1F"/>
    <w:rsid w:val="00D05225"/>
    <w:rsid w:val="00D05278"/>
    <w:rsid w:val="00D074CA"/>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72A1"/>
    <w:rsid w:val="00E21B3C"/>
    <w:rsid w:val="00E241F5"/>
    <w:rsid w:val="00E24D67"/>
    <w:rsid w:val="00E31CFE"/>
    <w:rsid w:val="00E32972"/>
    <w:rsid w:val="00E34B35"/>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8047E"/>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47786"/>
    <w:rsid w:val="00F53C8C"/>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2F0"/>
    <w:rsid w:val="00FD37DA"/>
    <w:rsid w:val="00FD53BE"/>
    <w:rsid w:val="00FD7760"/>
    <w:rsid w:val="00FD7844"/>
    <w:rsid w:val="00FE20B6"/>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F6306"/>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2D"/>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har">
    <w:name w:val="Título Char"/>
    <w:basedOn w:val="Fontepargpadro"/>
    <w:link w:val="Ttulo"/>
    <w:uiPriority w:val="10"/>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artesuperior-zdoformulrio">
    <w:name w:val="HTML Top of Form"/>
    <w:basedOn w:val="Normal"/>
    <w:next w:val="Normal"/>
    <w:link w:val="Partesuperior-zdoformulrio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031010"/>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56231776">
      <w:bodyDiv w:val="1"/>
      <w:marLeft w:val="0"/>
      <w:marRight w:val="0"/>
      <w:marTop w:val="0"/>
      <w:marBottom w:val="0"/>
      <w:divBdr>
        <w:top w:val="none" w:sz="0" w:space="0" w:color="auto"/>
        <w:left w:val="none" w:sz="0" w:space="0" w:color="auto"/>
        <w:bottom w:val="none" w:sz="0" w:space="0" w:color="auto"/>
        <w:right w:val="none" w:sz="0" w:space="0" w:color="auto"/>
      </w:divBdr>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96469-8551-4322-B6EB-ABC465527346}">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ed93e86f-58e3-4db4-ae23-bda0ce9f8446"/>
    <ds:schemaRef ds:uri="b415715e-9e5f-41fb-99b2-94fa13c59ef2"/>
    <ds:schemaRef ds:uri="http://www.w3.org/XML/1998/namespace"/>
  </ds:schemaRefs>
</ds:datastoreItem>
</file>

<file path=customXml/itemProps2.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4.xml><?xml version="1.0" encoding="utf-8"?>
<ds:datastoreItem xmlns:ds="http://schemas.openxmlformats.org/officeDocument/2006/customXml" ds:itemID="{A475DE18-FD1D-432E-A305-AA283B91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5769</Characters>
  <Application>Microsoft Office Word</Application>
  <DocSecurity>0</DocSecurity>
  <Lines>48</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6784</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2Trim 2024</dc:subject>
  <dc:creator>Taís Augusto</dc:creator>
  <cp:keywords>, docId:81507AAA437C318B3845A8ABB6136F88</cp:keywords>
  <dc:description>Julho 2024</dc:description>
  <cp:lastModifiedBy>Cabrera, Guilherme</cp:lastModifiedBy>
  <cp:revision>5</cp:revision>
  <cp:lastPrinted>2024-07-18T14:03:00Z</cp:lastPrinted>
  <dcterms:created xsi:type="dcterms:W3CDTF">2024-07-18T13:25:00Z</dcterms:created>
  <dcterms:modified xsi:type="dcterms:W3CDTF">2024-07-18T14:03:00Z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y fmtid="{D5CDD505-2E9C-101B-9397-08002B2CF9AE}" pid="11" name="43b072f0-0f82-4aac-be1e-8abeffc32f66">
    <vt:bool>false</vt:bool>
  </property>
</Properties>
</file>