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5A9AD07A" w14:textId="77777777" w:rsidR="00FA73B4" w:rsidRPr="00242472" w:rsidRDefault="00242472" w:rsidP="00242472">
      <w:pPr>
        <w:pStyle w:val="Ttulo"/>
        <w:rPr>
          <w:sz w:val="28"/>
          <w:szCs w:val="28"/>
          <w:lang w:val="es-419"/>
        </w:rPr>
      </w:pPr>
      <w:r w:rsidRPr="00242472">
        <w:rPr>
          <w:sz w:val="28"/>
          <w:szCs w:val="28"/>
          <w:lang w:val="es-419"/>
        </w:rPr>
        <w:t xml:space="preserve">Evonik recibe el premio al mejor proveedor de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A73B4" w:rsidRPr="00DC1EB3" w14:paraId="54E3D02C" w14:textId="77777777" w:rsidTr="00EF56CD">
        <w:trPr>
          <w:trHeight w:val="851"/>
        </w:trPr>
        <w:tc>
          <w:tcPr>
            <w:tcW w:w="2552" w:type="dxa"/>
            <w:shd w:val="clear" w:color="auto" w:fill="auto"/>
          </w:tcPr>
          <w:p w14:paraId="003CB78F" w14:textId="57960B38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419"/>
              </w:rPr>
            </w:pPr>
            <w:r w:rsidRPr="00FA73B4">
              <w:rPr>
                <w:b w:val="0"/>
                <w:sz w:val="18"/>
                <w:szCs w:val="18"/>
                <w:lang w:val="es-419"/>
              </w:rPr>
              <w:t>1</w:t>
            </w:r>
            <w:r>
              <w:rPr>
                <w:b w:val="0"/>
                <w:sz w:val="18"/>
                <w:szCs w:val="18"/>
                <w:lang w:val="es-419"/>
              </w:rPr>
              <w:t>7</w:t>
            </w:r>
            <w:r w:rsidRPr="00FA73B4">
              <w:rPr>
                <w:b w:val="0"/>
                <w:sz w:val="18"/>
                <w:szCs w:val="18"/>
                <w:lang w:val="es-419"/>
              </w:rPr>
              <w:t xml:space="preserve"> de </w:t>
            </w:r>
            <w:r>
              <w:rPr>
                <w:b w:val="0"/>
                <w:sz w:val="18"/>
                <w:szCs w:val="18"/>
                <w:lang w:val="es-419"/>
              </w:rPr>
              <w:t>marz</w:t>
            </w:r>
            <w:r w:rsidRPr="00FA73B4">
              <w:rPr>
                <w:b w:val="0"/>
                <w:sz w:val="18"/>
                <w:szCs w:val="18"/>
                <w:lang w:val="es-419"/>
              </w:rPr>
              <w:t>o de 2025</w:t>
            </w:r>
          </w:p>
          <w:p w14:paraId="345A9742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12697C33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73CE5B62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  <w:r w:rsidRPr="00FA73B4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4E94BAE8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419"/>
              </w:rPr>
            </w:pPr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Comunicación &amp; Eventos</w:t>
            </w:r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br/>
              <w:t>América Central y del Sur</w:t>
            </w:r>
            <w:r w:rsidRPr="00FA73B4">
              <w:rPr>
                <w:rFonts w:eastAsia="Lucida Sans Unicode" w:cs="Lucida Sans Unicode"/>
                <w:szCs w:val="13"/>
                <w:bdr w:val="nil"/>
                <w:lang w:val="es-419"/>
              </w:rPr>
              <w:t xml:space="preserve"> </w:t>
            </w:r>
            <w:r w:rsidRPr="00FA73B4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proofErr w:type="spellStart"/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Phone</w:t>
            </w:r>
            <w:proofErr w:type="spellEnd"/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 xml:space="preserve"> +55 11 3146-4170</w:t>
            </w:r>
          </w:p>
          <w:p w14:paraId="3AD33D4F" w14:textId="77777777" w:rsidR="00FA73B4" w:rsidRPr="00DC1EB3" w:rsidRDefault="00FA73B4" w:rsidP="00EF56C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FA73B4" w:rsidRPr="00DC1EB3" w14:paraId="5BE987E4" w14:textId="77777777" w:rsidTr="00EF56CD">
        <w:trPr>
          <w:trHeight w:val="851"/>
        </w:trPr>
        <w:tc>
          <w:tcPr>
            <w:tcW w:w="2552" w:type="dxa"/>
            <w:shd w:val="clear" w:color="auto" w:fill="auto"/>
          </w:tcPr>
          <w:p w14:paraId="42B604F8" w14:textId="77777777" w:rsidR="00FA73B4" w:rsidRPr="00DC1EB3" w:rsidRDefault="00FA73B4" w:rsidP="00EF56C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16C68CAF" w14:textId="5BB219F6" w:rsidR="00242472" w:rsidRPr="00242472" w:rsidRDefault="00242472" w:rsidP="00242472">
      <w:pPr>
        <w:pStyle w:val="Ttulo"/>
        <w:rPr>
          <w:lang w:val="es-419"/>
        </w:rPr>
      </w:pPr>
      <w:proofErr w:type="spellStart"/>
      <w:r w:rsidRPr="00242472">
        <w:rPr>
          <w:sz w:val="28"/>
          <w:szCs w:val="28"/>
          <w:lang w:val="es-419"/>
        </w:rPr>
        <w:t>bioprocesado</w:t>
      </w:r>
      <w:proofErr w:type="spellEnd"/>
      <w:r w:rsidRPr="00242472">
        <w:rPr>
          <w:sz w:val="28"/>
          <w:szCs w:val="28"/>
          <w:lang w:val="es-419"/>
        </w:rPr>
        <w:t xml:space="preserve"> por sus soluciones para cultivos celulares</w:t>
      </w:r>
    </w:p>
    <w:p w14:paraId="5A0FCE38" w14:textId="77777777" w:rsidR="00242472" w:rsidRPr="00242472" w:rsidRDefault="00242472" w:rsidP="00242472">
      <w:pPr>
        <w:pStyle w:val="Ttulo"/>
        <w:rPr>
          <w:lang w:val="es-419"/>
        </w:rPr>
      </w:pPr>
    </w:p>
    <w:p w14:paraId="2B672079" w14:textId="77777777" w:rsidR="00242472" w:rsidRPr="003315F6" w:rsidRDefault="00242472" w:rsidP="00242472">
      <w:pPr>
        <w:pStyle w:val="Prrafodelista"/>
        <w:numPr>
          <w:ilvl w:val="0"/>
          <w:numId w:val="22"/>
        </w:numPr>
        <w:rPr>
          <w:rFonts w:cs="Lucida Sans Unicode"/>
          <w:sz w:val="24"/>
          <w:lang w:val="es-ES"/>
        </w:rPr>
      </w:pPr>
      <w:r w:rsidRPr="003315F6">
        <w:rPr>
          <w:rFonts w:cs="Lucida Sans Unicode"/>
          <w:sz w:val="24"/>
          <w:lang w:val="es-ES"/>
        </w:rPr>
        <w:t xml:space="preserve">Evonik premiada por su cartera de alta calidad para cultivos celulares </w:t>
      </w:r>
    </w:p>
    <w:p w14:paraId="2E558B8A" w14:textId="77777777" w:rsidR="00242472" w:rsidRPr="00242472" w:rsidRDefault="00242472" w:rsidP="00242472">
      <w:pPr>
        <w:pStyle w:val="Prrafodelista"/>
        <w:numPr>
          <w:ilvl w:val="0"/>
          <w:numId w:val="22"/>
        </w:numPr>
        <w:rPr>
          <w:rFonts w:cs="Lucida Sans Unicode"/>
          <w:sz w:val="24"/>
          <w:lang w:val="es-419"/>
        </w:rPr>
      </w:pPr>
      <w:r w:rsidRPr="00242472">
        <w:rPr>
          <w:rFonts w:cs="Lucida Sans Unicode"/>
          <w:sz w:val="24"/>
          <w:lang w:val="es-419"/>
        </w:rPr>
        <w:t>El premio celebra la innovación en tecnologías biofarmacéuticas</w:t>
      </w:r>
    </w:p>
    <w:p w14:paraId="22D6EED9" w14:textId="77777777" w:rsidR="00242472" w:rsidRPr="00242472" w:rsidRDefault="00242472" w:rsidP="00242472">
      <w:pPr>
        <w:pStyle w:val="Prrafodelista"/>
        <w:numPr>
          <w:ilvl w:val="0"/>
          <w:numId w:val="22"/>
        </w:numPr>
        <w:rPr>
          <w:lang w:val="es-419"/>
        </w:rPr>
      </w:pPr>
      <w:r w:rsidRPr="00242472">
        <w:rPr>
          <w:rFonts w:cs="Lucida Sans Unicode"/>
          <w:sz w:val="24"/>
          <w:lang w:val="es-419"/>
        </w:rPr>
        <w:t xml:space="preserve">Las soluciones de cultivo celular son la piedra angular del área de crecimiento de la innovación </w:t>
      </w:r>
      <w:proofErr w:type="spellStart"/>
      <w:r w:rsidRPr="00242472">
        <w:rPr>
          <w:rFonts w:cs="Lucida Sans Unicode"/>
          <w:sz w:val="24"/>
          <w:lang w:val="es-419"/>
        </w:rPr>
        <w:t>Precision</w:t>
      </w:r>
      <w:proofErr w:type="spellEnd"/>
      <w:r w:rsidRPr="00242472">
        <w:rPr>
          <w:rFonts w:cs="Lucida Sans Unicode"/>
          <w:sz w:val="24"/>
          <w:lang w:val="es-419"/>
        </w:rPr>
        <w:t xml:space="preserve"> </w:t>
      </w:r>
      <w:proofErr w:type="spellStart"/>
      <w:r w:rsidRPr="00242472">
        <w:rPr>
          <w:rFonts w:cs="Lucida Sans Unicode"/>
          <w:sz w:val="24"/>
          <w:lang w:val="es-419"/>
        </w:rPr>
        <w:t>Biosolutions</w:t>
      </w:r>
      <w:proofErr w:type="spellEnd"/>
      <w:r w:rsidRPr="00242472">
        <w:rPr>
          <w:rFonts w:cs="Lucida Sans Unicode"/>
          <w:sz w:val="24"/>
          <w:lang w:val="es-419"/>
        </w:rPr>
        <w:t xml:space="preserve"> de Evonik </w:t>
      </w:r>
    </w:p>
    <w:p w14:paraId="2A95B9C6" w14:textId="77777777" w:rsidR="00242472" w:rsidRPr="00242472" w:rsidRDefault="00242472" w:rsidP="00242472">
      <w:pPr>
        <w:pStyle w:val="Prrafodelista"/>
        <w:ind w:left="360"/>
        <w:rPr>
          <w:lang w:val="es-419"/>
        </w:rPr>
      </w:pPr>
    </w:p>
    <w:p w14:paraId="6E902000" w14:textId="77777777" w:rsidR="00242472" w:rsidRDefault="00242472" w:rsidP="00242472">
      <w:pPr>
        <w:rPr>
          <w:lang w:val="es-419"/>
        </w:rPr>
      </w:pPr>
    </w:p>
    <w:p w14:paraId="4D04AA95" w14:textId="5F2D7937" w:rsidR="00242472" w:rsidRPr="00242472" w:rsidRDefault="00242472" w:rsidP="00242472">
      <w:pPr>
        <w:rPr>
          <w:b/>
          <w:bCs/>
          <w:lang w:val="es-419"/>
        </w:rPr>
      </w:pPr>
      <w:r w:rsidRPr="00242472">
        <w:rPr>
          <w:lang w:val="es-419"/>
        </w:rPr>
        <w:t xml:space="preserve">Evonik ha ganado en la categoría </w:t>
      </w:r>
      <w:r w:rsidRPr="00242472">
        <w:rPr>
          <w:b/>
          <w:bCs/>
          <w:lang w:val="es-419"/>
        </w:rPr>
        <w:t xml:space="preserve">"Mejor proveedor de </w:t>
      </w:r>
      <w:proofErr w:type="spellStart"/>
      <w:r w:rsidRPr="00242472">
        <w:rPr>
          <w:b/>
          <w:bCs/>
          <w:lang w:val="es-419"/>
        </w:rPr>
        <w:t>bioprocesamiento</w:t>
      </w:r>
      <w:proofErr w:type="spellEnd"/>
      <w:r w:rsidRPr="00242472">
        <w:rPr>
          <w:b/>
          <w:bCs/>
          <w:lang w:val="es-419"/>
        </w:rPr>
        <w:t xml:space="preserve">: Cell Culture Media </w:t>
      </w:r>
      <w:proofErr w:type="spellStart"/>
      <w:r w:rsidRPr="00242472">
        <w:rPr>
          <w:b/>
          <w:bCs/>
          <w:lang w:val="es-419"/>
        </w:rPr>
        <w:t>Ingredients</w:t>
      </w:r>
      <w:proofErr w:type="spellEnd"/>
      <w:r w:rsidRPr="00242472">
        <w:rPr>
          <w:b/>
          <w:bCs/>
          <w:lang w:val="es-419"/>
        </w:rPr>
        <w:t>"</w:t>
      </w:r>
      <w:r w:rsidRPr="00242472">
        <w:rPr>
          <w:lang w:val="es-419"/>
        </w:rPr>
        <w:t xml:space="preserve"> en los Asia </w:t>
      </w:r>
      <w:proofErr w:type="spellStart"/>
      <w:r w:rsidRPr="00242472">
        <w:rPr>
          <w:lang w:val="es-419"/>
        </w:rPr>
        <w:t>Pacific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Biopharma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Excellence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Awards</w:t>
      </w:r>
      <w:proofErr w:type="spellEnd"/>
      <w:r w:rsidRPr="00242472">
        <w:rPr>
          <w:lang w:val="es-419"/>
        </w:rPr>
        <w:t xml:space="preserve"> 2025. El premio reconoce la sólida cartera de ingredientes para cultivo celular de Evonik, que incluye los péptidos </w:t>
      </w:r>
      <w:proofErr w:type="spellStart"/>
      <w:r w:rsidRPr="00242472">
        <w:rPr>
          <w:lang w:val="es-419"/>
        </w:rPr>
        <w:t>cQrex</w:t>
      </w:r>
      <w:proofErr w:type="spellEnd"/>
      <w:r w:rsidRPr="00242472">
        <w:rPr>
          <w:lang w:val="es-419"/>
        </w:rPr>
        <w:t xml:space="preserve">®, el colesterol de origen vegetal </w:t>
      </w:r>
      <w:proofErr w:type="spellStart"/>
      <w:r w:rsidRPr="00242472">
        <w:rPr>
          <w:lang w:val="es-419"/>
        </w:rPr>
        <w:t>PhytoChol</w:t>
      </w:r>
      <w:proofErr w:type="spellEnd"/>
      <w:r w:rsidRPr="00242472">
        <w:rPr>
          <w:lang w:val="es-419"/>
        </w:rPr>
        <w:t xml:space="preserve">®, así como su experiencia en I+D, formulación y procesos. El cultivo celular es un área de crecimiento clave para el negocio </w:t>
      </w:r>
      <w:proofErr w:type="spellStart"/>
      <w:r w:rsidRPr="00242472">
        <w:rPr>
          <w:lang w:val="es-419"/>
        </w:rPr>
        <w:t>Health</w:t>
      </w:r>
      <w:proofErr w:type="spellEnd"/>
      <w:r w:rsidRPr="00242472">
        <w:rPr>
          <w:lang w:val="es-419"/>
        </w:rPr>
        <w:t xml:space="preserve"> Care de Evonik.</w:t>
      </w:r>
    </w:p>
    <w:p w14:paraId="4711052C" w14:textId="77777777" w:rsidR="00242472" w:rsidRPr="00242472" w:rsidRDefault="00242472" w:rsidP="00242472">
      <w:pPr>
        <w:rPr>
          <w:lang w:val="es-419"/>
        </w:rPr>
      </w:pPr>
    </w:p>
    <w:p w14:paraId="73004A2A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>Las soluciones de cultivo celular ofrecidas por Evonik son una piedra angular de su área de crecimiento de la innovación "</w:t>
      </w:r>
      <w:proofErr w:type="spellStart"/>
      <w:r w:rsidRPr="00242472">
        <w:rPr>
          <w:lang w:val="es-419"/>
        </w:rPr>
        <w:t>Advance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Precision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Biosolutions</w:t>
      </w:r>
      <w:proofErr w:type="spellEnd"/>
      <w:r w:rsidRPr="00242472">
        <w:rPr>
          <w:lang w:val="es-419"/>
        </w:rPr>
        <w:t>". Los clientes se benefician de una oferta personalizada de ingredientes, así como de la experiencia en aplicaciones y formulación como solución de sistema. Las soluciones de sistema son ofertas multicomponente de productos, tecnologías y servicios que se adaptan a una necesidad única del cliente y que a menudo tienen beneficios de sostenibilidad demostrados.</w:t>
      </w:r>
    </w:p>
    <w:p w14:paraId="6D2A1DA6" w14:textId="77777777" w:rsidR="00242472" w:rsidRPr="00242472" w:rsidRDefault="00242472" w:rsidP="00242472">
      <w:pPr>
        <w:rPr>
          <w:lang w:val="es-419"/>
        </w:rPr>
      </w:pPr>
    </w:p>
    <w:p w14:paraId="03C054D5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 xml:space="preserve">"Recibir este premio confirma que nuestras soluciones de cultivo celular son conocidas y apreciadas por la comunidad biofarmacéutica de Asia-Pacífico. Es un gran honor ser reconocidos de esta manera, y esperamos muchas más colaboraciones con empresas de la región", dijo Shirley </w:t>
      </w:r>
      <w:proofErr w:type="spellStart"/>
      <w:r w:rsidRPr="00242472">
        <w:rPr>
          <w:lang w:val="es-419"/>
        </w:rPr>
        <w:t>Qi</w:t>
      </w:r>
      <w:proofErr w:type="spellEnd"/>
      <w:r w:rsidRPr="00242472">
        <w:rPr>
          <w:lang w:val="es-419"/>
        </w:rPr>
        <w:t xml:space="preserve">, </w:t>
      </w:r>
      <w:proofErr w:type="gramStart"/>
      <w:r w:rsidRPr="00242472">
        <w:rPr>
          <w:lang w:val="es-419"/>
        </w:rPr>
        <w:t>Presidente</w:t>
      </w:r>
      <w:proofErr w:type="gramEnd"/>
      <w:r w:rsidRPr="00242472">
        <w:rPr>
          <w:lang w:val="es-419"/>
        </w:rPr>
        <w:t xml:space="preserve"> del Sudeste Asiático, Australia y Nueva Zelanda / jefe de Nutrición y Cuidado de Asia Pacífico en Evonik.</w:t>
      </w:r>
    </w:p>
    <w:p w14:paraId="048315AC" w14:textId="77777777" w:rsidR="00242472" w:rsidRPr="00242472" w:rsidRDefault="00242472" w:rsidP="00242472">
      <w:pPr>
        <w:rPr>
          <w:lang w:val="es-419"/>
        </w:rPr>
      </w:pPr>
    </w:p>
    <w:p w14:paraId="33E313FE" w14:textId="77777777" w:rsidR="00242472" w:rsidRDefault="00242472" w:rsidP="00242472">
      <w:pPr>
        <w:rPr>
          <w:lang w:val="es-419"/>
        </w:rPr>
      </w:pPr>
      <w:r w:rsidRPr="00242472">
        <w:rPr>
          <w:lang w:val="es-419"/>
        </w:rPr>
        <w:lastRenderedPageBreak/>
        <w:t xml:space="preserve">Ganar el premio por tercera vez consecutiva refleja el desarrollo de Evonik hasta convertirse en un proveedor establecido de soluciones de sistemas en </w:t>
      </w:r>
      <w:proofErr w:type="spellStart"/>
      <w:r w:rsidRPr="00242472">
        <w:rPr>
          <w:lang w:val="es-419"/>
        </w:rPr>
        <w:t>bioprocesamiento</w:t>
      </w:r>
      <w:proofErr w:type="spellEnd"/>
      <w:r w:rsidRPr="00242472">
        <w:rPr>
          <w:lang w:val="es-419"/>
        </w:rPr>
        <w:t xml:space="preserve">. En los dos años anteriores, la empresa recibió un premio en la categoría </w:t>
      </w:r>
      <w:proofErr w:type="spellStart"/>
      <w:r w:rsidRPr="00242472">
        <w:rPr>
          <w:lang w:val="es-419"/>
        </w:rPr>
        <w:t>Best</w:t>
      </w:r>
      <w:proofErr w:type="spellEnd"/>
      <w:r w:rsidRPr="00242472">
        <w:rPr>
          <w:lang w:val="es-419"/>
        </w:rPr>
        <w:t xml:space="preserve"> New </w:t>
      </w:r>
      <w:proofErr w:type="spellStart"/>
      <w:r w:rsidRPr="00242472">
        <w:rPr>
          <w:lang w:val="es-419"/>
        </w:rPr>
        <w:t>Bioprocessing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Supplier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Award</w:t>
      </w:r>
      <w:proofErr w:type="spellEnd"/>
      <w:r w:rsidRPr="00242472">
        <w:rPr>
          <w:lang w:val="es-419"/>
        </w:rPr>
        <w:t xml:space="preserve">: </w:t>
      </w:r>
      <w:proofErr w:type="spellStart"/>
      <w:r w:rsidRPr="00242472">
        <w:rPr>
          <w:lang w:val="es-419"/>
        </w:rPr>
        <w:t>Upstream</w:t>
      </w:r>
      <w:proofErr w:type="spellEnd"/>
      <w:r w:rsidRPr="00242472">
        <w:rPr>
          <w:lang w:val="es-419"/>
        </w:rPr>
        <w:t xml:space="preserve"> Processing; en reconocimiento a sus soluciones de cultivo celular de alta calidad para empresas farmacéuticas y biotecnológicas.</w:t>
      </w:r>
    </w:p>
    <w:p w14:paraId="759361DB" w14:textId="77777777" w:rsidR="00242472" w:rsidRPr="00242472" w:rsidRDefault="00242472" w:rsidP="00242472">
      <w:pPr>
        <w:rPr>
          <w:lang w:val="es-419"/>
        </w:rPr>
      </w:pPr>
    </w:p>
    <w:p w14:paraId="2982CD11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>Los premios anuales Asia-</w:t>
      </w:r>
      <w:proofErr w:type="spellStart"/>
      <w:r w:rsidRPr="00242472">
        <w:rPr>
          <w:lang w:val="es-419"/>
        </w:rPr>
        <w:t>Pacific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Biopharma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Excellence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Awards</w:t>
      </w:r>
      <w:proofErr w:type="spellEnd"/>
      <w:r w:rsidRPr="00242472">
        <w:rPr>
          <w:lang w:val="es-419"/>
        </w:rPr>
        <w:t xml:space="preserve"> (ABEA) están organizados por la empresa mundial de inteligencia de marketing y B2B biofarmacéutica IMAPAC. Los premios reconocen los logros sobresalientes de los principales líderes biofarmacéuticos del sector e impulsan la innovación y las mejores prácticas de fabricación en la región.</w:t>
      </w:r>
    </w:p>
    <w:p w14:paraId="1A01DE31" w14:textId="77777777" w:rsidR="00242472" w:rsidRPr="00242472" w:rsidRDefault="00242472" w:rsidP="00242472">
      <w:pPr>
        <w:rPr>
          <w:lang w:val="es-419"/>
        </w:rPr>
      </w:pPr>
    </w:p>
    <w:p w14:paraId="54B5CF8C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 xml:space="preserve">"Este logro nos inspira a buscar soluciones aún más innovadoras para afrontar los retos del </w:t>
      </w:r>
      <w:proofErr w:type="spellStart"/>
      <w:r w:rsidRPr="00242472">
        <w:rPr>
          <w:lang w:val="es-419"/>
        </w:rPr>
        <w:t>bioprocesamiento</w:t>
      </w:r>
      <w:proofErr w:type="spellEnd"/>
      <w:r w:rsidRPr="00242472">
        <w:rPr>
          <w:lang w:val="es-419"/>
        </w:rPr>
        <w:t xml:space="preserve"> en cultivos celulares. Doy las gracias a todos los que han confiado en nosotros y espero seguir trabajando con los clientes en productos biofarmacéuticos de alto rendimiento y alta calidad", declaró </w:t>
      </w:r>
      <w:proofErr w:type="spellStart"/>
      <w:r w:rsidRPr="00242472">
        <w:rPr>
          <w:lang w:val="es-419"/>
        </w:rPr>
        <w:t>Spandan</w:t>
      </w:r>
      <w:proofErr w:type="spellEnd"/>
      <w:r w:rsidRPr="00242472">
        <w:rPr>
          <w:lang w:val="es-419"/>
        </w:rPr>
        <w:t xml:space="preserve"> Mishra, </w:t>
      </w:r>
      <w:proofErr w:type="gramStart"/>
      <w:r w:rsidRPr="00242472">
        <w:rPr>
          <w:lang w:val="es-419"/>
        </w:rPr>
        <w:t>Director</w:t>
      </w:r>
      <w:proofErr w:type="gramEnd"/>
      <w:r w:rsidRPr="00242472">
        <w:rPr>
          <w:lang w:val="es-419"/>
        </w:rPr>
        <w:t xml:space="preserve"> Global de Marketing Técnico de Soluciones Biofarmacéuticas de Evonik </w:t>
      </w:r>
      <w:proofErr w:type="spellStart"/>
      <w:r w:rsidRPr="00242472">
        <w:rPr>
          <w:lang w:val="es-419"/>
        </w:rPr>
        <w:t>Health</w:t>
      </w:r>
      <w:proofErr w:type="spellEnd"/>
      <w:r w:rsidRPr="00242472">
        <w:rPr>
          <w:lang w:val="es-419"/>
        </w:rPr>
        <w:t xml:space="preserve"> Care. </w:t>
      </w:r>
    </w:p>
    <w:p w14:paraId="5DE80E37" w14:textId="77777777" w:rsidR="00242472" w:rsidRPr="00242472" w:rsidRDefault="00242472" w:rsidP="00242472">
      <w:pPr>
        <w:rPr>
          <w:lang w:val="es-419"/>
        </w:rPr>
      </w:pPr>
    </w:p>
    <w:p w14:paraId="2A764473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>La amplia cartera de soluciones de cultivo celular de Evonik combina la experiencia en desarrollo y las capacidades de fabricación para proporcionar ingredientes de cultivo celular de gran pureza para su uso en una amplia gama de aplicaciones, desde la I+D biofarmacéutica y la fabricación hasta fines medicinales</w:t>
      </w:r>
    </w:p>
    <w:p w14:paraId="162CBBE8" w14:textId="77777777" w:rsidR="00242472" w:rsidRPr="00242472" w:rsidRDefault="00242472" w:rsidP="00242472">
      <w:pPr>
        <w:rPr>
          <w:rFonts w:cs="Lucida Sans Unicode"/>
          <w:lang w:val="es-419"/>
        </w:rPr>
      </w:pPr>
    </w:p>
    <w:p w14:paraId="4D317BBD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 xml:space="preserve">La línea de negocio </w:t>
      </w:r>
      <w:proofErr w:type="spellStart"/>
      <w:r w:rsidRPr="00242472">
        <w:rPr>
          <w:lang w:val="es-419"/>
        </w:rPr>
        <w:t>Health</w:t>
      </w:r>
      <w:proofErr w:type="spellEnd"/>
      <w:r w:rsidRPr="00242472">
        <w:rPr>
          <w:lang w:val="es-419"/>
        </w:rPr>
        <w:t xml:space="preserve"> Care de Evonik es un centro de innovación global para las principales empresas farmacéuticas y biotecnológicas del mundo. Aprovechando seis décadas de liderazgo en el sector, la empresa ofrece al mercado biofarmacéutico ingredientes de alta calidad para cultivos celulares, como aminoácidos, péptidos, lípidos vegetales y otros potenciadores del rendimiento de origen no animal.</w:t>
      </w:r>
    </w:p>
    <w:p w14:paraId="7E64CDEF" w14:textId="77777777" w:rsidR="00242472" w:rsidRPr="00242472" w:rsidRDefault="00242472" w:rsidP="00242472">
      <w:pPr>
        <w:rPr>
          <w:lang w:val="es-419"/>
        </w:rPr>
      </w:pPr>
    </w:p>
    <w:p w14:paraId="7C3D4694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lastRenderedPageBreak/>
        <w:t xml:space="preserve">La ceremonia de entrega de premios de la ABEA se celebró conjuntamente con la </w:t>
      </w:r>
      <w:r w:rsidRPr="00242472">
        <w:rPr>
          <w:vertAlign w:val="superscript"/>
          <w:lang w:val="es-419"/>
        </w:rPr>
        <w:t xml:space="preserve">12ª </w:t>
      </w:r>
      <w:r w:rsidRPr="00242472">
        <w:rPr>
          <w:lang w:val="es-419"/>
        </w:rPr>
        <w:t xml:space="preserve">edición de </w:t>
      </w:r>
      <w:proofErr w:type="spellStart"/>
      <w:r w:rsidRPr="00242472">
        <w:rPr>
          <w:lang w:val="es-419"/>
        </w:rPr>
        <w:t>Biologics</w:t>
      </w:r>
      <w:proofErr w:type="spellEnd"/>
      <w:r w:rsidRPr="00242472">
        <w:rPr>
          <w:lang w:val="es-419"/>
        </w:rPr>
        <w:t xml:space="preserve"> </w:t>
      </w:r>
      <w:proofErr w:type="spellStart"/>
      <w:r w:rsidRPr="00242472">
        <w:rPr>
          <w:lang w:val="es-419"/>
        </w:rPr>
        <w:t>Manufacturing</w:t>
      </w:r>
      <w:proofErr w:type="spellEnd"/>
      <w:r w:rsidRPr="00242472">
        <w:rPr>
          <w:lang w:val="es-419"/>
        </w:rPr>
        <w:t xml:space="preserve"> Asia 2025, que tuvo lugar en Singapur el 12 de marzo.</w:t>
      </w:r>
    </w:p>
    <w:p w14:paraId="55C9863D" w14:textId="77777777" w:rsidR="00242472" w:rsidRPr="00242472" w:rsidRDefault="00242472" w:rsidP="00242472">
      <w:pPr>
        <w:rPr>
          <w:lang w:val="es-419"/>
        </w:rPr>
      </w:pPr>
    </w:p>
    <w:p w14:paraId="2F2FB059" w14:textId="77777777" w:rsidR="00242472" w:rsidRPr="00242472" w:rsidRDefault="00242472" w:rsidP="00242472">
      <w:pPr>
        <w:rPr>
          <w:b/>
          <w:bCs/>
          <w:lang w:val="es-419"/>
        </w:rPr>
      </w:pPr>
      <w:r w:rsidRPr="00242472">
        <w:rPr>
          <w:b/>
          <w:bCs/>
          <w:lang w:val="es-419"/>
        </w:rPr>
        <w:t>Más información</w:t>
      </w:r>
    </w:p>
    <w:p w14:paraId="538D062C" w14:textId="77777777" w:rsidR="00242472" w:rsidRPr="00242472" w:rsidRDefault="00242472" w:rsidP="00242472">
      <w:pPr>
        <w:rPr>
          <w:lang w:val="es-419"/>
        </w:rPr>
      </w:pPr>
    </w:p>
    <w:p w14:paraId="64329688" w14:textId="77777777" w:rsidR="00242472" w:rsidRPr="00242472" w:rsidRDefault="00242472" w:rsidP="00242472">
      <w:pPr>
        <w:rPr>
          <w:lang w:val="es-419"/>
        </w:rPr>
      </w:pPr>
      <w:r w:rsidRPr="00242472">
        <w:rPr>
          <w:lang w:val="es-419"/>
        </w:rPr>
        <w:t xml:space="preserve">Más información sobre las soluciones de Evonik para cultivos celulares </w:t>
      </w:r>
      <w:hyperlink r:id="rId12" w:history="1">
        <w:r w:rsidRPr="00242472">
          <w:rPr>
            <w:rStyle w:val="Hipervnculo"/>
            <w:lang w:val="es-419"/>
          </w:rPr>
          <w:t>https://healthcare.evonik.com/en/biopharma/cell-culture</w:t>
        </w:r>
      </w:hyperlink>
      <w:r w:rsidRPr="00242472">
        <w:rPr>
          <w:lang w:val="es-419"/>
        </w:rPr>
        <w:t xml:space="preserve">  </w:t>
      </w:r>
    </w:p>
    <w:p w14:paraId="2DB1014F" w14:textId="77777777" w:rsidR="0071231E" w:rsidRPr="00242472" w:rsidRDefault="0071231E" w:rsidP="00D22F32">
      <w:pPr>
        <w:spacing w:line="220" w:lineRule="exact"/>
        <w:rPr>
          <w:sz w:val="18"/>
          <w:szCs w:val="18"/>
          <w:lang w:val="es-419"/>
        </w:rPr>
      </w:pPr>
    </w:p>
    <w:p w14:paraId="65B1A9B0" w14:textId="77777777" w:rsidR="0071231E" w:rsidRPr="00242472" w:rsidRDefault="0071231E" w:rsidP="00D22F32">
      <w:pPr>
        <w:spacing w:line="220" w:lineRule="exact"/>
        <w:rPr>
          <w:sz w:val="18"/>
          <w:szCs w:val="18"/>
          <w:lang w:val="es-419"/>
        </w:rPr>
      </w:pPr>
    </w:p>
    <w:p w14:paraId="15057144" w14:textId="77777777" w:rsidR="00FC07E1" w:rsidRPr="00FC07E1" w:rsidRDefault="00FC07E1" w:rsidP="00FC07E1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FC07E1">
        <w:rPr>
          <w:b/>
          <w:bCs/>
          <w:sz w:val="18"/>
          <w:szCs w:val="18"/>
          <w:lang w:val="es-ES" w:eastAsia="pt-BR"/>
        </w:rPr>
        <w:t>Información de la empresa</w:t>
      </w:r>
    </w:p>
    <w:p w14:paraId="0CD6FA8C" w14:textId="6E69B19F" w:rsidR="00FC07E1" w:rsidRPr="00FC07E1" w:rsidRDefault="00FC07E1" w:rsidP="00FC07E1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FC07E1">
        <w:rPr>
          <w:rFonts w:cs="Lucida Sans Unicode"/>
          <w:sz w:val="18"/>
          <w:szCs w:val="18"/>
          <w:lang w:val="es-ES" w:eastAsia="pt-BR"/>
        </w:rPr>
        <w:t>Evonik es uno de los líderes mundiales en productos químicos especializados. La empresa opera en más de 100 países de todo el mundo. En 202</w:t>
      </w:r>
      <w:r>
        <w:rPr>
          <w:rFonts w:cs="Lucida Sans Unicode"/>
          <w:sz w:val="18"/>
          <w:szCs w:val="18"/>
          <w:lang w:val="es-ES" w:eastAsia="pt-BR"/>
        </w:rPr>
        <w:t>4</w:t>
      </w:r>
      <w:r w:rsidRPr="00FC07E1">
        <w:rPr>
          <w:rFonts w:cs="Lucida Sans Unicode"/>
          <w:sz w:val="18"/>
          <w:szCs w:val="18"/>
          <w:lang w:val="es-ES" w:eastAsia="pt-BR"/>
        </w:rPr>
        <w:t>, registró ventas por 15.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 xml:space="preserve">00 millones de euros y una ganancia operativa (margen EBITDA ajustado) de 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>.</w:t>
      </w:r>
      <w:r>
        <w:rPr>
          <w:rFonts w:cs="Lucida Sans Unicode"/>
          <w:sz w:val="18"/>
          <w:szCs w:val="18"/>
          <w:lang w:val="es-ES" w:eastAsia="pt-BR"/>
        </w:rPr>
        <w:t>10</w:t>
      </w:r>
      <w:r w:rsidRPr="00FC07E1">
        <w:rPr>
          <w:rFonts w:cs="Lucida Sans Unicode"/>
          <w:sz w:val="18"/>
          <w:szCs w:val="18"/>
          <w:lang w:val="es-ES" w:eastAsia="pt-BR"/>
        </w:rPr>
        <w:t>0 millones de euros. Evonik va mucho más allá de la química para crear soluciones innovadoras, redituables y sustentables para sus clientes. Más de 32.000 colaboradores trabajan juntos con un objetivo en común: mejorar la vida de las personas, todos los días.</w:t>
      </w:r>
      <w:r w:rsidRPr="00FC07E1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</w:p>
    <w:p w14:paraId="64463091" w14:textId="77777777" w:rsidR="00242472" w:rsidRPr="00FA73B4" w:rsidRDefault="00242472" w:rsidP="00242472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1F77082" w14:textId="77777777" w:rsidR="00FC07E1" w:rsidRPr="00FC07E1" w:rsidRDefault="00FC07E1" w:rsidP="00242472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D2958FA" w14:textId="77777777" w:rsidR="00242472" w:rsidRPr="00242472" w:rsidRDefault="00242472" w:rsidP="0024247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es-419"/>
        </w:rPr>
      </w:pPr>
      <w:r w:rsidRPr="00E84862">
        <w:rPr>
          <w:b/>
          <w:bCs/>
          <w:sz w:val="18"/>
          <w:szCs w:val="18"/>
          <w:lang w:val="es-ES" w:eastAsia="pt-BR"/>
        </w:rPr>
        <w:t>Nota legal</w:t>
      </w:r>
      <w:r w:rsidRPr="00242472">
        <w:rPr>
          <w:b/>
          <w:bCs/>
          <w:sz w:val="18"/>
          <w:szCs w:val="18"/>
          <w:lang w:val="es-419"/>
        </w:rPr>
        <w:t xml:space="preserve"> </w:t>
      </w:r>
    </w:p>
    <w:p w14:paraId="06471D94" w14:textId="77777777" w:rsidR="00242472" w:rsidRPr="00242472" w:rsidRDefault="00242472" w:rsidP="0024247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E84862">
        <w:rPr>
          <w:rFonts w:cs="Lucida Sans Unicode"/>
          <w:sz w:val="18"/>
          <w:szCs w:val="18"/>
          <w:lang w:val="es-ES" w:eastAsia="pt-BR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7146776D" w14:textId="77777777" w:rsidR="00242472" w:rsidRPr="00242472" w:rsidRDefault="00242472" w:rsidP="0024247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3760876F" w14:textId="77777777" w:rsidR="00242472" w:rsidRPr="00242472" w:rsidRDefault="00242472" w:rsidP="0024247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5FC594D" w14:textId="77777777" w:rsidR="00FA73B4" w:rsidRPr="00E84862" w:rsidRDefault="00FA73B4" w:rsidP="00FA73B4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5CFAB5F7" w14:textId="77777777" w:rsidR="00FA73B4" w:rsidRPr="00E84862" w:rsidRDefault="00FA73B4" w:rsidP="00FA73B4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19239A27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05DD8058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1D916FF6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6F80E87C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3F63DF1F" w14:textId="77777777" w:rsidR="00FA73B4" w:rsidRPr="003315F6" w:rsidRDefault="00FA73B4" w:rsidP="00FA73B4">
      <w:pPr>
        <w:spacing w:line="240" w:lineRule="auto"/>
        <w:rPr>
          <w:rFonts w:cs="Lucida Sans Unicode"/>
          <w:sz w:val="18"/>
          <w:szCs w:val="18"/>
          <w:lang w:val="en-US" w:eastAsia="pt-BR"/>
        </w:rPr>
      </w:pPr>
      <w:r w:rsidRPr="003315F6">
        <w:rPr>
          <w:rFonts w:cs="Lucida Sans Unicode"/>
          <w:sz w:val="18"/>
          <w:szCs w:val="18"/>
          <w:lang w:val="en-US" w:eastAsia="pt-BR"/>
        </w:rPr>
        <w:t>youtube.com/EvonikIndustries</w:t>
      </w:r>
      <w:r w:rsidRPr="003315F6">
        <w:rPr>
          <w:rFonts w:cs="Lucida Sans Unicode"/>
          <w:sz w:val="18"/>
          <w:szCs w:val="18"/>
          <w:lang w:val="en-US" w:eastAsia="pt-BR"/>
        </w:rPr>
        <w:br/>
        <w:t>linkedin.com/company/Evonik</w:t>
      </w:r>
    </w:p>
    <w:p w14:paraId="75738EB0" w14:textId="77777777" w:rsidR="00FA73B4" w:rsidRPr="003315F6" w:rsidRDefault="00FA73B4" w:rsidP="00FA73B4">
      <w:pPr>
        <w:spacing w:line="240" w:lineRule="auto"/>
        <w:rPr>
          <w:rFonts w:cs="Lucida Sans Unicode"/>
          <w:sz w:val="18"/>
          <w:szCs w:val="18"/>
          <w:lang w:val="en-US" w:eastAsia="pt-BR"/>
        </w:rPr>
      </w:pPr>
    </w:p>
    <w:p w14:paraId="6D35DB63" w14:textId="77777777" w:rsidR="00FA73B4" w:rsidRPr="003315F6" w:rsidRDefault="00FA73B4" w:rsidP="00FA73B4">
      <w:pPr>
        <w:spacing w:line="240" w:lineRule="auto"/>
        <w:rPr>
          <w:rFonts w:cs="Lucida Sans Unicode"/>
          <w:b/>
          <w:sz w:val="18"/>
          <w:szCs w:val="18"/>
          <w:lang w:val="en-US" w:eastAsia="pt-BR"/>
        </w:rPr>
      </w:pPr>
    </w:p>
    <w:p w14:paraId="462E6312" w14:textId="77777777" w:rsidR="00FA73B4" w:rsidRPr="00E84862" w:rsidRDefault="00FA73B4" w:rsidP="00FA73B4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7C9B77FC" w14:textId="77777777" w:rsidR="00FA73B4" w:rsidRPr="00E84862" w:rsidRDefault="00FA73B4" w:rsidP="00FA73B4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3570591" w14:textId="77777777" w:rsidR="00FA73B4" w:rsidRPr="00E84862" w:rsidRDefault="00FA73B4" w:rsidP="00FA73B4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E84862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6C7D71CD" w14:textId="77777777" w:rsidR="00FA73B4" w:rsidRPr="00E84862" w:rsidRDefault="00FA73B4" w:rsidP="00FA73B4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3" w:history="1">
        <w:r w:rsidRPr="00E84862">
          <w:rPr>
            <w:rStyle w:val="Hipervnculo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p w14:paraId="44ABF377" w14:textId="77777777" w:rsidR="0071231E" w:rsidRPr="00242472" w:rsidRDefault="0071231E" w:rsidP="00D22F32">
      <w:pPr>
        <w:spacing w:line="220" w:lineRule="exact"/>
        <w:rPr>
          <w:sz w:val="18"/>
          <w:szCs w:val="18"/>
        </w:rPr>
      </w:pPr>
    </w:p>
    <w:p w14:paraId="2B505C77" w14:textId="77777777" w:rsidR="0071231E" w:rsidRPr="00242472" w:rsidRDefault="0071231E" w:rsidP="00D22F32">
      <w:pPr>
        <w:spacing w:line="220" w:lineRule="exact"/>
        <w:rPr>
          <w:sz w:val="18"/>
          <w:szCs w:val="18"/>
        </w:rPr>
      </w:pPr>
    </w:p>
    <w:sectPr w:rsidR="0071231E" w:rsidRPr="00242472" w:rsidSect="00F16D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DFD2" w14:textId="77777777" w:rsidR="0054072F" w:rsidRDefault="0054072F">
      <w:pPr>
        <w:spacing w:line="240" w:lineRule="auto"/>
      </w:pPr>
      <w:r>
        <w:separator/>
      </w:r>
    </w:p>
  </w:endnote>
  <w:endnote w:type="continuationSeparator" w:id="0">
    <w:p w14:paraId="6B029B89" w14:textId="77777777" w:rsidR="0054072F" w:rsidRDefault="00540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F386" w14:textId="77777777" w:rsidR="0054072F" w:rsidRDefault="0054072F">
      <w:pPr>
        <w:spacing w:line="240" w:lineRule="auto"/>
      </w:pPr>
      <w:r>
        <w:separator/>
      </w:r>
    </w:p>
  </w:footnote>
  <w:footnote w:type="continuationSeparator" w:id="0">
    <w:p w14:paraId="33FDB662" w14:textId="77777777" w:rsidR="0054072F" w:rsidRDefault="00540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0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8"/>
  </w:num>
  <w:num w:numId="20" w16cid:durableId="145049489">
    <w:abstractNumId w:val="21"/>
  </w:num>
  <w:num w:numId="21" w16cid:durableId="466168196">
    <w:abstractNumId w:val="17"/>
  </w:num>
  <w:num w:numId="22" w16cid:durableId="17550650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1EE0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472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15F6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072F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38F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15C6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BCE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14C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7A9A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1BCF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A73B4"/>
    <w:rsid w:val="00FB316C"/>
    <w:rsid w:val="00FC07E1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biopharma/cell-cultu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5110</Characters>
  <Application>Microsoft Office Word</Application>
  <DocSecurity>4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Biopharma Excellence Awards 2025 - Espanhol</dc:subject>
  <dc:creator>Taís Augusto</dc:creator>
  <cp:keywords/>
  <dc:description>Março 2025</dc:description>
  <cp:lastModifiedBy>Batista, Sonia</cp:lastModifiedBy>
  <cp:revision>2</cp:revision>
  <cp:lastPrinted>2025-03-19T17:56:00Z</cp:lastPrinted>
  <dcterms:created xsi:type="dcterms:W3CDTF">2025-03-19T17:57:00Z</dcterms:created>
  <dcterms:modified xsi:type="dcterms:W3CDTF">2025-03-19T17:57:00Z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