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3B589A70" w:rsidR="004F1918" w:rsidRPr="00FD6141" w:rsidRDefault="004A5CAE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18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proofErr w:type="spellStart"/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noviembre</w:t>
            </w:r>
            <w:proofErr w:type="spellEnd"/>
            <w:r w:rsidR="000004CF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C3F09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6B60B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ES"/>
        </w:rPr>
      </w:pPr>
      <w:r w:rsidRPr="006B60B7">
        <w:rPr>
          <w:rFonts w:eastAsia="Lucida Sans Unicode" w:cs="Lucida Sans Unicode"/>
          <w:sz w:val="13"/>
          <w:szCs w:val="13"/>
          <w:bdr w:val="nil"/>
          <w:lang w:val="es-ES"/>
        </w:rPr>
        <w:t>linkedin.com/company/Evonik</w:t>
      </w:r>
    </w:p>
    <w:p w14:paraId="268372A1" w14:textId="77777777" w:rsidR="004A5CAE" w:rsidRPr="004A5CAE" w:rsidRDefault="004A5CAE" w:rsidP="004A5CAE">
      <w:pPr>
        <w:rPr>
          <w:rFonts w:cs="Lucida Sans Unicode"/>
          <w:b/>
          <w:bCs/>
          <w:sz w:val="24"/>
          <w:lang w:val="es-419"/>
        </w:rPr>
      </w:pPr>
      <w:r w:rsidRPr="004A5CAE">
        <w:rPr>
          <w:rFonts w:cs="Lucida Sans Unicode"/>
          <w:b/>
          <w:bCs/>
          <w:sz w:val="24"/>
          <w:lang w:val="es-419"/>
        </w:rPr>
        <w:t xml:space="preserve">Evonik e </w:t>
      </w:r>
      <w:proofErr w:type="spellStart"/>
      <w:r w:rsidRPr="004A5CAE">
        <w:rPr>
          <w:rFonts w:cs="Lucida Sans Unicode"/>
          <w:b/>
          <w:bCs/>
          <w:sz w:val="24"/>
          <w:lang w:val="es-419"/>
        </w:rPr>
        <w:t>InVitria</w:t>
      </w:r>
      <w:proofErr w:type="spellEnd"/>
      <w:r w:rsidRPr="004A5CAE">
        <w:rPr>
          <w:rFonts w:cs="Lucida Sans Unicode"/>
          <w:b/>
          <w:bCs/>
          <w:sz w:val="24"/>
          <w:lang w:val="es-419"/>
        </w:rPr>
        <w:t xml:space="preserve"> establecen una alianza para ampliar el acceso a la albúmina libre de componentes de origen animal y promover la innovación en </w:t>
      </w:r>
      <w:proofErr w:type="spellStart"/>
      <w:r w:rsidRPr="004A5CAE">
        <w:rPr>
          <w:rFonts w:cs="Lucida Sans Unicode"/>
          <w:b/>
          <w:bCs/>
          <w:sz w:val="24"/>
          <w:lang w:val="es-419"/>
        </w:rPr>
        <w:t>biofármacos</w:t>
      </w:r>
      <w:proofErr w:type="spellEnd"/>
    </w:p>
    <w:p w14:paraId="4762F4E1" w14:textId="77777777" w:rsidR="004A5CAE" w:rsidRPr="004A5CAE" w:rsidRDefault="004A5CAE" w:rsidP="004A5CAE">
      <w:pPr>
        <w:rPr>
          <w:rFonts w:cs="Lucida Sans Unicode"/>
          <w:sz w:val="24"/>
          <w:lang w:val="es-419"/>
        </w:rPr>
      </w:pPr>
    </w:p>
    <w:p w14:paraId="6983C7BA" w14:textId="77777777" w:rsidR="004A5CAE" w:rsidRDefault="004A5CAE" w:rsidP="004A5CAE">
      <w:pPr>
        <w:pStyle w:val="PargrafodaLista"/>
        <w:numPr>
          <w:ilvl w:val="0"/>
          <w:numId w:val="38"/>
        </w:numPr>
        <w:rPr>
          <w:rFonts w:cs="Lucida Sans Unicode"/>
          <w:sz w:val="24"/>
          <w:lang w:val="es-419"/>
        </w:rPr>
      </w:pPr>
      <w:r w:rsidRPr="004A5CAE">
        <w:rPr>
          <w:rFonts w:cs="Lucida Sans Unicode"/>
          <w:sz w:val="24"/>
          <w:lang w:val="es-419"/>
        </w:rPr>
        <w:t>Ampliación de la oferta de albúmina humana libre de componentes de origen animal para terapias avanzadas y procesos biofarmacéuticos de nueva generación</w:t>
      </w:r>
    </w:p>
    <w:p w14:paraId="58849C13" w14:textId="77777777" w:rsidR="004A5CAE" w:rsidRDefault="004A5CAE" w:rsidP="004A5CAE">
      <w:pPr>
        <w:pStyle w:val="PargrafodaLista"/>
        <w:numPr>
          <w:ilvl w:val="0"/>
          <w:numId w:val="38"/>
        </w:numPr>
        <w:rPr>
          <w:rFonts w:cs="Lucida Sans Unicode"/>
          <w:sz w:val="24"/>
          <w:lang w:val="es-419"/>
        </w:rPr>
      </w:pPr>
      <w:r w:rsidRPr="004A5CAE">
        <w:rPr>
          <w:rFonts w:cs="Lucida Sans Unicode"/>
          <w:sz w:val="24"/>
          <w:lang w:val="es-419"/>
        </w:rPr>
        <w:t>Materias primas más seguras y consistentes, que favorecen una mayor eficiencia de los procesos y la estabilidad del producto</w:t>
      </w:r>
    </w:p>
    <w:p w14:paraId="1BD15EEF" w14:textId="24186FC5" w:rsidR="004A5CAE" w:rsidRPr="004A5CAE" w:rsidRDefault="004A5CAE" w:rsidP="004A5CAE">
      <w:pPr>
        <w:pStyle w:val="PargrafodaLista"/>
        <w:numPr>
          <w:ilvl w:val="0"/>
          <w:numId w:val="38"/>
        </w:numPr>
        <w:rPr>
          <w:rFonts w:cs="Lucida Sans Unicode"/>
          <w:sz w:val="24"/>
          <w:lang w:val="es-419"/>
        </w:rPr>
      </w:pPr>
      <w:r w:rsidRPr="004A5CAE">
        <w:rPr>
          <w:rFonts w:cs="Lucida Sans Unicode"/>
          <w:sz w:val="24"/>
          <w:lang w:val="es-419"/>
        </w:rPr>
        <w:t xml:space="preserve">La expansión del portafolio de proteínas recombinantes fortalece la línea </w:t>
      </w:r>
      <w:proofErr w:type="spellStart"/>
      <w:r w:rsidRPr="004A5CAE">
        <w:rPr>
          <w:rFonts w:cs="Lucida Sans Unicode"/>
          <w:sz w:val="24"/>
          <w:lang w:val="es-419"/>
        </w:rPr>
        <w:t>Precision</w:t>
      </w:r>
      <w:proofErr w:type="spellEnd"/>
      <w:r w:rsidRPr="004A5CAE">
        <w:rPr>
          <w:rFonts w:cs="Lucida Sans Unicode"/>
          <w:sz w:val="24"/>
          <w:lang w:val="es-419"/>
        </w:rPr>
        <w:t xml:space="preserve"> </w:t>
      </w:r>
      <w:proofErr w:type="spellStart"/>
      <w:r w:rsidRPr="004A5CAE">
        <w:rPr>
          <w:rFonts w:cs="Lucida Sans Unicode"/>
          <w:sz w:val="24"/>
          <w:lang w:val="es-419"/>
        </w:rPr>
        <w:t>Biosolutions</w:t>
      </w:r>
      <w:proofErr w:type="spellEnd"/>
      <w:r w:rsidRPr="004A5CAE">
        <w:rPr>
          <w:rFonts w:cs="Lucida Sans Unicode"/>
          <w:sz w:val="24"/>
          <w:lang w:val="es-419"/>
        </w:rPr>
        <w:t xml:space="preserve"> de Evonik</w:t>
      </w:r>
    </w:p>
    <w:p w14:paraId="0DCAA506" w14:textId="77777777" w:rsidR="004A5CAE" w:rsidRPr="004A5CAE" w:rsidRDefault="004A5CAE" w:rsidP="004A5CAE">
      <w:pPr>
        <w:rPr>
          <w:rFonts w:cs="Lucida Sans Unicode"/>
          <w:sz w:val="24"/>
          <w:lang w:val="es-419"/>
        </w:rPr>
      </w:pPr>
    </w:p>
    <w:p w14:paraId="7FF55279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4A33C580" w14:textId="77777777" w:rsid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Evonik ha establecido una alianza estratégica con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, desarrolladora líder de proteínas recombinantes y suplementos, para suministrar albúmina humana recombinante libre de componentes de origen animal (ACF) a la industria biofarmacéutica global. La colaboración reúne el alcance global y la experiencia de Evonik en ingredientes para cultivo celular con la tecnología avanzada de producción recombinante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>. Esta alianza permite que más clientes tengan acceso a ingredientes de alta calidad y libres de origen animal, que mejoran la eficiencia de los procesos y la estabilidad de los productos en formulaciones de cultivos celulares y biológicos.</w:t>
      </w:r>
    </w:p>
    <w:p w14:paraId="433C7054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3F2C8EB3" w14:textId="77777777" w:rsid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“Al combinar nuestra experiencia en cultivo celular y soluciones para productos farmacéuticos parenterales con las innovadoras tecnologías recombinantes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, estamos bien posicionados para apoyar el desarrollo de </w:t>
      </w:r>
      <w:proofErr w:type="spellStart"/>
      <w:r w:rsidRPr="004A5CAE">
        <w:rPr>
          <w:rFonts w:cs="Lucida Sans Unicode"/>
          <w:szCs w:val="22"/>
          <w:lang w:val="es-419"/>
        </w:rPr>
        <w:t>biofármacos</w:t>
      </w:r>
      <w:proofErr w:type="spellEnd"/>
      <w:r w:rsidRPr="004A5CAE">
        <w:rPr>
          <w:rFonts w:cs="Lucida Sans Unicode"/>
          <w:szCs w:val="22"/>
          <w:lang w:val="es-419"/>
        </w:rPr>
        <w:t xml:space="preserve"> altamente innovadores. Esta colaboración es el punto de partida para el crecimiento futuro de Evonik en proteínas recombinantes”, afirmó Guido </w:t>
      </w:r>
      <w:proofErr w:type="spellStart"/>
      <w:r w:rsidRPr="004A5CAE">
        <w:rPr>
          <w:rFonts w:cs="Lucida Sans Unicode"/>
          <w:szCs w:val="22"/>
          <w:lang w:val="es-419"/>
        </w:rPr>
        <w:t>Skudlarek</w:t>
      </w:r>
      <w:proofErr w:type="spellEnd"/>
      <w:r w:rsidRPr="004A5CAE">
        <w:rPr>
          <w:rFonts w:cs="Lucida Sans Unicode"/>
          <w:szCs w:val="22"/>
          <w:lang w:val="es-419"/>
        </w:rPr>
        <w:t xml:space="preserve">, responsable de la línea de negocios </w:t>
      </w:r>
      <w:proofErr w:type="spellStart"/>
      <w:r w:rsidRPr="004A5CAE">
        <w:rPr>
          <w:rFonts w:cs="Lucida Sans Unicode"/>
          <w:szCs w:val="22"/>
          <w:lang w:val="es-419"/>
        </w:rPr>
        <w:t>Health</w:t>
      </w:r>
      <w:proofErr w:type="spellEnd"/>
      <w:r w:rsidRPr="004A5CAE">
        <w:rPr>
          <w:rFonts w:cs="Lucida Sans Unicode"/>
          <w:szCs w:val="22"/>
          <w:lang w:val="es-419"/>
        </w:rPr>
        <w:t xml:space="preserve"> Care.</w:t>
      </w:r>
    </w:p>
    <w:p w14:paraId="31308AD9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2B6B42A5" w14:textId="77777777" w:rsid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>Evonik distribuirá el portafolio de albúmina humana recombinante libre de sangre (</w:t>
      </w:r>
      <w:proofErr w:type="spellStart"/>
      <w:r w:rsidRPr="004A5CAE">
        <w:rPr>
          <w:rFonts w:cs="Lucida Sans Unicode"/>
          <w:szCs w:val="22"/>
          <w:lang w:val="es-419"/>
        </w:rPr>
        <w:t>rHSA</w:t>
      </w:r>
      <w:proofErr w:type="spellEnd"/>
      <w:r w:rsidRPr="004A5CAE">
        <w:rPr>
          <w:rFonts w:cs="Lucida Sans Unicode"/>
          <w:szCs w:val="22"/>
          <w:lang w:val="es-419"/>
        </w:rPr>
        <w:t xml:space="preserve">)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 a sus clientes biofarmacéuticos. La </w:t>
      </w:r>
      <w:proofErr w:type="spellStart"/>
      <w:r w:rsidRPr="004A5CAE">
        <w:rPr>
          <w:rFonts w:cs="Lucida Sans Unicode"/>
          <w:szCs w:val="22"/>
          <w:lang w:val="es-419"/>
        </w:rPr>
        <w:t>rHSA</w:t>
      </w:r>
      <w:proofErr w:type="spellEnd"/>
      <w:r w:rsidRPr="004A5CAE">
        <w:rPr>
          <w:rFonts w:cs="Lucida Sans Unicode"/>
          <w:szCs w:val="22"/>
          <w:lang w:val="es-419"/>
        </w:rPr>
        <w:t xml:space="preserve">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 es una versión recombinante altamente pura de la albúmina, una proteína esencial utilizada para estabilizar, proteger y transportar moléculas en el desarrollo de medicamentos. La </w:t>
      </w:r>
      <w:proofErr w:type="spellStart"/>
      <w:r w:rsidRPr="004A5CAE">
        <w:rPr>
          <w:rFonts w:cs="Lucida Sans Unicode"/>
          <w:szCs w:val="22"/>
          <w:lang w:val="es-419"/>
        </w:rPr>
        <w:t>rHSA</w:t>
      </w:r>
      <w:proofErr w:type="spellEnd"/>
      <w:r w:rsidRPr="004A5CAE">
        <w:rPr>
          <w:rFonts w:cs="Lucida Sans Unicode"/>
          <w:szCs w:val="22"/>
          <w:lang w:val="es-419"/>
        </w:rPr>
        <w:t xml:space="preserve">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 se expresa en un huésped no </w:t>
      </w:r>
      <w:r w:rsidRPr="004A5CAE">
        <w:rPr>
          <w:rFonts w:cs="Lucida Sans Unicode"/>
          <w:szCs w:val="22"/>
          <w:lang w:val="es-419"/>
        </w:rPr>
        <w:lastRenderedPageBreak/>
        <w:t>mamífero, eliminando la dependencia de proteínas séricas de origen animal o humano. Esto evita riesgos de contaminación, limitaciones de suministro y variabilidad entre lotes. El resultado es un ingrediente más seguro y consistente, que favorece una mayor eficiencia de los procesos y la estabilidad del producto en una amplia variedad de aplicaciones biofarmacéuticas, como cultivo celular, terapia génica, desarrollo de vacunas y medicina regenerativa.</w:t>
      </w:r>
    </w:p>
    <w:p w14:paraId="1DE26E35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4CE870B5" w14:textId="77777777" w:rsid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“Esta colaboración refuerza nuestro compromiso conjunto de ofrecer soluciones proteicas confiables y libres de origen animal que aumenten la eficiencia de los procesos, garanticen la calidad del producto y aceleren la innovación en las ciencias de la vida”, afirmó Scott </w:t>
      </w:r>
      <w:proofErr w:type="spellStart"/>
      <w:r w:rsidRPr="004A5CAE">
        <w:rPr>
          <w:rFonts w:cs="Lucida Sans Unicode"/>
          <w:szCs w:val="22"/>
          <w:lang w:val="es-419"/>
        </w:rPr>
        <w:t>Deeter</w:t>
      </w:r>
      <w:proofErr w:type="spellEnd"/>
      <w:r w:rsidRPr="004A5CAE">
        <w:rPr>
          <w:rFonts w:cs="Lucida Sans Unicode"/>
          <w:szCs w:val="22"/>
          <w:lang w:val="es-419"/>
        </w:rPr>
        <w:t xml:space="preserve">, CEO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>.</w:t>
      </w:r>
    </w:p>
    <w:p w14:paraId="3A168A78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0C38B583" w14:textId="77777777" w:rsid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>Se proyecta que el mercado de albúmina humana recombinante crezca alrededor de un 10% (CAGR) entre 2025 y 2033. Este crecimiento está impulsado por la demanda de alternativas proteicas seguras y libres de origen animal en la industria biofarmacéutica.</w:t>
      </w:r>
    </w:p>
    <w:p w14:paraId="3AAD8B20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76980953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Los productos de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 son utilizados por innovadores que desarrollan vacunas, biológicos, terapias celulares y génicas y medicina regenerativa. Con su sistema propietario </w:t>
      </w:r>
      <w:proofErr w:type="spellStart"/>
      <w:r w:rsidRPr="004A5CAE">
        <w:rPr>
          <w:rFonts w:cs="Lucida Sans Unicode"/>
          <w:szCs w:val="22"/>
          <w:lang w:val="es-419"/>
        </w:rPr>
        <w:t>ExpressTec</w:t>
      </w:r>
      <w:proofErr w:type="spellEnd"/>
      <w:r w:rsidRPr="004A5CAE">
        <w:rPr>
          <w:rFonts w:cs="Lucida Sans Unicode"/>
          <w:szCs w:val="22"/>
          <w:lang w:val="es-419"/>
        </w:rPr>
        <w:t xml:space="preserve">,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 utiliza luz solar y agua para producir proteínas recombinantes en plantas, eliminando completamente los componentes derivados de animales desde el gen hasta el producto final. Este enfoque sostenible y libre de origen animal reduce riesgos, mejora la consistencia y favorece la escalabilidad.</w:t>
      </w:r>
    </w:p>
    <w:p w14:paraId="737F9693" w14:textId="77777777" w:rsidR="004A5CAE" w:rsidRDefault="004A5CAE" w:rsidP="004A5CAE">
      <w:pPr>
        <w:rPr>
          <w:rFonts w:cs="Lucida Sans Unicode"/>
          <w:szCs w:val="22"/>
          <w:lang w:val="es-419"/>
        </w:rPr>
      </w:pPr>
    </w:p>
    <w:p w14:paraId="41AAB1D5" w14:textId="2EBF146E" w:rsid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Evonik fortalece el pipeline de innovación de empresas farmacéuticas y biofarmacéuticas mediante su enfoque estratégico en </w:t>
      </w:r>
      <w:proofErr w:type="spellStart"/>
      <w:r w:rsidRPr="004A5CAE">
        <w:rPr>
          <w:rFonts w:cs="Lucida Sans Unicode"/>
          <w:szCs w:val="22"/>
          <w:lang w:val="es-419"/>
        </w:rPr>
        <w:t>Advance</w:t>
      </w:r>
      <w:proofErr w:type="spellEnd"/>
      <w:r w:rsidRPr="004A5CAE">
        <w:rPr>
          <w:rFonts w:cs="Lucida Sans Unicode"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szCs w:val="22"/>
          <w:lang w:val="es-419"/>
        </w:rPr>
        <w:t>Precision</w:t>
      </w:r>
      <w:proofErr w:type="spellEnd"/>
      <w:r w:rsidRPr="004A5CAE">
        <w:rPr>
          <w:rFonts w:cs="Lucida Sans Unicode"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szCs w:val="22"/>
          <w:lang w:val="es-419"/>
        </w:rPr>
        <w:t>Biosolutions</w:t>
      </w:r>
      <w:proofErr w:type="spellEnd"/>
      <w:r w:rsidRPr="004A5CAE">
        <w:rPr>
          <w:rFonts w:cs="Lucida Sans Unicode"/>
          <w:szCs w:val="22"/>
          <w:lang w:val="es-419"/>
        </w:rPr>
        <w:t xml:space="preserve">. La </w:t>
      </w:r>
      <w:proofErr w:type="spellStart"/>
      <w:r w:rsidRPr="004A5CAE">
        <w:rPr>
          <w:rFonts w:cs="Lucida Sans Unicode"/>
          <w:szCs w:val="22"/>
          <w:lang w:val="es-419"/>
        </w:rPr>
        <w:t>rHSA</w:t>
      </w:r>
      <w:proofErr w:type="spellEnd"/>
      <w:r w:rsidRPr="004A5CAE">
        <w:rPr>
          <w:rFonts w:cs="Lucida Sans Unicode"/>
          <w:szCs w:val="22"/>
          <w:lang w:val="es-419"/>
        </w:rPr>
        <w:t xml:space="preserve"> respalda diferentes tipos de </w:t>
      </w:r>
      <w:proofErr w:type="spellStart"/>
      <w:r w:rsidRPr="004A5CAE">
        <w:rPr>
          <w:rFonts w:cs="Lucida Sans Unicode"/>
          <w:szCs w:val="22"/>
          <w:lang w:val="es-419"/>
        </w:rPr>
        <w:t>bioprocesamiento</w:t>
      </w:r>
      <w:proofErr w:type="spellEnd"/>
      <w:r w:rsidRPr="004A5CAE">
        <w:rPr>
          <w:rFonts w:cs="Lucida Sans Unicode"/>
          <w:szCs w:val="22"/>
          <w:lang w:val="es-419"/>
        </w:rPr>
        <w:t xml:space="preserve"> que pueden utilizarse en diversas </w:t>
      </w:r>
      <w:proofErr w:type="spellStart"/>
      <w:r w:rsidRPr="004A5CAE">
        <w:rPr>
          <w:rFonts w:cs="Lucida Sans Unicode"/>
          <w:szCs w:val="22"/>
          <w:lang w:val="es-419"/>
        </w:rPr>
        <w:t>biosoluciones</w:t>
      </w:r>
      <w:proofErr w:type="spellEnd"/>
      <w:r w:rsidRPr="004A5CAE">
        <w:rPr>
          <w:rFonts w:cs="Lucida Sans Unicode"/>
          <w:szCs w:val="22"/>
          <w:lang w:val="es-419"/>
        </w:rPr>
        <w:t xml:space="preserve">. Con base en su colaboración con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, Evonik planea expandir su portafolio de proteínas recombinantes y así contribuir al crecimiento de la línea </w:t>
      </w:r>
      <w:proofErr w:type="spellStart"/>
      <w:r w:rsidRPr="004A5CAE">
        <w:rPr>
          <w:rFonts w:cs="Lucida Sans Unicode"/>
          <w:szCs w:val="22"/>
          <w:lang w:val="es-419"/>
        </w:rPr>
        <w:t>Precision</w:t>
      </w:r>
      <w:proofErr w:type="spellEnd"/>
      <w:r w:rsidRPr="004A5CAE">
        <w:rPr>
          <w:rFonts w:cs="Lucida Sans Unicode"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szCs w:val="22"/>
          <w:lang w:val="es-419"/>
        </w:rPr>
        <w:t>Biosolutions</w:t>
      </w:r>
      <w:proofErr w:type="spellEnd"/>
      <w:r w:rsidRPr="004A5CAE">
        <w:rPr>
          <w:rFonts w:cs="Lucida Sans Unicode"/>
          <w:szCs w:val="22"/>
          <w:lang w:val="es-419"/>
        </w:rPr>
        <w:t xml:space="preserve"> de la empresa. Con más de 60 años de experiencia, Evonik ofrece un portafolio integral de ingredientes de alta calidad para cultivo celular, incluidos aminoácidos, péptidos y lípidos de origen </w:t>
      </w:r>
      <w:r w:rsidRPr="004A5CAE">
        <w:rPr>
          <w:rFonts w:cs="Lucida Sans Unicode"/>
          <w:szCs w:val="22"/>
          <w:lang w:val="es-419"/>
        </w:rPr>
        <w:lastRenderedPageBreak/>
        <w:t>vegetal, desarrollados para atender las necesidades en constante evolución del sector biofarmacéutico.</w:t>
      </w:r>
    </w:p>
    <w:p w14:paraId="74AFDE9B" w14:textId="77777777" w:rsidR="004A5CAE" w:rsidRDefault="004A5CAE" w:rsidP="004A5CAE">
      <w:pPr>
        <w:rPr>
          <w:rFonts w:cs="Lucida Sans Unicode"/>
          <w:szCs w:val="22"/>
          <w:lang w:val="es-419"/>
        </w:rPr>
      </w:pPr>
    </w:p>
    <w:p w14:paraId="6BC4A29F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</w:p>
    <w:p w14:paraId="4C751BCF" w14:textId="77777777" w:rsidR="004A5CAE" w:rsidRP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>Más información</w:t>
      </w:r>
      <w:r w:rsidRPr="004A5CAE">
        <w:rPr>
          <w:rFonts w:cs="Lucida Sans Unicode"/>
          <w:szCs w:val="22"/>
          <w:lang w:val="es-419"/>
        </w:rPr>
        <w:br/>
        <w:t xml:space="preserve">Sobre </w:t>
      </w:r>
      <w:proofErr w:type="spellStart"/>
      <w:r w:rsidRPr="004A5CAE">
        <w:rPr>
          <w:rFonts w:cs="Lucida Sans Unicode"/>
          <w:szCs w:val="22"/>
          <w:lang w:val="es-419"/>
        </w:rPr>
        <w:t>InVitria</w:t>
      </w:r>
      <w:proofErr w:type="spellEnd"/>
      <w:r w:rsidRPr="004A5CAE">
        <w:rPr>
          <w:rFonts w:cs="Lucida Sans Unicode"/>
          <w:szCs w:val="22"/>
          <w:lang w:val="es-419"/>
        </w:rPr>
        <w:t xml:space="preserve">: </w:t>
      </w:r>
      <w:r>
        <w:fldChar w:fldCharType="begin"/>
      </w:r>
      <w:r w:rsidRPr="006B60B7">
        <w:rPr>
          <w:lang w:val="es-ES"/>
        </w:rPr>
        <w:instrText>HYPERLINK "https://invitria.com/" \t "_new"</w:instrText>
      </w:r>
      <w:r>
        <w:fldChar w:fldCharType="separate"/>
      </w:r>
      <w:r w:rsidRPr="004A5CAE">
        <w:rPr>
          <w:rStyle w:val="Hyperlink"/>
          <w:rFonts w:cs="Lucida Sans Unicode"/>
          <w:szCs w:val="22"/>
          <w:lang w:val="es-419"/>
        </w:rPr>
        <w:t>https://invitria.com/</w:t>
      </w:r>
      <w:r>
        <w:fldChar w:fldCharType="end"/>
      </w:r>
    </w:p>
    <w:p w14:paraId="1440E14F" w14:textId="77777777" w:rsidR="004A5CAE" w:rsidRDefault="004A5CAE" w:rsidP="004A5CAE">
      <w:pPr>
        <w:rPr>
          <w:rFonts w:cs="Lucida Sans Unicode"/>
          <w:szCs w:val="22"/>
          <w:lang w:val="es-419"/>
        </w:rPr>
      </w:pPr>
    </w:p>
    <w:p w14:paraId="43B8AF76" w14:textId="719FA319" w:rsidR="004A5CAE" w:rsidRP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Más información sobre </w:t>
      </w:r>
      <w:proofErr w:type="spellStart"/>
      <w:r w:rsidRPr="004A5CAE">
        <w:rPr>
          <w:rFonts w:cs="Lucida Sans Unicode"/>
          <w:szCs w:val="22"/>
          <w:lang w:val="es-419"/>
        </w:rPr>
        <w:t>biofármacos</w:t>
      </w:r>
      <w:proofErr w:type="spellEnd"/>
      <w:r w:rsidRPr="004A5CAE">
        <w:rPr>
          <w:rFonts w:cs="Lucida Sans Unicode"/>
          <w:szCs w:val="22"/>
          <w:lang w:val="es-419"/>
        </w:rPr>
        <w:t xml:space="preserve"> y </w:t>
      </w:r>
      <w:proofErr w:type="spellStart"/>
      <w:r w:rsidRPr="004A5CAE">
        <w:rPr>
          <w:rFonts w:cs="Lucida Sans Unicode"/>
          <w:szCs w:val="22"/>
          <w:lang w:val="es-419"/>
        </w:rPr>
        <w:t>bioprocesamiento</w:t>
      </w:r>
      <w:proofErr w:type="spellEnd"/>
      <w:r w:rsidRPr="004A5CAE">
        <w:rPr>
          <w:rFonts w:cs="Lucida Sans Unicode"/>
          <w:szCs w:val="22"/>
          <w:lang w:val="es-419"/>
        </w:rPr>
        <w:t xml:space="preserve"> en Evonik:</w:t>
      </w:r>
      <w:r w:rsidRPr="004A5CAE">
        <w:rPr>
          <w:rFonts w:cs="Lucida Sans Unicode"/>
          <w:szCs w:val="22"/>
          <w:lang w:val="es-419"/>
        </w:rPr>
        <w:br/>
      </w:r>
      <w:r>
        <w:fldChar w:fldCharType="begin"/>
      </w:r>
      <w:r w:rsidRPr="006B60B7">
        <w:rPr>
          <w:lang w:val="es-ES"/>
        </w:rPr>
        <w:instrText>HYPERLINK "https://www.evonik.com/en/applications/application_1659050.html" \t "_new"</w:instrText>
      </w:r>
      <w:r>
        <w:fldChar w:fldCharType="separate"/>
      </w:r>
      <w:r w:rsidRPr="004A5CAE">
        <w:rPr>
          <w:rStyle w:val="Hyperlink"/>
          <w:rFonts w:cs="Lucida Sans Unicode"/>
          <w:szCs w:val="22"/>
          <w:lang w:val="es-419"/>
        </w:rPr>
        <w:t>https://www.evonik.com/en/applications/application_1659050.html</w:t>
      </w:r>
      <w:r>
        <w:fldChar w:fldCharType="end"/>
      </w:r>
    </w:p>
    <w:p w14:paraId="431FDFAD" w14:textId="77777777" w:rsidR="004A5CAE" w:rsidRDefault="004A5CAE" w:rsidP="004A5CAE">
      <w:pPr>
        <w:rPr>
          <w:rFonts w:cs="Lucida Sans Unicode"/>
          <w:szCs w:val="22"/>
          <w:lang w:val="es-419"/>
        </w:rPr>
      </w:pPr>
    </w:p>
    <w:p w14:paraId="1F3024DA" w14:textId="1810447B" w:rsidR="004A5CAE" w:rsidRPr="004A5CAE" w:rsidRDefault="004A5CAE" w:rsidP="004A5CAE">
      <w:pPr>
        <w:rPr>
          <w:rFonts w:cs="Lucida Sans Unicode"/>
          <w:szCs w:val="22"/>
          <w:lang w:val="es-419"/>
        </w:rPr>
      </w:pPr>
      <w:r w:rsidRPr="004A5CAE">
        <w:rPr>
          <w:rFonts w:cs="Lucida Sans Unicode"/>
          <w:szCs w:val="22"/>
          <w:lang w:val="es-419"/>
        </w:rPr>
        <w:t xml:space="preserve">Información de mercado sobre albúmina humana recombinante extraída de Global </w:t>
      </w:r>
      <w:proofErr w:type="spellStart"/>
      <w:r w:rsidRPr="004A5CAE">
        <w:rPr>
          <w:rFonts w:cs="Lucida Sans Unicode"/>
          <w:szCs w:val="22"/>
          <w:lang w:val="es-419"/>
        </w:rPr>
        <w:t>Growth</w:t>
      </w:r>
      <w:proofErr w:type="spellEnd"/>
      <w:r w:rsidRPr="004A5CAE">
        <w:rPr>
          <w:rFonts w:cs="Lucida Sans Unicode"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szCs w:val="22"/>
          <w:lang w:val="es-419"/>
        </w:rPr>
        <w:t>Insights</w:t>
      </w:r>
      <w:proofErr w:type="spellEnd"/>
      <w:r w:rsidRPr="004A5CAE">
        <w:rPr>
          <w:rFonts w:cs="Lucida Sans Unicode"/>
          <w:szCs w:val="22"/>
          <w:lang w:val="es-419"/>
        </w:rPr>
        <w:t xml:space="preserve">: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Recombinant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 Human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Serum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Albumin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Market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Size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 &amp;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Growth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, </w:t>
      </w:r>
      <w:proofErr w:type="spellStart"/>
      <w:r w:rsidRPr="004A5CAE">
        <w:rPr>
          <w:rFonts w:cs="Lucida Sans Unicode"/>
          <w:i/>
          <w:iCs/>
          <w:szCs w:val="22"/>
          <w:lang w:val="es-419"/>
        </w:rPr>
        <w:t>Forecast</w:t>
      </w:r>
      <w:proofErr w:type="spellEnd"/>
      <w:r w:rsidRPr="004A5CAE">
        <w:rPr>
          <w:rFonts w:cs="Lucida Sans Unicode"/>
          <w:i/>
          <w:iCs/>
          <w:szCs w:val="22"/>
          <w:lang w:val="es-419"/>
        </w:rPr>
        <w:t xml:space="preserve"> 2025-2033</w:t>
      </w:r>
      <w:r w:rsidRPr="004A5CAE">
        <w:rPr>
          <w:rFonts w:cs="Lucida Sans Unicode"/>
          <w:szCs w:val="22"/>
          <w:lang w:val="es-419"/>
        </w:rPr>
        <w:t xml:space="preserve"> [Accedido el 3 nov 2025]</w:t>
      </w:r>
    </w:p>
    <w:p w14:paraId="380FB871" w14:textId="77777777" w:rsidR="00090CC4" w:rsidRPr="004A5CAE" w:rsidRDefault="00090CC4" w:rsidP="00090CC4">
      <w:pPr>
        <w:rPr>
          <w:rFonts w:cs="Lucida Sans Unicode"/>
          <w:szCs w:val="22"/>
          <w:lang w:val="es-419"/>
        </w:rPr>
      </w:pPr>
    </w:p>
    <w:p w14:paraId="1F8E341E" w14:textId="77777777" w:rsidR="00090CC4" w:rsidRDefault="00090CC4" w:rsidP="000F0C41">
      <w:pPr>
        <w:rPr>
          <w:rFonts w:cs="Lucida Sans Unicode"/>
          <w:szCs w:val="22"/>
          <w:lang w:val="es-419"/>
        </w:rPr>
      </w:pPr>
    </w:p>
    <w:p w14:paraId="6AE9D4A4" w14:textId="77777777" w:rsidR="008D7FA0" w:rsidRPr="0061006F" w:rsidRDefault="008D7FA0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278ACEB0" w14:textId="77777777" w:rsidR="008D7FA0" w:rsidRPr="0061006F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132808BC" w14:textId="77777777" w:rsidR="008D7FA0" w:rsidRPr="00090CC4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Leading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01E3E32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1E8CF966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1488F6E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7B3437A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Solutions</w:t>
      </w:r>
    </w:p>
    <w:p w14:paraId="33309B54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Solutions se centra en soluciones personalizadas e impulsadas por la innovación para clientes en mercados específicos en crecimiento. Estas soluciones incluyen aditivos de recubrimiento, adhesivos y selladores, espumas y lubricantes de poliuretano, catalizadores e ingredientes para las industrias cosmética, de limpieza y farmacéutica. En 2024, el segmento generó ventas por 5.700 millones de euros, contando con alrededor de 7.000 colaboradores.</w:t>
      </w:r>
    </w:p>
    <w:p w14:paraId="6AC3B0AB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05D7113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BC7E7C1" w14:textId="77777777" w:rsidR="008D7FA0" w:rsidRPr="008C314A" w:rsidRDefault="008D7FA0" w:rsidP="008D7FA0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4F12A8B6" w14:textId="77777777" w:rsidR="008D7FA0" w:rsidRPr="00242472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lastRenderedPageBreak/>
        <w:t>actualizar los pronósticos, estimaciones e informes que figuran en este comunicado.</w:t>
      </w:r>
    </w:p>
    <w:p w14:paraId="19DF208A" w14:textId="77777777" w:rsidR="008D7FA0" w:rsidRPr="00E84862" w:rsidRDefault="008D7FA0" w:rsidP="008D7FA0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1FF0207B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5A1ADA0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532C6750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6984372F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1045FF16" w14:textId="77777777" w:rsidR="008D7FA0" w:rsidRPr="00E84862" w:rsidRDefault="008D7FA0" w:rsidP="008D7FA0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6857AFE1" w14:textId="77777777" w:rsidR="008D7FA0" w:rsidRPr="007D5E86" w:rsidRDefault="008D7FA0" w:rsidP="008D7FA0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7D5E86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br/>
        <w:t>linkedin.com/company/Evonik</w:t>
      </w:r>
    </w:p>
    <w:p w14:paraId="0703301F" w14:textId="77777777" w:rsidR="008D7FA0" w:rsidRPr="007D5E86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2059BF86" w14:textId="77777777" w:rsidR="008D7FA0" w:rsidRPr="00E84862" w:rsidRDefault="008D7FA0" w:rsidP="008D7FA0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E153C3E" w14:textId="77777777" w:rsidR="008D7FA0" w:rsidRPr="00E84862" w:rsidRDefault="008D7FA0" w:rsidP="008D7FA0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FB4D1B7" w14:textId="77777777" w:rsidR="008D7FA0" w:rsidRPr="006B60B7" w:rsidRDefault="008D7FA0" w:rsidP="008D7FA0">
      <w:pPr>
        <w:spacing w:line="240" w:lineRule="auto"/>
        <w:rPr>
          <w:rFonts w:cs="Lucida Sans Unicode"/>
          <w:bCs/>
          <w:sz w:val="18"/>
          <w:szCs w:val="18"/>
          <w:lang w:eastAsia="pt-BR"/>
        </w:rPr>
      </w:pPr>
      <w:r w:rsidRPr="006B60B7">
        <w:rPr>
          <w:rFonts w:cs="Lucida Sans Unicode"/>
          <w:bCs/>
          <w:sz w:val="18"/>
          <w:szCs w:val="18"/>
          <w:lang w:eastAsia="pt-BR"/>
        </w:rPr>
        <w:t>Sheila Diez: (11) 3473.0255 - sheila@viapublicacomunicacao.com.br</w:t>
      </w:r>
    </w:p>
    <w:p w14:paraId="3BCBE0CC" w14:textId="0F42660C" w:rsidR="00FD6141" w:rsidRPr="00090CC4" w:rsidRDefault="008D7FA0" w:rsidP="00090CC4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31EA" w14:textId="77777777" w:rsidR="009E55D7" w:rsidRDefault="009E55D7">
      <w:pPr>
        <w:spacing w:line="240" w:lineRule="auto"/>
      </w:pPr>
      <w:r>
        <w:separator/>
      </w:r>
    </w:p>
  </w:endnote>
  <w:endnote w:type="continuationSeparator" w:id="0">
    <w:p w14:paraId="42E9298F" w14:textId="77777777" w:rsidR="009E55D7" w:rsidRDefault="009E5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62DE" w14:textId="77777777" w:rsidR="009E55D7" w:rsidRDefault="009E55D7">
      <w:pPr>
        <w:spacing w:line="240" w:lineRule="auto"/>
      </w:pPr>
      <w:r>
        <w:separator/>
      </w:r>
    </w:p>
  </w:footnote>
  <w:footnote w:type="continuationSeparator" w:id="0">
    <w:p w14:paraId="45271868" w14:textId="77777777" w:rsidR="009E55D7" w:rsidRDefault="009E55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274255"/>
    <w:multiLevelType w:val="hybridMultilevel"/>
    <w:tmpl w:val="100E5F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4"/>
  </w:num>
  <w:num w:numId="2" w16cid:durableId="1704088560">
    <w:abstractNumId w:val="23"/>
  </w:num>
  <w:num w:numId="3" w16cid:durableId="1868331462">
    <w:abstractNumId w:val="20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3"/>
  </w:num>
  <w:num w:numId="16" w16cid:durableId="973677766">
    <w:abstractNumId w:val="22"/>
  </w:num>
  <w:num w:numId="17" w16cid:durableId="259920181">
    <w:abstractNumId w:val="15"/>
  </w:num>
  <w:num w:numId="18" w16cid:durableId="1461608860">
    <w:abstractNumId w:val="21"/>
  </w:num>
  <w:num w:numId="19" w16cid:durableId="741834108">
    <w:abstractNumId w:val="28"/>
  </w:num>
  <w:num w:numId="20" w16cid:durableId="145049489">
    <w:abstractNumId w:val="36"/>
  </w:num>
  <w:num w:numId="21" w16cid:durableId="466168196">
    <w:abstractNumId w:val="26"/>
  </w:num>
  <w:num w:numId="22" w16cid:durableId="1277908940">
    <w:abstractNumId w:val="30"/>
  </w:num>
  <w:num w:numId="23" w16cid:durableId="1880626498">
    <w:abstractNumId w:val="19"/>
  </w:num>
  <w:num w:numId="24" w16cid:durableId="421948001">
    <w:abstractNumId w:val="34"/>
  </w:num>
  <w:num w:numId="25" w16cid:durableId="341125889">
    <w:abstractNumId w:val="13"/>
  </w:num>
  <w:num w:numId="26" w16cid:durableId="394086056">
    <w:abstractNumId w:val="11"/>
  </w:num>
  <w:num w:numId="27" w16cid:durableId="1261064612">
    <w:abstractNumId w:val="37"/>
  </w:num>
  <w:num w:numId="28" w16cid:durableId="1708212189">
    <w:abstractNumId w:val="27"/>
  </w:num>
  <w:num w:numId="29" w16cid:durableId="884177744">
    <w:abstractNumId w:val="17"/>
  </w:num>
  <w:num w:numId="30" w16cid:durableId="672683566">
    <w:abstractNumId w:val="32"/>
  </w:num>
  <w:num w:numId="31" w16cid:durableId="1804231175">
    <w:abstractNumId w:val="35"/>
  </w:num>
  <w:num w:numId="32" w16cid:durableId="662321208">
    <w:abstractNumId w:val="31"/>
  </w:num>
  <w:num w:numId="33" w16cid:durableId="2079009855">
    <w:abstractNumId w:val="25"/>
  </w:num>
  <w:num w:numId="34" w16cid:durableId="1072969833">
    <w:abstractNumId w:val="29"/>
  </w:num>
  <w:num w:numId="35" w16cid:durableId="693699134">
    <w:abstractNumId w:val="24"/>
  </w:num>
  <w:num w:numId="36" w16cid:durableId="2070882580">
    <w:abstractNumId w:val="16"/>
  </w:num>
  <w:num w:numId="37" w16cid:durableId="1848324709">
    <w:abstractNumId w:val="12"/>
  </w:num>
  <w:num w:numId="38" w16cid:durableId="1492869110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4952"/>
    <w:rsid w:val="00117CF2"/>
    <w:rsid w:val="001215F5"/>
    <w:rsid w:val="00123FAF"/>
    <w:rsid w:val="00124443"/>
    <w:rsid w:val="001254D3"/>
    <w:rsid w:val="001351D2"/>
    <w:rsid w:val="00136FAF"/>
    <w:rsid w:val="001409F9"/>
    <w:rsid w:val="0014346F"/>
    <w:rsid w:val="00144FBB"/>
    <w:rsid w:val="00146ADE"/>
    <w:rsid w:val="0015099A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77A67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18C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379C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9B"/>
    <w:rsid w:val="004A5CAE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62B76"/>
    <w:rsid w:val="00663633"/>
    <w:rsid w:val="00665150"/>
    <w:rsid w:val="006651E2"/>
    <w:rsid w:val="00665595"/>
    <w:rsid w:val="00665EC9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B60B7"/>
    <w:rsid w:val="006C0864"/>
    <w:rsid w:val="006C5831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5159"/>
    <w:rsid w:val="009E55D7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213E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Premio CPHI Pharma EUDRACAP - Espanhol</DocumentTitle>
    <LanguageTree xmlns="e07854b6-a587-48d3-9227-07135cb48b70">
      <Value>DE</Value>
      <Value>EN</Value>
    </LanguageTre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documentManagement/types"/>
    <ds:schemaRef ds:uri="5b07b4f9-18a9-406f-8c85-d420b86b290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07854b6-a587-48d3-9227-07135cb48b7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6284</Characters>
  <Application>Microsoft Office Word</Application>
  <DocSecurity>0</DocSecurity>
  <Lines>174</Lines>
  <Paragraphs>56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7189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InVitria - Espanhol</dc:subject>
  <dc:creator>Via Pública Comunicação</dc:creator>
  <cp:keywords/>
  <dc:description>Novembro 2025</dc:description>
  <cp:lastModifiedBy>Guilherme Cabrera</cp:lastModifiedBy>
  <cp:revision>3</cp:revision>
  <cp:lastPrinted>2025-11-27T16:45:00Z</cp:lastPrinted>
  <dcterms:created xsi:type="dcterms:W3CDTF">2025-11-18T17:44:00Z</dcterms:created>
  <dcterms:modified xsi:type="dcterms:W3CDTF">2025-11-27T16:45:00Z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