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B2196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449FB9FE" w:rsidR="004F1918" w:rsidRPr="00FC0440" w:rsidRDefault="00C0391D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 w:rsidRPr="00FC0440">
              <w:rPr>
                <w:b w:val="0"/>
                <w:sz w:val="18"/>
                <w:szCs w:val="18"/>
                <w:lang w:val="pt-BR"/>
              </w:rPr>
              <w:t>06</w:t>
            </w:r>
            <w:r w:rsidR="009C0B75" w:rsidRPr="00FC0440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CB53E3" w:rsidRPr="00FC0440">
              <w:rPr>
                <w:b w:val="0"/>
                <w:sz w:val="18"/>
                <w:szCs w:val="18"/>
                <w:lang w:val="pt-BR"/>
              </w:rPr>
              <w:t>agosto</w:t>
            </w:r>
            <w:r w:rsidR="00E52EFF" w:rsidRPr="00FC0440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FC0440">
              <w:rPr>
                <w:b w:val="0"/>
                <w:sz w:val="18"/>
                <w:szCs w:val="18"/>
                <w:lang w:val="pt-BR"/>
              </w:rPr>
              <w:t>de 202</w:t>
            </w:r>
            <w:r w:rsidR="00E52EFF" w:rsidRPr="00FC0440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624FC4EA" w14:textId="77777777" w:rsidR="004F1918" w:rsidRPr="00FC0440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FC0440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C0391D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0391D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C0391D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C0391D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C0391D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C0391D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C0391D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C0391D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B2196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DB2196">
              <w:rPr>
                <w:rFonts w:eastAsia="Lucida Sans Unicode" w:cs="Lucida Sans Unicode"/>
                <w:szCs w:val="13"/>
                <w:bdr w:val="nil"/>
                <w:lang w:val="en-US"/>
              </w:rPr>
              <w:t xml:space="preserve">regina.barbara@evonik.com </w:t>
            </w:r>
          </w:p>
        </w:tc>
      </w:tr>
      <w:tr w:rsidR="008D6C5B" w:rsidRPr="00DB2196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DB2196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</w:tc>
      </w:tr>
    </w:tbl>
    <w:p w14:paraId="0F4F6B2D" w14:textId="77777777" w:rsidR="00D04B00" w:rsidRPr="00DB219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en-US"/>
        </w:rPr>
      </w:pPr>
      <w:r w:rsidRPr="00DB2196">
        <w:rPr>
          <w:rFonts w:eastAsia="Lucida Sans Unicode" w:cs="Lucida Sans Unicode"/>
          <w:b/>
          <w:bCs/>
          <w:sz w:val="13"/>
          <w:szCs w:val="13"/>
          <w:bdr w:val="nil"/>
          <w:lang w:val="en-US"/>
        </w:rPr>
        <w:t>Evonik Brasil Ltda.</w:t>
      </w:r>
    </w:p>
    <w:p w14:paraId="74CF45BB" w14:textId="77777777" w:rsidR="00D04B00" w:rsidRPr="00C0391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0391D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C0391D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C0391D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C0391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0391D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C0391D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C0391D" w:rsidRDefault="00636D1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C0391D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C0391D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C0391D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C0391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0391D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C0391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0391D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C0391D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C0391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0391D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C0391D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DB219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DB2196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DB219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DB2196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DB2196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2008F791" w14:textId="202F8693" w:rsidR="00F842FF" w:rsidRPr="00427EFD" w:rsidRDefault="00FD1C68" w:rsidP="00FD1C68">
      <w:pPr>
        <w:spacing w:before="140" w:line="199" w:lineRule="auto"/>
        <w:ind w:left="141"/>
        <w:rPr>
          <w:b/>
          <w:sz w:val="28"/>
          <w:szCs w:val="28"/>
        </w:rPr>
      </w:pPr>
      <w:r w:rsidRPr="00427EFD">
        <w:rPr>
          <w:b/>
          <w:sz w:val="28"/>
          <w:szCs w:val="28"/>
        </w:rPr>
        <w:t>Evonik registra forte crescimento no primeiro semest</w:t>
      </w:r>
      <w:r w:rsidR="00443C28" w:rsidRPr="00427EFD">
        <w:rPr>
          <w:b/>
          <w:sz w:val="28"/>
          <w:szCs w:val="28"/>
        </w:rPr>
        <w:t>re</w:t>
      </w:r>
      <w:r w:rsidRPr="00427EFD">
        <w:rPr>
          <w:b/>
          <w:sz w:val="28"/>
          <w:szCs w:val="28"/>
        </w:rPr>
        <w:t xml:space="preserve"> do ano e eleva perspectivas para 2021</w:t>
      </w:r>
    </w:p>
    <w:p w14:paraId="7E94D130" w14:textId="2E2A2A08" w:rsidR="00F5203F" w:rsidRPr="00427EFD" w:rsidRDefault="00F5203F" w:rsidP="0032793B"/>
    <w:p w14:paraId="709C73D7" w14:textId="4E4FC852" w:rsidR="00F842FF" w:rsidRPr="00427EFD" w:rsidRDefault="00FD1C68" w:rsidP="00FD1C68">
      <w:pPr>
        <w:pStyle w:val="Heading1"/>
        <w:numPr>
          <w:ilvl w:val="0"/>
          <w:numId w:val="44"/>
        </w:numPr>
        <w:tabs>
          <w:tab w:val="left" w:pos="461"/>
        </w:tabs>
        <w:ind w:left="426" w:right="207" w:hanging="284"/>
        <w:rPr>
          <w:szCs w:val="24"/>
        </w:rPr>
      </w:pPr>
      <w:r w:rsidRPr="00427EFD">
        <w:rPr>
          <w:szCs w:val="24"/>
        </w:rPr>
        <w:t>Vendas cresceram 29% no segundo trimestre, EBITDA ajustado aumentou 42%</w:t>
      </w:r>
    </w:p>
    <w:p w14:paraId="3D1501DB" w14:textId="609C5A30" w:rsidR="00F842FF" w:rsidRPr="00427EFD" w:rsidRDefault="0041752A" w:rsidP="00FD1C68">
      <w:pPr>
        <w:pStyle w:val="ListParagraph"/>
        <w:widowControl w:val="0"/>
        <w:numPr>
          <w:ilvl w:val="0"/>
          <w:numId w:val="44"/>
        </w:numPr>
        <w:tabs>
          <w:tab w:val="left" w:pos="461"/>
        </w:tabs>
        <w:autoSpaceDE w:val="0"/>
        <w:autoSpaceDN w:val="0"/>
        <w:ind w:left="426" w:right="158" w:hanging="284"/>
        <w:rPr>
          <w:sz w:val="24"/>
        </w:rPr>
      </w:pPr>
      <w:r>
        <w:rPr>
          <w:sz w:val="24"/>
        </w:rPr>
        <w:t xml:space="preserve">As três </w:t>
      </w:r>
      <w:r w:rsidR="00FD1C68" w:rsidRPr="00427EFD">
        <w:rPr>
          <w:sz w:val="24"/>
        </w:rPr>
        <w:t>divisões de crescimento apresenta</w:t>
      </w:r>
      <w:r w:rsidR="00AF4392" w:rsidRPr="00427EFD">
        <w:rPr>
          <w:sz w:val="24"/>
        </w:rPr>
        <w:t>ra</w:t>
      </w:r>
      <w:r w:rsidR="00FD1C68" w:rsidRPr="00427EFD">
        <w:rPr>
          <w:sz w:val="24"/>
        </w:rPr>
        <w:t>m resultados acima dos níveis pré-crise de 2019</w:t>
      </w:r>
    </w:p>
    <w:p w14:paraId="69F5070C" w14:textId="3EC94FEA" w:rsidR="00F842FF" w:rsidRPr="00427EFD" w:rsidRDefault="00FD1C68" w:rsidP="0041752A">
      <w:pPr>
        <w:pStyle w:val="ListParagraph"/>
        <w:widowControl w:val="0"/>
        <w:numPr>
          <w:ilvl w:val="0"/>
          <w:numId w:val="44"/>
        </w:numPr>
        <w:tabs>
          <w:tab w:val="left" w:pos="461"/>
        </w:tabs>
        <w:autoSpaceDE w:val="0"/>
        <w:autoSpaceDN w:val="0"/>
        <w:ind w:left="426" w:hanging="284"/>
        <w:rPr>
          <w:sz w:val="24"/>
        </w:rPr>
      </w:pPr>
      <w:r w:rsidRPr="00427EFD">
        <w:rPr>
          <w:sz w:val="24"/>
        </w:rPr>
        <w:t>Perspectivas para 2021:</w:t>
      </w:r>
      <w:r w:rsidR="00F842FF" w:rsidRPr="00427EFD">
        <w:rPr>
          <w:sz w:val="24"/>
        </w:rPr>
        <w:t xml:space="preserve"> </w:t>
      </w:r>
      <w:r w:rsidRPr="00427EFD">
        <w:rPr>
          <w:sz w:val="24"/>
        </w:rPr>
        <w:t>EBITDA ajustado agora projetado para 2,3-2,4 bilhões de euros</w:t>
      </w:r>
    </w:p>
    <w:p w14:paraId="79B1FD83" w14:textId="3C577EE1" w:rsidR="00F5203F" w:rsidRPr="00443C28" w:rsidRDefault="00F5203F" w:rsidP="00685C14"/>
    <w:p w14:paraId="03AB53FC" w14:textId="5EC1A0A5" w:rsidR="00F5203F" w:rsidRPr="00443C28" w:rsidRDefault="00F5203F" w:rsidP="00685C14"/>
    <w:p w14:paraId="3A71F3FB" w14:textId="1D41822B" w:rsidR="00F842FF" w:rsidRPr="00427EFD" w:rsidRDefault="00081271" w:rsidP="00081271">
      <w:pPr>
        <w:pStyle w:val="BodyText"/>
        <w:spacing w:after="0"/>
        <w:ind w:left="141"/>
        <w:rPr>
          <w:w w:val="105"/>
        </w:rPr>
      </w:pPr>
      <w:r w:rsidRPr="00427EFD">
        <w:rPr>
          <w:w w:val="105"/>
        </w:rPr>
        <w:t>A Evonik elevou suas perspectivas para 202</w:t>
      </w:r>
      <w:r w:rsidR="003B5A2B">
        <w:rPr>
          <w:w w:val="105"/>
        </w:rPr>
        <w:t xml:space="preserve">1, </w:t>
      </w:r>
      <w:r w:rsidRPr="00427EFD">
        <w:rPr>
          <w:w w:val="105"/>
        </w:rPr>
        <w:t xml:space="preserve">após registrar </w:t>
      </w:r>
      <w:r w:rsidR="003B5A2B">
        <w:rPr>
          <w:w w:val="105"/>
        </w:rPr>
        <w:t>sólidos</w:t>
      </w:r>
      <w:r w:rsidRPr="00427EFD">
        <w:rPr>
          <w:w w:val="105"/>
        </w:rPr>
        <w:t xml:space="preserve"> </w:t>
      </w:r>
      <w:r w:rsidR="00A56426" w:rsidRPr="00427EFD">
        <w:rPr>
          <w:w w:val="105"/>
        </w:rPr>
        <w:t>rendimentos</w:t>
      </w:r>
      <w:r w:rsidRPr="00427EFD">
        <w:rPr>
          <w:w w:val="105"/>
        </w:rPr>
        <w:t xml:space="preserve"> no primeiro </w:t>
      </w:r>
      <w:r w:rsidR="00D922FD" w:rsidRPr="00427EFD">
        <w:rPr>
          <w:w w:val="105"/>
        </w:rPr>
        <w:t>semestre</w:t>
      </w:r>
      <w:r w:rsidRPr="00427EFD">
        <w:rPr>
          <w:w w:val="105"/>
        </w:rPr>
        <w:t xml:space="preserve"> do ano. A demanda mundial pelos produtos da empresa cresceu significativamente e </w:t>
      </w:r>
      <w:r w:rsidR="00F40FFB" w:rsidRPr="00427EFD">
        <w:rPr>
          <w:w w:val="105"/>
        </w:rPr>
        <w:t xml:space="preserve">os </w:t>
      </w:r>
      <w:r w:rsidRPr="00427EFD">
        <w:rPr>
          <w:w w:val="105"/>
        </w:rPr>
        <w:t>preços de venda também</w:t>
      </w:r>
      <w:r w:rsidR="00B83559">
        <w:rPr>
          <w:w w:val="105"/>
        </w:rPr>
        <w:t xml:space="preserve"> tiveram </w:t>
      </w:r>
      <w:r w:rsidR="007D0A09">
        <w:rPr>
          <w:w w:val="105"/>
        </w:rPr>
        <w:t>alta</w:t>
      </w:r>
      <w:r w:rsidR="00B83559">
        <w:rPr>
          <w:w w:val="105"/>
        </w:rPr>
        <w:t xml:space="preserve">. </w:t>
      </w:r>
      <w:r w:rsidRPr="00427EFD">
        <w:rPr>
          <w:w w:val="105"/>
        </w:rPr>
        <w:t xml:space="preserve"> </w:t>
      </w:r>
    </w:p>
    <w:p w14:paraId="6D7DAA9A" w14:textId="77777777" w:rsidR="00B8259D" w:rsidRPr="00427EFD" w:rsidRDefault="00B8259D" w:rsidP="00685C14">
      <w:pPr>
        <w:pStyle w:val="BodyText"/>
        <w:spacing w:after="0"/>
        <w:ind w:left="141"/>
      </w:pPr>
    </w:p>
    <w:p w14:paraId="40A9AC7D" w14:textId="5485BA2E" w:rsidR="00F842FF" w:rsidRPr="003B5A2B" w:rsidRDefault="00081271" w:rsidP="00F40FFB">
      <w:pPr>
        <w:pStyle w:val="BodyText"/>
        <w:spacing w:after="0"/>
        <w:ind w:left="141"/>
        <w:rPr>
          <w:w w:val="105"/>
        </w:rPr>
      </w:pPr>
      <w:r w:rsidRPr="003B5A2B">
        <w:rPr>
          <w:w w:val="105"/>
        </w:rPr>
        <w:t>“Sa</w:t>
      </w:r>
      <w:r w:rsidR="00D901A7" w:rsidRPr="003B5A2B">
        <w:rPr>
          <w:w w:val="105"/>
        </w:rPr>
        <w:t>í</w:t>
      </w:r>
      <w:r w:rsidRPr="003B5A2B">
        <w:rPr>
          <w:w w:val="105"/>
        </w:rPr>
        <w:t xml:space="preserve">mos da crise mais fortes que antes e obtivemos ganhos substanciais no primeiro semestre”, </w:t>
      </w:r>
      <w:r w:rsidR="00F60B39" w:rsidRPr="003B5A2B">
        <w:rPr>
          <w:w w:val="105"/>
        </w:rPr>
        <w:t>afirmou</w:t>
      </w:r>
      <w:r w:rsidRPr="003B5A2B">
        <w:rPr>
          <w:w w:val="105"/>
        </w:rPr>
        <w:t xml:space="preserve"> Christian Kullmann, presidente da diretoria executiv</w:t>
      </w:r>
      <w:r w:rsidR="00F40FFB" w:rsidRPr="003B5A2B">
        <w:rPr>
          <w:w w:val="105"/>
        </w:rPr>
        <w:t>a</w:t>
      </w:r>
      <w:r w:rsidRPr="003B5A2B">
        <w:rPr>
          <w:w w:val="105"/>
        </w:rPr>
        <w:t xml:space="preserve"> da Evonik.</w:t>
      </w:r>
      <w:r w:rsidR="00F842FF" w:rsidRPr="003B5A2B">
        <w:rPr>
          <w:spacing w:val="-13"/>
          <w:w w:val="105"/>
        </w:rPr>
        <w:t xml:space="preserve"> </w:t>
      </w:r>
      <w:r w:rsidR="00F40FFB" w:rsidRPr="003B5A2B">
        <w:rPr>
          <w:w w:val="105"/>
        </w:rPr>
        <w:t>“Essa dinâmica positiva se manterá no segundo semestre</w:t>
      </w:r>
      <w:r w:rsidR="007341A2">
        <w:rPr>
          <w:w w:val="105"/>
        </w:rPr>
        <w:t xml:space="preserve">, o que nos deixa </w:t>
      </w:r>
      <w:r w:rsidR="00F40FFB" w:rsidRPr="003B5A2B">
        <w:rPr>
          <w:w w:val="105"/>
        </w:rPr>
        <w:t>confiantes em relação à elevação das nossas perspectivas.</w:t>
      </w:r>
      <w:r w:rsidR="00F842FF" w:rsidRPr="003B5A2B">
        <w:rPr>
          <w:spacing w:val="-10"/>
          <w:w w:val="105"/>
        </w:rPr>
        <w:t xml:space="preserve"> </w:t>
      </w:r>
      <w:r w:rsidR="00F40FFB" w:rsidRPr="003B5A2B">
        <w:rPr>
          <w:w w:val="105"/>
        </w:rPr>
        <w:t xml:space="preserve">Do </w:t>
      </w:r>
      <w:r w:rsidR="00C0391D">
        <w:rPr>
          <w:w w:val="105"/>
        </w:rPr>
        <w:t xml:space="preserve">atual </w:t>
      </w:r>
      <w:r w:rsidR="00F40FFB" w:rsidRPr="003B5A2B">
        <w:rPr>
          <w:w w:val="105"/>
        </w:rPr>
        <w:t xml:space="preserve">ponto de vista, vamos até mesmo fechar o ano na </w:t>
      </w:r>
      <w:r w:rsidR="002B7AA4" w:rsidRPr="003B5A2B">
        <w:rPr>
          <w:w w:val="105"/>
        </w:rPr>
        <w:t>faixa</w:t>
      </w:r>
      <w:r w:rsidR="00F40FFB" w:rsidRPr="003B5A2B">
        <w:rPr>
          <w:w w:val="105"/>
        </w:rPr>
        <w:t xml:space="preserve"> superior </w:t>
      </w:r>
      <w:r w:rsidR="00F60B39" w:rsidRPr="003B5A2B">
        <w:rPr>
          <w:w w:val="105"/>
        </w:rPr>
        <w:t>do intervalo</w:t>
      </w:r>
      <w:r w:rsidR="00F40FFB" w:rsidRPr="003B5A2B">
        <w:rPr>
          <w:w w:val="105"/>
        </w:rPr>
        <w:t xml:space="preserve">”. </w:t>
      </w:r>
    </w:p>
    <w:p w14:paraId="63AEBFDE" w14:textId="77777777" w:rsidR="00B8259D" w:rsidRPr="003B5A2B" w:rsidRDefault="00B8259D" w:rsidP="00685C14">
      <w:pPr>
        <w:pStyle w:val="BodyText"/>
        <w:spacing w:after="0"/>
        <w:ind w:left="141"/>
      </w:pPr>
    </w:p>
    <w:p w14:paraId="41434EA2" w14:textId="03866B25" w:rsidR="00D17C9E" w:rsidRPr="00443C28" w:rsidRDefault="00F40FFB" w:rsidP="00BF7B87">
      <w:pPr>
        <w:pStyle w:val="BodyText"/>
        <w:spacing w:after="0"/>
        <w:ind w:left="141" w:right="154"/>
        <w:rPr>
          <w:w w:val="105"/>
        </w:rPr>
      </w:pPr>
      <w:r w:rsidRPr="003B5A2B">
        <w:rPr>
          <w:w w:val="105"/>
        </w:rPr>
        <w:t xml:space="preserve">Para </w:t>
      </w:r>
      <w:r w:rsidR="0028445B" w:rsidRPr="003B5A2B">
        <w:rPr>
          <w:w w:val="105"/>
        </w:rPr>
        <w:t xml:space="preserve">o ano de </w:t>
      </w:r>
      <w:r w:rsidRPr="003B5A2B">
        <w:rPr>
          <w:w w:val="105"/>
        </w:rPr>
        <w:t>2021</w:t>
      </w:r>
      <w:r w:rsidR="00C30957">
        <w:rPr>
          <w:w w:val="105"/>
        </w:rPr>
        <w:t xml:space="preserve"> inteiro</w:t>
      </w:r>
      <w:r w:rsidRPr="003B5A2B">
        <w:rPr>
          <w:w w:val="105"/>
        </w:rPr>
        <w:t xml:space="preserve">, a Evonik agora </w:t>
      </w:r>
      <w:r w:rsidR="007817CA">
        <w:rPr>
          <w:w w:val="105"/>
        </w:rPr>
        <w:t>prevê</w:t>
      </w:r>
      <w:r w:rsidRPr="003B5A2B">
        <w:rPr>
          <w:w w:val="105"/>
        </w:rPr>
        <w:t xml:space="preserve"> </w:t>
      </w:r>
      <w:r w:rsidR="00816556" w:rsidRPr="003B5A2B">
        <w:rPr>
          <w:w w:val="105"/>
        </w:rPr>
        <w:t xml:space="preserve">um </w:t>
      </w:r>
      <w:r w:rsidR="0030174F" w:rsidRPr="003B5A2B">
        <w:rPr>
          <w:w w:val="105"/>
        </w:rPr>
        <w:t>lucro antes de juros, impostos, depreciação e amortização</w:t>
      </w:r>
      <w:r w:rsidR="00ED0FEA" w:rsidRPr="003B5A2B">
        <w:rPr>
          <w:w w:val="105"/>
        </w:rPr>
        <w:t xml:space="preserve"> (</w:t>
      </w:r>
      <w:r w:rsidRPr="003B5A2B">
        <w:rPr>
          <w:w w:val="105"/>
        </w:rPr>
        <w:t>EBITDA ajustado</w:t>
      </w:r>
      <w:r w:rsidR="00ED0FEA" w:rsidRPr="003B5A2B">
        <w:rPr>
          <w:w w:val="105"/>
        </w:rPr>
        <w:t>)</w:t>
      </w:r>
      <w:r w:rsidRPr="003B5A2B">
        <w:rPr>
          <w:w w:val="105"/>
        </w:rPr>
        <w:t xml:space="preserve"> </w:t>
      </w:r>
      <w:r w:rsidR="00ED0FEA" w:rsidRPr="003B5A2B">
        <w:rPr>
          <w:w w:val="105"/>
        </w:rPr>
        <w:t>de</w:t>
      </w:r>
      <w:r w:rsidRPr="003B5A2B">
        <w:rPr>
          <w:w w:val="105"/>
        </w:rPr>
        <w:t xml:space="preserve"> 2,3 </w:t>
      </w:r>
      <w:r w:rsidR="00ED0FEA" w:rsidRPr="003B5A2B">
        <w:rPr>
          <w:w w:val="105"/>
        </w:rPr>
        <w:t>a</w:t>
      </w:r>
      <w:r w:rsidRPr="003B5A2B">
        <w:rPr>
          <w:w w:val="105"/>
        </w:rPr>
        <w:t xml:space="preserve"> 2,4 bilhões de euros.</w:t>
      </w:r>
      <w:r w:rsidR="00F842FF" w:rsidRPr="003B5A2B">
        <w:rPr>
          <w:w w:val="105"/>
        </w:rPr>
        <w:t xml:space="preserve"> </w:t>
      </w:r>
      <w:r w:rsidR="0028445B" w:rsidRPr="003B5A2B">
        <w:rPr>
          <w:w w:val="105"/>
        </w:rPr>
        <w:t xml:space="preserve">Na previsão </w:t>
      </w:r>
      <w:r w:rsidR="0028445B" w:rsidRPr="00443C28">
        <w:rPr>
          <w:w w:val="105"/>
        </w:rPr>
        <w:t>anterior, a faixa era de 2,1-2,3 bilhões de euros.</w:t>
      </w:r>
      <w:r w:rsidR="00F842FF" w:rsidRPr="00443C28">
        <w:rPr>
          <w:spacing w:val="-9"/>
          <w:w w:val="105"/>
        </w:rPr>
        <w:t xml:space="preserve"> </w:t>
      </w:r>
      <w:r w:rsidR="00850CEB" w:rsidRPr="00443C28">
        <w:rPr>
          <w:w w:val="105"/>
        </w:rPr>
        <w:t>A perspectiva</w:t>
      </w:r>
      <w:r w:rsidR="003D68AE" w:rsidRPr="00443C28">
        <w:rPr>
          <w:w w:val="105"/>
        </w:rPr>
        <w:t xml:space="preserve"> de</w:t>
      </w:r>
      <w:r w:rsidR="00215FA7" w:rsidRPr="00443C28">
        <w:rPr>
          <w:w w:val="105"/>
        </w:rPr>
        <w:t xml:space="preserve"> vendas </w:t>
      </w:r>
      <w:r w:rsidR="002A02B8">
        <w:rPr>
          <w:w w:val="105"/>
        </w:rPr>
        <w:t>foi elevada para</w:t>
      </w:r>
      <w:r w:rsidR="00215FA7" w:rsidRPr="00443C28">
        <w:rPr>
          <w:w w:val="105"/>
        </w:rPr>
        <w:t xml:space="preserve"> 13 a 14,5 bilhões de euros</w:t>
      </w:r>
      <w:r w:rsidR="003D68AE" w:rsidRPr="00443C28">
        <w:rPr>
          <w:w w:val="105"/>
        </w:rPr>
        <w:t xml:space="preserve"> ante os 12 a 14 bilhões </w:t>
      </w:r>
      <w:r w:rsidR="00850CEB" w:rsidRPr="00443C28">
        <w:rPr>
          <w:w w:val="105"/>
        </w:rPr>
        <w:t>projetados</w:t>
      </w:r>
      <w:r w:rsidR="003D68AE" w:rsidRPr="00443C28">
        <w:rPr>
          <w:w w:val="105"/>
        </w:rPr>
        <w:t xml:space="preserve"> anteriormente. </w:t>
      </w:r>
      <w:r w:rsidR="00BF7B87" w:rsidRPr="00443C28">
        <w:rPr>
          <w:w w:val="105"/>
        </w:rPr>
        <w:t xml:space="preserve">No ano passado, a Evonik registrou um EBITDA ajustado de 1,91 bilhão de euros e vendas de 12,2 bilhões de euros. </w:t>
      </w:r>
      <w:r w:rsidR="00685C14" w:rsidRPr="00443C28">
        <w:rPr>
          <w:w w:val="105"/>
        </w:rPr>
        <w:t xml:space="preserve"> </w:t>
      </w:r>
    </w:p>
    <w:p w14:paraId="17C17948" w14:textId="77777777" w:rsidR="00D17C9E" w:rsidRPr="00443C28" w:rsidRDefault="00D17C9E" w:rsidP="00685C14">
      <w:pPr>
        <w:pStyle w:val="BodyText"/>
        <w:spacing w:after="0"/>
        <w:ind w:left="141" w:right="154"/>
        <w:rPr>
          <w:w w:val="105"/>
        </w:rPr>
      </w:pPr>
    </w:p>
    <w:p w14:paraId="7B17FF3F" w14:textId="7C1F390B" w:rsidR="00F842FF" w:rsidRPr="003B5A2B" w:rsidRDefault="00BF7B87" w:rsidP="009C1699">
      <w:pPr>
        <w:pStyle w:val="BodyText"/>
        <w:spacing w:after="0"/>
        <w:ind w:left="141" w:right="154"/>
        <w:rPr>
          <w:w w:val="105"/>
        </w:rPr>
      </w:pPr>
      <w:r w:rsidRPr="00443C28">
        <w:rPr>
          <w:w w:val="105"/>
        </w:rPr>
        <w:t xml:space="preserve">No segundo trimestre, o EBITDA ajustado </w:t>
      </w:r>
      <w:r w:rsidR="007619E7">
        <w:rPr>
          <w:w w:val="105"/>
        </w:rPr>
        <w:t>cresceu</w:t>
      </w:r>
      <w:r w:rsidR="00EF40D2" w:rsidRPr="00443C28">
        <w:rPr>
          <w:w w:val="105"/>
        </w:rPr>
        <w:t xml:space="preserve"> 42% para 649 milhões de euros na comparação com o mesmo </w:t>
      </w:r>
      <w:r w:rsidR="007619E7">
        <w:rPr>
          <w:w w:val="105"/>
        </w:rPr>
        <w:t>período</w:t>
      </w:r>
      <w:r w:rsidR="00EF40D2" w:rsidRPr="00443C28">
        <w:rPr>
          <w:w w:val="105"/>
        </w:rPr>
        <w:t xml:space="preserve"> do ano </w:t>
      </w:r>
      <w:r w:rsidR="00656399">
        <w:rPr>
          <w:w w:val="105"/>
        </w:rPr>
        <w:t>anterior</w:t>
      </w:r>
      <w:r w:rsidR="00EF40D2" w:rsidRPr="00443C28">
        <w:rPr>
          <w:w w:val="105"/>
        </w:rPr>
        <w:t>.</w:t>
      </w:r>
      <w:r w:rsidR="00F842FF" w:rsidRPr="00443C28">
        <w:rPr>
          <w:w w:val="105"/>
        </w:rPr>
        <w:t xml:space="preserve"> </w:t>
      </w:r>
      <w:r w:rsidR="00794C1A" w:rsidRPr="00443C28">
        <w:rPr>
          <w:w w:val="105"/>
        </w:rPr>
        <w:t xml:space="preserve">Mesmo quando comparado com o segundo trimestre </w:t>
      </w:r>
      <w:proofErr w:type="spellStart"/>
      <w:r w:rsidR="00794C1A" w:rsidRPr="00443C28">
        <w:rPr>
          <w:w w:val="105"/>
        </w:rPr>
        <w:t>pré</w:t>
      </w:r>
      <w:proofErr w:type="spellEnd"/>
      <w:r w:rsidR="00794C1A" w:rsidRPr="00443C28">
        <w:rPr>
          <w:w w:val="105"/>
        </w:rPr>
        <w:t xml:space="preserve">-corona de 2019, o EBITDA ajustado </w:t>
      </w:r>
      <w:r w:rsidR="00B730DF">
        <w:rPr>
          <w:w w:val="105"/>
        </w:rPr>
        <w:t xml:space="preserve">apresentou alta de </w:t>
      </w:r>
      <w:r w:rsidR="00FA4AED" w:rsidRPr="00443C28">
        <w:rPr>
          <w:w w:val="105"/>
        </w:rPr>
        <w:t>15%.</w:t>
      </w:r>
      <w:r w:rsidR="00F842FF" w:rsidRPr="00443C28">
        <w:rPr>
          <w:w w:val="105"/>
        </w:rPr>
        <w:t xml:space="preserve"> </w:t>
      </w:r>
      <w:r w:rsidR="00D01E52" w:rsidRPr="003B5A2B">
        <w:rPr>
          <w:w w:val="105"/>
        </w:rPr>
        <w:t>As</w:t>
      </w:r>
      <w:r w:rsidR="00FA4AED" w:rsidRPr="003B5A2B">
        <w:rPr>
          <w:w w:val="105"/>
        </w:rPr>
        <w:t xml:space="preserve"> três divisões de crescimento - </w:t>
      </w:r>
      <w:proofErr w:type="spellStart"/>
      <w:r w:rsidR="00FA4AED" w:rsidRPr="003B5A2B">
        <w:rPr>
          <w:w w:val="105"/>
        </w:rPr>
        <w:t>Specialty</w:t>
      </w:r>
      <w:proofErr w:type="spellEnd"/>
      <w:r w:rsidR="00FA4AED" w:rsidRPr="003B5A2B">
        <w:rPr>
          <w:w w:val="105"/>
        </w:rPr>
        <w:t xml:space="preserve"> </w:t>
      </w:r>
      <w:proofErr w:type="spellStart"/>
      <w:r w:rsidR="00FA4AED" w:rsidRPr="003B5A2B">
        <w:rPr>
          <w:w w:val="105"/>
        </w:rPr>
        <w:t>Additives</w:t>
      </w:r>
      <w:proofErr w:type="spellEnd"/>
      <w:r w:rsidR="00FA4AED" w:rsidRPr="003B5A2B">
        <w:rPr>
          <w:w w:val="105"/>
        </w:rPr>
        <w:t xml:space="preserve">, </w:t>
      </w:r>
      <w:proofErr w:type="spellStart"/>
      <w:r w:rsidR="00FA4AED" w:rsidRPr="003B5A2B">
        <w:rPr>
          <w:w w:val="105"/>
        </w:rPr>
        <w:t>Nutrition</w:t>
      </w:r>
      <w:proofErr w:type="spellEnd"/>
      <w:r w:rsidR="00FA4AED" w:rsidRPr="003B5A2B">
        <w:rPr>
          <w:w w:val="105"/>
        </w:rPr>
        <w:t xml:space="preserve"> &amp; </w:t>
      </w:r>
      <w:proofErr w:type="spellStart"/>
      <w:r w:rsidR="00FA4AED" w:rsidRPr="003B5A2B">
        <w:rPr>
          <w:w w:val="105"/>
        </w:rPr>
        <w:t>Care</w:t>
      </w:r>
      <w:proofErr w:type="spellEnd"/>
      <w:r w:rsidR="00FA4AED" w:rsidRPr="003B5A2B">
        <w:rPr>
          <w:w w:val="105"/>
        </w:rPr>
        <w:t xml:space="preserve"> e </w:t>
      </w:r>
      <w:proofErr w:type="spellStart"/>
      <w:r w:rsidR="00FA4AED" w:rsidRPr="003B5A2B">
        <w:rPr>
          <w:w w:val="105"/>
        </w:rPr>
        <w:t>Smart</w:t>
      </w:r>
      <w:proofErr w:type="spellEnd"/>
      <w:r w:rsidR="00FA4AED" w:rsidRPr="003B5A2B">
        <w:rPr>
          <w:w w:val="105"/>
        </w:rPr>
        <w:t xml:space="preserve"> </w:t>
      </w:r>
      <w:proofErr w:type="spellStart"/>
      <w:r w:rsidR="00FA4AED" w:rsidRPr="003B5A2B">
        <w:rPr>
          <w:w w:val="105"/>
        </w:rPr>
        <w:t>Materials</w:t>
      </w:r>
      <w:proofErr w:type="spellEnd"/>
      <w:r w:rsidR="00FA4AED" w:rsidRPr="003B5A2B">
        <w:rPr>
          <w:w w:val="105"/>
        </w:rPr>
        <w:t xml:space="preserve"> – </w:t>
      </w:r>
      <w:r w:rsidR="00FA4AED" w:rsidRPr="003B5A2B">
        <w:rPr>
          <w:w w:val="105"/>
        </w:rPr>
        <w:lastRenderedPageBreak/>
        <w:t xml:space="preserve">contribuíram </w:t>
      </w:r>
      <w:r w:rsidR="000A33EA" w:rsidRPr="003B5A2B">
        <w:rPr>
          <w:w w:val="105"/>
        </w:rPr>
        <w:t xml:space="preserve">igualmente </w:t>
      </w:r>
      <w:r w:rsidR="00FA4AED" w:rsidRPr="003B5A2B">
        <w:rPr>
          <w:w w:val="105"/>
        </w:rPr>
        <w:t xml:space="preserve">para esse </w:t>
      </w:r>
      <w:r w:rsidR="009C1699" w:rsidRPr="003B5A2B">
        <w:rPr>
          <w:w w:val="105"/>
        </w:rPr>
        <w:t>impuls</w:t>
      </w:r>
      <w:r w:rsidR="00C52AE5" w:rsidRPr="003B5A2B">
        <w:rPr>
          <w:w w:val="105"/>
        </w:rPr>
        <w:t>o</w:t>
      </w:r>
      <w:r w:rsidR="009C1699" w:rsidRPr="003B5A2B">
        <w:rPr>
          <w:w w:val="105"/>
        </w:rPr>
        <w:t xml:space="preserve"> e demonstraram sua resiliência apesar dos altos custos das matérias-primas</w:t>
      </w:r>
      <w:r w:rsidR="00FA4AED" w:rsidRPr="003B5A2B">
        <w:rPr>
          <w:w w:val="105"/>
        </w:rPr>
        <w:t>.</w:t>
      </w:r>
      <w:r w:rsidR="006A1672" w:rsidRPr="003B5A2B">
        <w:rPr>
          <w:w w:val="105"/>
        </w:rPr>
        <w:t xml:space="preserve"> </w:t>
      </w:r>
    </w:p>
    <w:p w14:paraId="54ADCCA4" w14:textId="2A909E8C" w:rsidR="006A1672" w:rsidRPr="003B5A2B" w:rsidRDefault="006A1672" w:rsidP="00685C14">
      <w:pPr>
        <w:pStyle w:val="BodyText"/>
        <w:spacing w:after="0"/>
        <w:ind w:left="141" w:right="176"/>
        <w:rPr>
          <w:w w:val="105"/>
        </w:rPr>
      </w:pPr>
    </w:p>
    <w:p w14:paraId="091F3B14" w14:textId="3B1808EB" w:rsidR="006A1672" w:rsidRPr="0097399F" w:rsidRDefault="009C1699" w:rsidP="00B76103">
      <w:pPr>
        <w:pStyle w:val="BodyText"/>
        <w:spacing w:after="0"/>
        <w:ind w:left="141" w:right="176"/>
        <w:rPr>
          <w:w w:val="105"/>
        </w:rPr>
      </w:pPr>
      <w:r w:rsidRPr="00443C28">
        <w:rPr>
          <w:w w:val="105"/>
        </w:rPr>
        <w:t xml:space="preserve">As vendas da </w:t>
      </w:r>
      <w:r w:rsidRPr="0097399F">
        <w:rPr>
          <w:w w:val="105"/>
        </w:rPr>
        <w:t xml:space="preserve">empresa </w:t>
      </w:r>
      <w:r w:rsidR="0097399F" w:rsidRPr="0097399F">
        <w:rPr>
          <w:w w:val="105"/>
        </w:rPr>
        <w:t>cresceram</w:t>
      </w:r>
      <w:r w:rsidRPr="0097399F">
        <w:rPr>
          <w:w w:val="105"/>
        </w:rPr>
        <w:t xml:space="preserve"> 29% para 3,64 bilhões de euros no s</w:t>
      </w:r>
      <w:r w:rsidR="00527E42" w:rsidRPr="0097399F">
        <w:rPr>
          <w:w w:val="105"/>
        </w:rPr>
        <w:t>egundo trimestre na comparação com o mesmo período de 2020.</w:t>
      </w:r>
      <w:r w:rsidR="006A1672" w:rsidRPr="0097399F">
        <w:rPr>
          <w:w w:val="105"/>
        </w:rPr>
        <w:t xml:space="preserve"> </w:t>
      </w:r>
      <w:r w:rsidR="00527E42" w:rsidRPr="0097399F">
        <w:rPr>
          <w:w w:val="105"/>
        </w:rPr>
        <w:t xml:space="preserve">O lucro líquido ajustado </w:t>
      </w:r>
      <w:r w:rsidR="007B2A58">
        <w:rPr>
          <w:w w:val="105"/>
        </w:rPr>
        <w:t>subiu</w:t>
      </w:r>
      <w:r w:rsidR="00527E42" w:rsidRPr="0097399F">
        <w:rPr>
          <w:w w:val="105"/>
        </w:rPr>
        <w:t xml:space="preserve"> 58% para</w:t>
      </w:r>
      <w:r w:rsidR="0077587D" w:rsidRPr="0097399F">
        <w:rPr>
          <w:w w:val="105"/>
        </w:rPr>
        <w:t xml:space="preserve"> </w:t>
      </w:r>
      <w:r w:rsidR="00527E42" w:rsidRPr="0097399F">
        <w:rPr>
          <w:w w:val="105"/>
        </w:rPr>
        <w:t>253 milhões de euros</w:t>
      </w:r>
      <w:r w:rsidR="005A4B9E">
        <w:rPr>
          <w:w w:val="105"/>
        </w:rPr>
        <w:t>,</w:t>
      </w:r>
      <w:r w:rsidR="00527E42" w:rsidRPr="0097399F">
        <w:rPr>
          <w:w w:val="105"/>
        </w:rPr>
        <w:t xml:space="preserve"> com </w:t>
      </w:r>
      <w:r w:rsidR="0077587D" w:rsidRPr="0097399F">
        <w:rPr>
          <w:w w:val="105"/>
        </w:rPr>
        <w:t xml:space="preserve">o lucro ajustado por ação </w:t>
      </w:r>
      <w:r w:rsidR="007B2A58">
        <w:rPr>
          <w:w w:val="105"/>
        </w:rPr>
        <w:t>aumentando</w:t>
      </w:r>
      <w:r w:rsidR="0077587D" w:rsidRPr="0097399F">
        <w:rPr>
          <w:w w:val="105"/>
        </w:rPr>
        <w:t xml:space="preserve"> de 0,34 para 0,54 euro. </w:t>
      </w:r>
    </w:p>
    <w:p w14:paraId="2B8BFD93" w14:textId="348BB39D" w:rsidR="006A1672" w:rsidRPr="00443C28" w:rsidRDefault="006A1672" w:rsidP="00685C14">
      <w:pPr>
        <w:pStyle w:val="BodyText"/>
        <w:spacing w:after="0"/>
        <w:ind w:left="141" w:right="176"/>
        <w:rPr>
          <w:w w:val="105"/>
        </w:rPr>
      </w:pPr>
    </w:p>
    <w:p w14:paraId="125EA9FE" w14:textId="304FFC74" w:rsidR="006A1672" w:rsidRPr="00443C28" w:rsidRDefault="00B76103" w:rsidP="00DD45B7">
      <w:pPr>
        <w:pStyle w:val="BodyText"/>
        <w:spacing w:after="0"/>
        <w:ind w:left="141" w:right="176"/>
        <w:rPr>
          <w:w w:val="105"/>
        </w:rPr>
      </w:pPr>
      <w:r w:rsidRPr="00443C28">
        <w:rPr>
          <w:w w:val="105"/>
        </w:rPr>
        <w:t xml:space="preserve">Em virtude do melhor desempenho comercial, o </w:t>
      </w:r>
      <w:r w:rsidR="00564C50">
        <w:rPr>
          <w:w w:val="105"/>
        </w:rPr>
        <w:t>fluxo de caixa livre</w:t>
      </w:r>
      <w:r w:rsidRPr="00443C28">
        <w:rPr>
          <w:w w:val="105"/>
        </w:rPr>
        <w:t xml:space="preserve"> </w:t>
      </w:r>
      <w:r w:rsidR="00C0414C">
        <w:rPr>
          <w:w w:val="105"/>
        </w:rPr>
        <w:t>cresceu</w:t>
      </w:r>
      <w:r w:rsidRPr="00443C28">
        <w:rPr>
          <w:w w:val="105"/>
        </w:rPr>
        <w:t xml:space="preserve"> </w:t>
      </w:r>
      <w:r w:rsidR="006C6948" w:rsidRPr="00443C28">
        <w:rPr>
          <w:w w:val="105"/>
        </w:rPr>
        <w:t>para 101 milhões de euros na comparação ano a ano</w:t>
      </w:r>
      <w:r w:rsidR="00C0414C">
        <w:rPr>
          <w:w w:val="105"/>
        </w:rPr>
        <w:t>,</w:t>
      </w:r>
      <w:r w:rsidR="002F235D" w:rsidRPr="00443C28">
        <w:rPr>
          <w:w w:val="105"/>
        </w:rPr>
        <w:t xml:space="preserve"> apesar do esperado aumento no capital de giro líquido e </w:t>
      </w:r>
      <w:r w:rsidR="00016DC9">
        <w:rPr>
          <w:w w:val="105"/>
        </w:rPr>
        <w:t>do pagamento de impostos mais elevados</w:t>
      </w:r>
      <w:r w:rsidR="00C0414C">
        <w:rPr>
          <w:w w:val="105"/>
        </w:rPr>
        <w:t>.</w:t>
      </w:r>
      <w:r w:rsidR="006A1672" w:rsidRPr="00443C28">
        <w:rPr>
          <w:w w:val="105"/>
        </w:rPr>
        <w:t xml:space="preserve"> </w:t>
      </w:r>
      <w:r w:rsidR="00657675" w:rsidRPr="00443C28">
        <w:rPr>
          <w:w w:val="105"/>
        </w:rPr>
        <w:t xml:space="preserve">Em consequência, o fluxo de </w:t>
      </w:r>
      <w:r w:rsidR="003816AC">
        <w:rPr>
          <w:w w:val="105"/>
        </w:rPr>
        <w:t>c</w:t>
      </w:r>
      <w:r w:rsidR="00657675" w:rsidRPr="00443C28">
        <w:rPr>
          <w:w w:val="105"/>
        </w:rPr>
        <w:t>aixa li</w:t>
      </w:r>
      <w:r w:rsidR="003816AC">
        <w:rPr>
          <w:w w:val="105"/>
        </w:rPr>
        <w:t>v</w:t>
      </w:r>
      <w:r w:rsidR="00657675" w:rsidRPr="00443C28">
        <w:rPr>
          <w:w w:val="105"/>
        </w:rPr>
        <w:t>re atingiu um nível recorde de 413 milhões de euros n</w:t>
      </w:r>
      <w:r w:rsidR="00DD45B7" w:rsidRPr="00443C28">
        <w:rPr>
          <w:w w:val="105"/>
        </w:rPr>
        <w:t>o primeiro semest</w:t>
      </w:r>
      <w:r w:rsidR="003816AC">
        <w:rPr>
          <w:w w:val="105"/>
        </w:rPr>
        <w:t xml:space="preserve">re </w:t>
      </w:r>
      <w:r w:rsidR="00DD45B7" w:rsidRPr="00443C28">
        <w:rPr>
          <w:w w:val="105"/>
        </w:rPr>
        <w:t xml:space="preserve">do ano. </w:t>
      </w:r>
    </w:p>
    <w:p w14:paraId="6C7FC6E9" w14:textId="77777777" w:rsidR="006A1672" w:rsidRPr="00443C28" w:rsidRDefault="006A1672" w:rsidP="00685C14">
      <w:pPr>
        <w:pStyle w:val="BodyText"/>
        <w:spacing w:after="0"/>
        <w:ind w:left="141" w:right="176"/>
        <w:rPr>
          <w:w w:val="105"/>
        </w:rPr>
      </w:pPr>
    </w:p>
    <w:p w14:paraId="6E766540" w14:textId="2764D909" w:rsidR="006A1672" w:rsidRPr="00443C28" w:rsidRDefault="00DD45B7" w:rsidP="00443C28">
      <w:pPr>
        <w:pStyle w:val="BodyText"/>
        <w:spacing w:after="0"/>
        <w:ind w:left="141" w:right="176"/>
        <w:rPr>
          <w:w w:val="105"/>
        </w:rPr>
      </w:pPr>
      <w:r w:rsidRPr="00443C28">
        <w:rPr>
          <w:w w:val="105"/>
        </w:rPr>
        <w:t>“O excelente fluxo de caixa do primeiro semest</w:t>
      </w:r>
      <w:r w:rsidR="003816AC">
        <w:rPr>
          <w:w w:val="105"/>
        </w:rPr>
        <w:t>re</w:t>
      </w:r>
      <w:r w:rsidRPr="00443C28">
        <w:rPr>
          <w:w w:val="105"/>
        </w:rPr>
        <w:t xml:space="preserve"> do ano </w:t>
      </w:r>
      <w:r w:rsidR="00F65E2D">
        <w:rPr>
          <w:w w:val="105"/>
        </w:rPr>
        <w:t>proporciona</w:t>
      </w:r>
      <w:r w:rsidRPr="00443C28">
        <w:rPr>
          <w:w w:val="105"/>
        </w:rPr>
        <w:t xml:space="preserve"> a base para atingir novamente neste ano uma taxa de conversão de caixa de 40%</w:t>
      </w:r>
      <w:r w:rsidR="00443C28" w:rsidRPr="00443C28">
        <w:rPr>
          <w:w w:val="105"/>
        </w:rPr>
        <w:t>” disse Ute Wolf, CFO</w:t>
      </w:r>
      <w:r w:rsidR="00FE7C04">
        <w:rPr>
          <w:w w:val="105"/>
        </w:rPr>
        <w:t xml:space="preserve"> da empresa</w:t>
      </w:r>
      <w:r w:rsidR="00443C28" w:rsidRPr="00443C28">
        <w:rPr>
          <w:w w:val="105"/>
        </w:rPr>
        <w:t xml:space="preserve">. </w:t>
      </w:r>
    </w:p>
    <w:p w14:paraId="6B87609A" w14:textId="5747D4C9" w:rsidR="00F842FF" w:rsidRPr="00443C28" w:rsidRDefault="00F842FF" w:rsidP="00685C14">
      <w:pPr>
        <w:pStyle w:val="BodyText"/>
        <w:spacing w:after="0"/>
        <w:ind w:left="141" w:right="176"/>
        <w:rPr>
          <w:w w:val="105"/>
        </w:rPr>
      </w:pPr>
    </w:p>
    <w:p w14:paraId="79BB0971" w14:textId="00945128" w:rsidR="006A1672" w:rsidRPr="00C0391D" w:rsidRDefault="00443C28" w:rsidP="00FE7C04">
      <w:pPr>
        <w:pStyle w:val="BodyText"/>
        <w:spacing w:after="0"/>
        <w:ind w:left="141" w:right="176"/>
        <w:rPr>
          <w:b/>
          <w:bCs/>
          <w:w w:val="105"/>
        </w:rPr>
      </w:pPr>
      <w:r w:rsidRPr="00443C28">
        <w:rPr>
          <w:b/>
          <w:bCs/>
          <w:w w:val="105"/>
        </w:rPr>
        <w:t xml:space="preserve">Desenvolvimento nas divisões </w:t>
      </w:r>
    </w:p>
    <w:p w14:paraId="44CDBD72" w14:textId="23E99BC7" w:rsidR="006A1672" w:rsidRPr="00C0391D" w:rsidRDefault="006A1672" w:rsidP="00685C14">
      <w:pPr>
        <w:pStyle w:val="BodyText"/>
        <w:spacing w:after="0"/>
        <w:ind w:left="141" w:right="176"/>
        <w:rPr>
          <w:b/>
          <w:bCs/>
          <w:w w:val="105"/>
        </w:rPr>
      </w:pPr>
    </w:p>
    <w:p w14:paraId="7B2A9921" w14:textId="7799820D" w:rsidR="006A1672" w:rsidRPr="000145D3" w:rsidRDefault="00FE7C04" w:rsidP="000220FF">
      <w:pPr>
        <w:pStyle w:val="BodyText"/>
        <w:spacing w:after="0"/>
        <w:ind w:left="141" w:right="176"/>
        <w:rPr>
          <w:w w:val="105"/>
        </w:rPr>
      </w:pPr>
      <w:proofErr w:type="spellStart"/>
      <w:r w:rsidRPr="000145D3">
        <w:rPr>
          <w:b/>
          <w:bCs/>
          <w:w w:val="105"/>
        </w:rPr>
        <w:t>Specialty</w:t>
      </w:r>
      <w:proofErr w:type="spellEnd"/>
      <w:r w:rsidRPr="000145D3">
        <w:rPr>
          <w:b/>
          <w:bCs/>
          <w:w w:val="105"/>
        </w:rPr>
        <w:t xml:space="preserve"> </w:t>
      </w:r>
      <w:proofErr w:type="spellStart"/>
      <w:r w:rsidRPr="000145D3">
        <w:rPr>
          <w:b/>
          <w:bCs/>
          <w:w w:val="105"/>
        </w:rPr>
        <w:t>Additives</w:t>
      </w:r>
      <w:proofErr w:type="spellEnd"/>
      <w:r w:rsidRPr="000145D3">
        <w:rPr>
          <w:b/>
          <w:bCs/>
          <w:w w:val="105"/>
        </w:rPr>
        <w:t>:</w:t>
      </w:r>
      <w:r w:rsidR="006A1672" w:rsidRPr="000145D3">
        <w:rPr>
          <w:w w:val="105"/>
        </w:rPr>
        <w:t xml:space="preserve"> </w:t>
      </w:r>
      <w:r w:rsidR="000220FF" w:rsidRPr="000145D3">
        <w:rPr>
          <w:w w:val="105"/>
        </w:rPr>
        <w:t>As vendas da divisão aumentar</w:t>
      </w:r>
      <w:r w:rsidR="000145D3">
        <w:rPr>
          <w:w w:val="105"/>
        </w:rPr>
        <w:t>a</w:t>
      </w:r>
      <w:r w:rsidR="000220FF" w:rsidRPr="000145D3">
        <w:rPr>
          <w:w w:val="105"/>
        </w:rPr>
        <w:t>m 23% para 922 milhões de euros no segundo trimestre.</w:t>
      </w:r>
      <w:r w:rsidR="00B55880">
        <w:rPr>
          <w:w w:val="105"/>
        </w:rPr>
        <w:t xml:space="preserve"> </w:t>
      </w:r>
    </w:p>
    <w:p w14:paraId="2C419401" w14:textId="7BE7F83F" w:rsidR="006A1672" w:rsidRPr="000145D3" w:rsidRDefault="000220FF" w:rsidP="00B705E6">
      <w:pPr>
        <w:pStyle w:val="BodyText"/>
        <w:spacing w:after="0"/>
        <w:ind w:left="141" w:right="176"/>
        <w:rPr>
          <w:w w:val="105"/>
        </w:rPr>
      </w:pPr>
      <w:r w:rsidRPr="000145D3">
        <w:rPr>
          <w:w w:val="105"/>
        </w:rPr>
        <w:t xml:space="preserve">Os aditivos para espumas de poliuretano, por exemplo, para a indústria da construção ou </w:t>
      </w:r>
      <w:r w:rsidR="00E72FBA" w:rsidRPr="000145D3">
        <w:rPr>
          <w:w w:val="105"/>
        </w:rPr>
        <w:t>de</w:t>
      </w:r>
      <w:r w:rsidRPr="000145D3">
        <w:rPr>
          <w:w w:val="105"/>
        </w:rPr>
        <w:t xml:space="preserve"> bens duráveis como colchões e refrigeradores, </w:t>
      </w:r>
      <w:r w:rsidR="00E72FBA" w:rsidRPr="000145D3">
        <w:rPr>
          <w:w w:val="105"/>
        </w:rPr>
        <w:t>registraram</w:t>
      </w:r>
      <w:r w:rsidR="008351F3" w:rsidRPr="000145D3">
        <w:rPr>
          <w:w w:val="105"/>
        </w:rPr>
        <w:t xml:space="preserve"> uma alta significativ</w:t>
      </w:r>
      <w:r w:rsidR="00E72FBA" w:rsidRPr="000145D3">
        <w:rPr>
          <w:w w:val="105"/>
        </w:rPr>
        <w:t>a</w:t>
      </w:r>
      <w:r w:rsidR="008351F3" w:rsidRPr="000145D3">
        <w:rPr>
          <w:w w:val="105"/>
        </w:rPr>
        <w:t xml:space="preserve"> na demanda</w:t>
      </w:r>
      <w:r w:rsidR="002F567D" w:rsidRPr="000145D3">
        <w:rPr>
          <w:w w:val="105"/>
        </w:rPr>
        <w:t>,</w:t>
      </w:r>
      <w:r w:rsidR="008351F3" w:rsidRPr="000145D3">
        <w:rPr>
          <w:w w:val="105"/>
        </w:rPr>
        <w:t xml:space="preserve"> </w:t>
      </w:r>
      <w:r w:rsidR="002F567D" w:rsidRPr="000145D3">
        <w:rPr>
          <w:w w:val="105"/>
        </w:rPr>
        <w:t xml:space="preserve">o que </w:t>
      </w:r>
      <w:r w:rsidR="007944DA" w:rsidRPr="000145D3">
        <w:rPr>
          <w:w w:val="105"/>
        </w:rPr>
        <w:t xml:space="preserve">ocasionou uma forte elevação nas </w:t>
      </w:r>
      <w:r w:rsidR="002F567D" w:rsidRPr="000145D3">
        <w:rPr>
          <w:w w:val="105"/>
        </w:rPr>
        <w:t xml:space="preserve">vendas </w:t>
      </w:r>
      <w:r w:rsidR="00B55880">
        <w:rPr>
          <w:w w:val="105"/>
        </w:rPr>
        <w:t>na comparação</w:t>
      </w:r>
      <w:r w:rsidR="007944DA" w:rsidRPr="000145D3">
        <w:rPr>
          <w:w w:val="105"/>
        </w:rPr>
        <w:t xml:space="preserve"> com </w:t>
      </w:r>
      <w:r w:rsidR="008351F3" w:rsidRPr="000145D3">
        <w:rPr>
          <w:w w:val="105"/>
        </w:rPr>
        <w:t>o trimestre mais fraco do ano passado por conta da pandemia.</w:t>
      </w:r>
      <w:r w:rsidR="006A1672" w:rsidRPr="000145D3">
        <w:rPr>
          <w:w w:val="105"/>
        </w:rPr>
        <w:t xml:space="preserve"> </w:t>
      </w:r>
      <w:r w:rsidR="00B5611F" w:rsidRPr="000145D3">
        <w:rPr>
          <w:w w:val="105"/>
        </w:rPr>
        <w:t xml:space="preserve">Os aditivos para a indústria de revestimentos também </w:t>
      </w:r>
      <w:r w:rsidR="0052598D" w:rsidRPr="000145D3">
        <w:rPr>
          <w:w w:val="105"/>
        </w:rPr>
        <w:t>contabilizaram um crescimento significativo nas vendas em todas as regiões.</w:t>
      </w:r>
      <w:r w:rsidR="006A1672" w:rsidRPr="000145D3">
        <w:rPr>
          <w:w w:val="105"/>
        </w:rPr>
        <w:t xml:space="preserve"> </w:t>
      </w:r>
      <w:r w:rsidR="0052598D" w:rsidRPr="000145D3">
        <w:rPr>
          <w:w w:val="105"/>
        </w:rPr>
        <w:t xml:space="preserve">A demanda por produtos </w:t>
      </w:r>
      <w:r w:rsidR="00DD38B1" w:rsidRPr="000145D3">
        <w:rPr>
          <w:w w:val="105"/>
        </w:rPr>
        <w:t xml:space="preserve">para o setor de </w:t>
      </w:r>
      <w:r w:rsidR="0052598D" w:rsidRPr="000145D3">
        <w:rPr>
          <w:w w:val="105"/>
        </w:rPr>
        <w:t>energia</w:t>
      </w:r>
      <w:r w:rsidR="00DD38B1" w:rsidRPr="000145D3">
        <w:rPr>
          <w:w w:val="105"/>
        </w:rPr>
        <w:t>s</w:t>
      </w:r>
      <w:r w:rsidR="0052598D" w:rsidRPr="000145D3">
        <w:rPr>
          <w:w w:val="105"/>
        </w:rPr>
        <w:t xml:space="preserve"> renováve</w:t>
      </w:r>
      <w:r w:rsidR="00DD38B1" w:rsidRPr="000145D3">
        <w:rPr>
          <w:w w:val="105"/>
        </w:rPr>
        <w:t xml:space="preserve">is </w:t>
      </w:r>
      <w:r w:rsidR="0052598D" w:rsidRPr="000145D3">
        <w:rPr>
          <w:w w:val="105"/>
        </w:rPr>
        <w:t>continua</w:t>
      </w:r>
      <w:r w:rsidR="0053699C">
        <w:rPr>
          <w:w w:val="105"/>
        </w:rPr>
        <w:t xml:space="preserve"> boa</w:t>
      </w:r>
      <w:r w:rsidR="0052598D" w:rsidRPr="000145D3">
        <w:rPr>
          <w:w w:val="105"/>
        </w:rPr>
        <w:t>.</w:t>
      </w:r>
      <w:r w:rsidR="006A1672" w:rsidRPr="000145D3">
        <w:rPr>
          <w:w w:val="105"/>
        </w:rPr>
        <w:t xml:space="preserve"> </w:t>
      </w:r>
      <w:r w:rsidR="00DD38B1" w:rsidRPr="000145D3">
        <w:rPr>
          <w:w w:val="105"/>
        </w:rPr>
        <w:t>O negócio de aditivos para a indústria automotiv</w:t>
      </w:r>
      <w:r w:rsidR="00A373D2" w:rsidRPr="000145D3">
        <w:rPr>
          <w:w w:val="105"/>
        </w:rPr>
        <w:t>a</w:t>
      </w:r>
      <w:r w:rsidR="00DD38B1" w:rsidRPr="000145D3">
        <w:rPr>
          <w:w w:val="105"/>
        </w:rPr>
        <w:t xml:space="preserve"> </w:t>
      </w:r>
      <w:r w:rsidR="00A373D2" w:rsidRPr="000145D3">
        <w:rPr>
          <w:w w:val="105"/>
        </w:rPr>
        <w:t>também aumentou de maneira importante na comparação ano a ano.</w:t>
      </w:r>
      <w:r w:rsidR="006A1672" w:rsidRPr="000145D3">
        <w:rPr>
          <w:w w:val="105"/>
        </w:rPr>
        <w:t xml:space="preserve"> </w:t>
      </w:r>
      <w:r w:rsidR="00B705E6" w:rsidRPr="000145D3">
        <w:rPr>
          <w:w w:val="105"/>
        </w:rPr>
        <w:t xml:space="preserve">O EBITDA ajustado cresceu 20% para 242 milhões de euros. </w:t>
      </w:r>
    </w:p>
    <w:p w14:paraId="4BF35948" w14:textId="77777777" w:rsidR="00D17C9E" w:rsidRPr="000145D3" w:rsidRDefault="00D17C9E" w:rsidP="00685C14">
      <w:pPr>
        <w:pStyle w:val="BodyText"/>
        <w:spacing w:after="0"/>
        <w:ind w:left="141" w:right="176"/>
        <w:rPr>
          <w:w w:val="105"/>
        </w:rPr>
      </w:pPr>
    </w:p>
    <w:p w14:paraId="5409E135" w14:textId="59258AEB" w:rsidR="006A1672" w:rsidRPr="007956EC" w:rsidRDefault="00B705E6" w:rsidP="004D2F15">
      <w:pPr>
        <w:pStyle w:val="BodyText"/>
        <w:spacing w:after="0"/>
        <w:ind w:left="141" w:right="176"/>
        <w:rPr>
          <w:w w:val="105"/>
        </w:rPr>
      </w:pPr>
      <w:r w:rsidRPr="000145D3">
        <w:rPr>
          <w:b/>
          <w:bCs/>
          <w:w w:val="105"/>
        </w:rPr>
        <w:lastRenderedPageBreak/>
        <w:t>Nutrition &amp; Care:</w:t>
      </w:r>
      <w:r w:rsidR="006A1672" w:rsidRPr="000145D3">
        <w:rPr>
          <w:w w:val="105"/>
        </w:rPr>
        <w:t xml:space="preserve"> </w:t>
      </w:r>
      <w:r w:rsidRPr="000145D3">
        <w:rPr>
          <w:w w:val="105"/>
        </w:rPr>
        <w:t xml:space="preserve">As vendas </w:t>
      </w:r>
      <w:r w:rsidR="0053699C">
        <w:rPr>
          <w:w w:val="105"/>
        </w:rPr>
        <w:t>d</w:t>
      </w:r>
      <w:r w:rsidRPr="000145D3">
        <w:rPr>
          <w:w w:val="105"/>
        </w:rPr>
        <w:t xml:space="preserve">a divisão </w:t>
      </w:r>
      <w:r w:rsidR="006F60B3" w:rsidRPr="000145D3">
        <w:rPr>
          <w:w w:val="105"/>
        </w:rPr>
        <w:t>subiram 13% para 838 milhões de euros no segundo trimestre.</w:t>
      </w:r>
      <w:r w:rsidR="006A1672" w:rsidRPr="000145D3">
        <w:rPr>
          <w:w w:val="105"/>
        </w:rPr>
        <w:t xml:space="preserve"> </w:t>
      </w:r>
      <w:r w:rsidR="006F60B3" w:rsidRPr="000145D3">
        <w:rPr>
          <w:w w:val="105"/>
        </w:rPr>
        <w:t>As vendas de aminoácidos essenci</w:t>
      </w:r>
      <w:r w:rsidR="00C122EB" w:rsidRPr="000145D3">
        <w:rPr>
          <w:w w:val="105"/>
        </w:rPr>
        <w:t xml:space="preserve">ais aumentaram com </w:t>
      </w:r>
      <w:r w:rsidR="001A2964">
        <w:rPr>
          <w:w w:val="105"/>
        </w:rPr>
        <w:t>a</w:t>
      </w:r>
      <w:r w:rsidR="00C122EB" w:rsidRPr="000145D3">
        <w:rPr>
          <w:w w:val="105"/>
        </w:rPr>
        <w:t xml:space="preserve"> boa demanda em volumes e melhores preços de venda.</w:t>
      </w:r>
      <w:r w:rsidR="006A1672" w:rsidRPr="000145D3">
        <w:rPr>
          <w:w w:val="105"/>
        </w:rPr>
        <w:t xml:space="preserve"> </w:t>
      </w:r>
      <w:r w:rsidR="00C122EB" w:rsidRPr="000145D3">
        <w:rPr>
          <w:w w:val="105"/>
        </w:rPr>
        <w:t xml:space="preserve">Os produtos para o setor de saúde e cuidados se beneficiaram da boa </w:t>
      </w:r>
      <w:r w:rsidR="009D5989">
        <w:rPr>
          <w:w w:val="105"/>
        </w:rPr>
        <w:t>procura</w:t>
      </w:r>
      <w:r w:rsidR="008D623B" w:rsidRPr="000145D3">
        <w:rPr>
          <w:w w:val="105"/>
        </w:rPr>
        <w:t>,</w:t>
      </w:r>
      <w:r w:rsidR="004510EE" w:rsidRPr="000145D3">
        <w:rPr>
          <w:w w:val="105"/>
        </w:rPr>
        <w:t xml:space="preserve"> resultando em v</w:t>
      </w:r>
      <w:r w:rsidR="008D623B" w:rsidRPr="000145D3">
        <w:rPr>
          <w:w w:val="105"/>
        </w:rPr>
        <w:t xml:space="preserve">endas consideravelmente </w:t>
      </w:r>
      <w:r w:rsidR="004510EE" w:rsidRPr="000145D3">
        <w:rPr>
          <w:w w:val="105"/>
        </w:rPr>
        <w:t>mais elevadas</w:t>
      </w:r>
      <w:r w:rsidR="008D623B" w:rsidRPr="000145D3">
        <w:rPr>
          <w:w w:val="105"/>
        </w:rPr>
        <w:t>.</w:t>
      </w:r>
      <w:r w:rsidR="006A1672" w:rsidRPr="000145D3">
        <w:rPr>
          <w:w w:val="105"/>
        </w:rPr>
        <w:t xml:space="preserve"> </w:t>
      </w:r>
      <w:r w:rsidR="004510EE" w:rsidRPr="000145D3">
        <w:rPr>
          <w:w w:val="105"/>
        </w:rPr>
        <w:t xml:space="preserve">Os ingredientes ativos, especialmente os destinados a aplicações cosméticas, </w:t>
      </w:r>
      <w:r w:rsidR="00A13484" w:rsidRPr="000145D3">
        <w:rPr>
          <w:w w:val="105"/>
        </w:rPr>
        <w:t>foram favorecidos por um bom desenvolvimento nos volumes.</w:t>
      </w:r>
      <w:r w:rsidR="006A1672" w:rsidRPr="000145D3">
        <w:rPr>
          <w:w w:val="105"/>
        </w:rPr>
        <w:t xml:space="preserve"> </w:t>
      </w:r>
      <w:r w:rsidR="00A13484" w:rsidRPr="007956EC">
        <w:rPr>
          <w:w w:val="105"/>
        </w:rPr>
        <w:t xml:space="preserve">No setor de aplicações </w:t>
      </w:r>
      <w:r w:rsidR="009D5989" w:rsidRPr="007956EC">
        <w:rPr>
          <w:w w:val="105"/>
        </w:rPr>
        <w:t>farmacêuticas</w:t>
      </w:r>
      <w:r w:rsidR="00A13484" w:rsidRPr="007956EC">
        <w:rPr>
          <w:w w:val="105"/>
        </w:rPr>
        <w:t xml:space="preserve">, </w:t>
      </w:r>
      <w:r w:rsidR="0036046D" w:rsidRPr="007956EC">
        <w:rPr>
          <w:w w:val="105"/>
        </w:rPr>
        <w:t>as vendas de</w:t>
      </w:r>
      <w:r w:rsidR="00A13484" w:rsidRPr="007956EC">
        <w:rPr>
          <w:w w:val="105"/>
        </w:rPr>
        <w:t xml:space="preserve"> lip</w:t>
      </w:r>
      <w:r w:rsidR="004D2F15" w:rsidRPr="007956EC">
        <w:rPr>
          <w:w w:val="105"/>
        </w:rPr>
        <w:t>ídios para vacinas de mRNA registraram um aumento significativo.</w:t>
      </w:r>
      <w:r w:rsidR="009D1F52" w:rsidRPr="007956EC">
        <w:rPr>
          <w:w w:val="105"/>
        </w:rPr>
        <w:t xml:space="preserve"> </w:t>
      </w:r>
      <w:r w:rsidR="004D2F15" w:rsidRPr="007956EC">
        <w:rPr>
          <w:w w:val="105"/>
        </w:rPr>
        <w:t xml:space="preserve">O EBITDA ajustado </w:t>
      </w:r>
      <w:r w:rsidR="0036046D" w:rsidRPr="007956EC">
        <w:rPr>
          <w:w w:val="105"/>
        </w:rPr>
        <w:t>da divisão aumentou</w:t>
      </w:r>
      <w:r w:rsidR="004D2F15" w:rsidRPr="007956EC">
        <w:rPr>
          <w:w w:val="105"/>
        </w:rPr>
        <w:t xml:space="preserve"> 9% para 183 milhões de euros. </w:t>
      </w:r>
    </w:p>
    <w:p w14:paraId="2B4300F1" w14:textId="4487FAB0" w:rsidR="009D1F52" w:rsidRPr="007956EC" w:rsidRDefault="009D1F52" w:rsidP="00685C14">
      <w:pPr>
        <w:pStyle w:val="BodyText"/>
        <w:spacing w:after="0"/>
        <w:ind w:left="141" w:right="176"/>
        <w:rPr>
          <w:w w:val="105"/>
        </w:rPr>
      </w:pPr>
    </w:p>
    <w:p w14:paraId="30EFA039" w14:textId="20E8C2B5" w:rsidR="00DB2196" w:rsidRPr="000145D3" w:rsidRDefault="004D2F15" w:rsidP="003217FB">
      <w:pPr>
        <w:pStyle w:val="BodyText"/>
        <w:spacing w:after="0"/>
        <w:ind w:left="141" w:right="176"/>
        <w:rPr>
          <w:w w:val="105"/>
        </w:rPr>
      </w:pPr>
      <w:proofErr w:type="spellStart"/>
      <w:r w:rsidRPr="007956EC">
        <w:rPr>
          <w:b/>
          <w:bCs/>
          <w:w w:val="105"/>
        </w:rPr>
        <w:t>Smart</w:t>
      </w:r>
      <w:proofErr w:type="spellEnd"/>
      <w:r w:rsidRPr="007956EC">
        <w:rPr>
          <w:b/>
          <w:bCs/>
          <w:w w:val="105"/>
        </w:rPr>
        <w:t xml:space="preserve"> </w:t>
      </w:r>
      <w:proofErr w:type="spellStart"/>
      <w:r w:rsidRPr="007956EC">
        <w:rPr>
          <w:b/>
          <w:bCs/>
          <w:w w:val="105"/>
        </w:rPr>
        <w:t>Materials</w:t>
      </w:r>
      <w:proofErr w:type="spellEnd"/>
      <w:r w:rsidRPr="007956EC">
        <w:rPr>
          <w:b/>
          <w:bCs/>
          <w:w w:val="105"/>
        </w:rPr>
        <w:t>:</w:t>
      </w:r>
      <w:r w:rsidR="009D1F52" w:rsidRPr="007956EC">
        <w:rPr>
          <w:w w:val="105"/>
        </w:rPr>
        <w:t xml:space="preserve"> </w:t>
      </w:r>
      <w:r w:rsidRPr="007956EC">
        <w:rPr>
          <w:w w:val="105"/>
        </w:rPr>
        <w:t xml:space="preserve">As vendas </w:t>
      </w:r>
      <w:r w:rsidR="00DB0215" w:rsidRPr="007956EC">
        <w:rPr>
          <w:w w:val="105"/>
        </w:rPr>
        <w:t>dessa</w:t>
      </w:r>
      <w:r w:rsidRPr="007956EC">
        <w:rPr>
          <w:w w:val="105"/>
        </w:rPr>
        <w:t xml:space="preserve"> divisão </w:t>
      </w:r>
      <w:r w:rsidR="00DB0215" w:rsidRPr="007956EC">
        <w:rPr>
          <w:w w:val="105"/>
        </w:rPr>
        <w:t>cresceram 35</w:t>
      </w:r>
      <w:r w:rsidRPr="007956EC">
        <w:rPr>
          <w:w w:val="105"/>
        </w:rPr>
        <w:t xml:space="preserve">% para </w:t>
      </w:r>
      <w:r w:rsidR="00DB0215" w:rsidRPr="007956EC">
        <w:rPr>
          <w:w w:val="105"/>
        </w:rPr>
        <w:t>975</w:t>
      </w:r>
      <w:r w:rsidRPr="007956EC">
        <w:rPr>
          <w:w w:val="105"/>
        </w:rPr>
        <w:t xml:space="preserve"> milhões de euros no segundo trimestre.</w:t>
      </w:r>
      <w:r w:rsidR="009D1F52" w:rsidRPr="007956EC">
        <w:rPr>
          <w:w w:val="105"/>
        </w:rPr>
        <w:t xml:space="preserve"> </w:t>
      </w:r>
      <w:r w:rsidR="00DB0215" w:rsidRPr="007956EC">
        <w:rPr>
          <w:w w:val="105"/>
        </w:rPr>
        <w:t xml:space="preserve">Os </w:t>
      </w:r>
      <w:r w:rsidR="00DB0215" w:rsidRPr="000145D3">
        <w:rPr>
          <w:w w:val="105"/>
        </w:rPr>
        <w:t xml:space="preserve">polímeros de alta performance </w:t>
      </w:r>
      <w:r w:rsidR="008101D6" w:rsidRPr="000145D3">
        <w:rPr>
          <w:w w:val="105"/>
        </w:rPr>
        <w:t xml:space="preserve">também </w:t>
      </w:r>
      <w:r w:rsidR="00F61E0A">
        <w:rPr>
          <w:w w:val="105"/>
        </w:rPr>
        <w:t>registraram</w:t>
      </w:r>
      <w:r w:rsidR="008101D6" w:rsidRPr="000145D3">
        <w:rPr>
          <w:w w:val="105"/>
        </w:rPr>
        <w:t xml:space="preserve"> um aumento da demanda na indústria automobilística.</w:t>
      </w:r>
      <w:r w:rsidR="00F61E0A">
        <w:rPr>
          <w:rStyle w:val="tw4winMark"/>
          <w:noProof w:val="0"/>
          <w:vanish w:val="0"/>
          <w:specVanish w:val="0"/>
        </w:rPr>
        <w:t xml:space="preserve"> </w:t>
      </w:r>
      <w:r w:rsidR="00254229" w:rsidRPr="000145D3">
        <w:rPr>
          <w:w w:val="105"/>
        </w:rPr>
        <w:t>As</w:t>
      </w:r>
      <w:r w:rsidR="008101D6" w:rsidRPr="000145D3">
        <w:rPr>
          <w:w w:val="105"/>
        </w:rPr>
        <w:t xml:space="preserve"> poliamida</w:t>
      </w:r>
      <w:r w:rsidR="00254229" w:rsidRPr="000145D3">
        <w:rPr>
          <w:w w:val="105"/>
        </w:rPr>
        <w:t>s</w:t>
      </w:r>
      <w:r w:rsidR="008101D6" w:rsidRPr="000145D3">
        <w:rPr>
          <w:w w:val="105"/>
        </w:rPr>
        <w:t xml:space="preserve"> 12 </w:t>
      </w:r>
      <w:r w:rsidR="00254229" w:rsidRPr="000145D3">
        <w:rPr>
          <w:w w:val="105"/>
        </w:rPr>
        <w:t xml:space="preserve">em pó para </w:t>
      </w:r>
      <w:r w:rsidR="00D64F34">
        <w:rPr>
          <w:w w:val="105"/>
        </w:rPr>
        <w:t xml:space="preserve">os setores de </w:t>
      </w:r>
      <w:r w:rsidR="00254229" w:rsidRPr="000145D3">
        <w:rPr>
          <w:w w:val="105"/>
        </w:rPr>
        <w:t xml:space="preserve">impressão 3D e membranas para </w:t>
      </w:r>
      <w:r w:rsidR="00E22950" w:rsidRPr="000145D3">
        <w:rPr>
          <w:w w:val="105"/>
        </w:rPr>
        <w:t>o tratamento</w:t>
      </w:r>
      <w:r w:rsidR="00254229" w:rsidRPr="000145D3">
        <w:rPr>
          <w:w w:val="105"/>
        </w:rPr>
        <w:t xml:space="preserve"> eficiente de gás também </w:t>
      </w:r>
      <w:r w:rsidR="0086165E" w:rsidRPr="000145D3">
        <w:rPr>
          <w:w w:val="105"/>
        </w:rPr>
        <w:t xml:space="preserve">registraram </w:t>
      </w:r>
      <w:r w:rsidR="00703A42" w:rsidRPr="000145D3">
        <w:rPr>
          <w:w w:val="105"/>
        </w:rPr>
        <w:t xml:space="preserve">uma </w:t>
      </w:r>
      <w:r w:rsidR="00CE5516">
        <w:rPr>
          <w:w w:val="105"/>
        </w:rPr>
        <w:t>alta</w:t>
      </w:r>
      <w:r w:rsidR="00703A42" w:rsidRPr="000145D3">
        <w:rPr>
          <w:w w:val="105"/>
        </w:rPr>
        <w:t xml:space="preserve"> </w:t>
      </w:r>
      <w:r w:rsidR="0086165E" w:rsidRPr="000145D3">
        <w:rPr>
          <w:w w:val="105"/>
        </w:rPr>
        <w:t>demanda.</w:t>
      </w:r>
      <w:r w:rsidR="009D1F52" w:rsidRPr="000145D3">
        <w:rPr>
          <w:w w:val="105"/>
        </w:rPr>
        <w:t xml:space="preserve"> </w:t>
      </w:r>
      <w:r w:rsidR="00703A42" w:rsidRPr="000145D3">
        <w:rPr>
          <w:w w:val="105"/>
        </w:rPr>
        <w:t>O negócio de s</w:t>
      </w:r>
      <w:r w:rsidR="00D64F34">
        <w:rPr>
          <w:w w:val="105"/>
        </w:rPr>
        <w:t>í</w:t>
      </w:r>
      <w:r w:rsidR="00703A42" w:rsidRPr="000145D3">
        <w:rPr>
          <w:w w:val="105"/>
        </w:rPr>
        <w:t xml:space="preserve">lica para pneus se beneficiou de uma forte elevação na demanda na comparação com o </w:t>
      </w:r>
      <w:r w:rsidR="00CE5516">
        <w:rPr>
          <w:w w:val="105"/>
        </w:rPr>
        <w:t xml:space="preserve">mesmo </w:t>
      </w:r>
      <w:r w:rsidR="00127653" w:rsidRPr="000145D3">
        <w:rPr>
          <w:w w:val="105"/>
        </w:rPr>
        <w:t>trimestre do ano passado</w:t>
      </w:r>
      <w:r w:rsidR="000E26E8">
        <w:rPr>
          <w:w w:val="105"/>
        </w:rPr>
        <w:t>, mais fraco</w:t>
      </w:r>
      <w:r w:rsidR="00127653" w:rsidRPr="000145D3">
        <w:rPr>
          <w:w w:val="105"/>
        </w:rPr>
        <w:t xml:space="preserve"> em razão da pandemia.</w:t>
      </w:r>
      <w:r w:rsidR="009D1F52" w:rsidRPr="000145D3">
        <w:rPr>
          <w:w w:val="105"/>
        </w:rPr>
        <w:t xml:space="preserve"> </w:t>
      </w:r>
      <w:r w:rsidR="00127653" w:rsidRPr="000145D3">
        <w:rPr>
          <w:w w:val="105"/>
        </w:rPr>
        <w:t xml:space="preserve">Os produtos com oxigênio ativo registraram uma </w:t>
      </w:r>
      <w:r w:rsidR="00732B64" w:rsidRPr="000145D3">
        <w:rPr>
          <w:w w:val="105"/>
        </w:rPr>
        <w:t xml:space="preserve">boa demanda em volume, tanto na atividade com especialidades quanto </w:t>
      </w:r>
      <w:r w:rsidR="00826438" w:rsidRPr="000145D3">
        <w:rPr>
          <w:w w:val="105"/>
        </w:rPr>
        <w:t>com</w:t>
      </w:r>
      <w:r w:rsidR="00732B64" w:rsidRPr="000145D3">
        <w:rPr>
          <w:w w:val="105"/>
        </w:rPr>
        <w:t xml:space="preserve"> peróxido de hidrogênio cl</w:t>
      </w:r>
      <w:r w:rsidR="00826438" w:rsidRPr="000145D3">
        <w:rPr>
          <w:w w:val="105"/>
        </w:rPr>
        <w:t>á</w:t>
      </w:r>
      <w:r w:rsidR="00732B64" w:rsidRPr="000145D3">
        <w:rPr>
          <w:w w:val="105"/>
        </w:rPr>
        <w:t>ssico.</w:t>
      </w:r>
      <w:r w:rsidR="009D1F52" w:rsidRPr="000145D3">
        <w:rPr>
          <w:w w:val="105"/>
        </w:rPr>
        <w:t xml:space="preserve"> </w:t>
      </w:r>
      <w:r w:rsidR="00826438" w:rsidRPr="000145D3">
        <w:rPr>
          <w:w w:val="105"/>
        </w:rPr>
        <w:t>O negócio de catalisadores foi beneficiado pela inclusão</w:t>
      </w:r>
      <w:r w:rsidR="00D82481">
        <w:rPr>
          <w:w w:val="105"/>
        </w:rPr>
        <w:t>, pela primeira vez,</w:t>
      </w:r>
      <w:r w:rsidR="00826438" w:rsidRPr="000145D3">
        <w:rPr>
          <w:w w:val="105"/>
        </w:rPr>
        <w:t xml:space="preserve"> da </w:t>
      </w:r>
      <w:proofErr w:type="spellStart"/>
      <w:r w:rsidR="00826438" w:rsidRPr="000145D3">
        <w:rPr>
          <w:w w:val="105"/>
        </w:rPr>
        <w:t>Porocel</w:t>
      </w:r>
      <w:proofErr w:type="spellEnd"/>
      <w:r w:rsidR="00826438" w:rsidRPr="000145D3">
        <w:rPr>
          <w:w w:val="105"/>
        </w:rPr>
        <w:t xml:space="preserve">, </w:t>
      </w:r>
      <w:r w:rsidR="00D82481">
        <w:rPr>
          <w:w w:val="105"/>
        </w:rPr>
        <w:t xml:space="preserve">empresa </w:t>
      </w:r>
      <w:r w:rsidR="00826438" w:rsidRPr="000145D3">
        <w:rPr>
          <w:w w:val="105"/>
        </w:rPr>
        <w:t>adquirida em novembro de 2020.</w:t>
      </w:r>
      <w:r w:rsidR="009D1F52" w:rsidRPr="000145D3">
        <w:rPr>
          <w:w w:val="105"/>
        </w:rPr>
        <w:t xml:space="preserve"> </w:t>
      </w:r>
      <w:r w:rsidR="003217FB" w:rsidRPr="000145D3">
        <w:rPr>
          <w:w w:val="105"/>
        </w:rPr>
        <w:t xml:space="preserve">O EBITDA ajustado da divisão cresceu 73% para 176 milhões de euros. </w:t>
      </w:r>
      <w:r w:rsidR="00DB2196" w:rsidRPr="000145D3">
        <w:rPr>
          <w:w w:val="105"/>
        </w:rPr>
        <w:t xml:space="preserve"> </w:t>
      </w:r>
    </w:p>
    <w:p w14:paraId="53712720" w14:textId="77777777" w:rsidR="00DB2196" w:rsidRPr="000145D3" w:rsidRDefault="00DB2196" w:rsidP="00685C14">
      <w:pPr>
        <w:pStyle w:val="BodyText"/>
        <w:spacing w:after="0"/>
        <w:ind w:left="141" w:right="176"/>
        <w:rPr>
          <w:w w:val="105"/>
        </w:rPr>
      </w:pPr>
    </w:p>
    <w:p w14:paraId="16EB145A" w14:textId="77777777" w:rsidR="00B4686E" w:rsidRDefault="003217FB" w:rsidP="000145D3">
      <w:pPr>
        <w:pStyle w:val="BodyText"/>
        <w:spacing w:after="0"/>
        <w:ind w:left="141" w:right="176"/>
        <w:rPr>
          <w:w w:val="105"/>
        </w:rPr>
      </w:pPr>
      <w:r w:rsidRPr="000145D3">
        <w:rPr>
          <w:b/>
          <w:bCs/>
          <w:w w:val="105"/>
        </w:rPr>
        <w:t xml:space="preserve">Performance </w:t>
      </w:r>
      <w:proofErr w:type="spellStart"/>
      <w:r w:rsidRPr="000145D3">
        <w:rPr>
          <w:b/>
          <w:bCs/>
          <w:w w:val="105"/>
        </w:rPr>
        <w:t>Materials</w:t>
      </w:r>
      <w:proofErr w:type="spellEnd"/>
      <w:r w:rsidRPr="000145D3">
        <w:rPr>
          <w:b/>
          <w:bCs/>
          <w:w w:val="105"/>
        </w:rPr>
        <w:t>:</w:t>
      </w:r>
      <w:r w:rsidR="009D1F52" w:rsidRPr="000145D3">
        <w:rPr>
          <w:w w:val="105"/>
        </w:rPr>
        <w:t xml:space="preserve"> </w:t>
      </w:r>
      <w:r w:rsidRPr="000145D3">
        <w:rPr>
          <w:w w:val="105"/>
        </w:rPr>
        <w:t xml:space="preserve">As vendas da divisão subiram </w:t>
      </w:r>
      <w:r w:rsidR="008B565B" w:rsidRPr="000145D3">
        <w:rPr>
          <w:w w:val="105"/>
        </w:rPr>
        <w:t>62% para 708 milhões de euros no segundo trimestre.</w:t>
      </w:r>
      <w:r w:rsidR="009D1F52" w:rsidRPr="000145D3">
        <w:rPr>
          <w:w w:val="105"/>
        </w:rPr>
        <w:t xml:space="preserve"> </w:t>
      </w:r>
      <w:r w:rsidR="00222345">
        <w:rPr>
          <w:w w:val="105"/>
        </w:rPr>
        <w:t xml:space="preserve">Os produtos </w:t>
      </w:r>
      <w:r w:rsidR="008B565B" w:rsidRPr="000145D3">
        <w:rPr>
          <w:w w:val="105"/>
        </w:rPr>
        <w:t>C4</w:t>
      </w:r>
      <w:r w:rsidR="00255D6A" w:rsidRPr="000145D3">
        <w:rPr>
          <w:w w:val="105"/>
        </w:rPr>
        <w:t xml:space="preserve"> </w:t>
      </w:r>
      <w:r w:rsidR="00222345">
        <w:rPr>
          <w:w w:val="105"/>
        </w:rPr>
        <w:t>registraram um aumento significativo nas vendas em função do incremento na</w:t>
      </w:r>
      <w:r w:rsidR="001268DB" w:rsidRPr="000145D3">
        <w:rPr>
          <w:w w:val="105"/>
        </w:rPr>
        <w:t xml:space="preserve"> demanda e </w:t>
      </w:r>
      <w:r w:rsidR="003A3DEB" w:rsidRPr="000145D3">
        <w:rPr>
          <w:w w:val="105"/>
        </w:rPr>
        <w:t xml:space="preserve">de preços </w:t>
      </w:r>
      <w:r w:rsidR="003A3DEB" w:rsidRPr="007956EC">
        <w:rPr>
          <w:w w:val="105"/>
        </w:rPr>
        <w:t>de venda com forte melhora.</w:t>
      </w:r>
      <w:r w:rsidR="009D1F52" w:rsidRPr="007956EC">
        <w:rPr>
          <w:w w:val="105"/>
        </w:rPr>
        <w:t xml:space="preserve"> </w:t>
      </w:r>
      <w:r w:rsidR="002E234E" w:rsidRPr="007956EC">
        <w:rPr>
          <w:w w:val="105"/>
        </w:rPr>
        <w:t xml:space="preserve">O negócio com superabsorventes continua </w:t>
      </w:r>
      <w:r w:rsidR="00D52194" w:rsidRPr="007956EC">
        <w:rPr>
          <w:w w:val="105"/>
        </w:rPr>
        <w:t>afetado</w:t>
      </w:r>
      <w:r w:rsidR="001435D4" w:rsidRPr="007956EC">
        <w:rPr>
          <w:w w:val="105"/>
        </w:rPr>
        <w:t xml:space="preserve"> </w:t>
      </w:r>
      <w:r w:rsidR="00D52194" w:rsidRPr="007956EC">
        <w:rPr>
          <w:w w:val="105"/>
        </w:rPr>
        <w:t>pelo difícil</w:t>
      </w:r>
      <w:r w:rsidR="001435D4" w:rsidRPr="007956EC">
        <w:rPr>
          <w:w w:val="105"/>
        </w:rPr>
        <w:t xml:space="preserve"> ambiente de mercado. O EBITDA ajustado da divisão cresceu de 12 milhões de euros para 99 milhões de euros no </w:t>
      </w:r>
      <w:r w:rsidR="000145D3" w:rsidRPr="007956EC">
        <w:rPr>
          <w:w w:val="105"/>
        </w:rPr>
        <w:t xml:space="preserve">trimestre. </w:t>
      </w:r>
      <w:r w:rsidR="00DB2196" w:rsidRPr="007956EC">
        <w:rPr>
          <w:w w:val="105"/>
        </w:rPr>
        <w:t xml:space="preserve"> </w:t>
      </w:r>
      <w:bookmarkStart w:id="0" w:name="WfTarget"/>
    </w:p>
    <w:bookmarkEnd w:id="0"/>
    <w:p w14:paraId="3883B79E" w14:textId="77777777" w:rsidR="00417A57" w:rsidRDefault="00417A57" w:rsidP="0032793B"/>
    <w:tbl>
      <w:tblPr>
        <w:tblW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SNEID_d01d09a79bef44ffa2bd198055d4873f"/>
      </w:tblPr>
      <w:tblGrid>
        <w:gridCol w:w="2914"/>
        <w:gridCol w:w="119"/>
        <w:gridCol w:w="1021"/>
        <w:gridCol w:w="119"/>
        <w:gridCol w:w="1021"/>
        <w:gridCol w:w="119"/>
        <w:gridCol w:w="1021"/>
        <w:gridCol w:w="119"/>
        <w:gridCol w:w="1021"/>
        <w:gridCol w:w="119"/>
        <w:gridCol w:w="1021"/>
        <w:gridCol w:w="119"/>
        <w:gridCol w:w="1021"/>
      </w:tblGrid>
      <w:tr w:rsidR="00417A57" w:rsidRPr="001D17FD" w14:paraId="4177B71F" w14:textId="77777777" w:rsidTr="00BE393B">
        <w:tc>
          <w:tcPr>
            <w:tcW w:w="9754" w:type="dxa"/>
            <w:gridSpan w:val="13"/>
            <w:vAlign w:val="bottom"/>
          </w:tcPr>
          <w:p w14:paraId="02423855" w14:textId="77777777" w:rsidR="00417A57" w:rsidRDefault="00417A57" w:rsidP="00BE393B">
            <w:pPr>
              <w:pStyle w:val="TTitleText"/>
            </w:pPr>
            <w:bookmarkStart w:id="1" w:name="SNEID_d01d09a79bef44ffa2bd198055d4873f"/>
            <w:r>
              <w:lastRenderedPageBreak/>
              <w:t xml:space="preserve">Resumo do demonstrativo financeiro </w:t>
            </w:r>
          </w:p>
        </w:tc>
      </w:tr>
      <w:tr w:rsidR="00417A57" w:rsidRPr="001D17FD" w14:paraId="4E29E57F" w14:textId="77777777" w:rsidTr="00BE393B">
        <w:tc>
          <w:tcPr>
            <w:tcW w:w="2914" w:type="dxa"/>
            <w:tcBorders>
              <w:top w:val="single" w:sz="8" w:space="0" w:color="000000"/>
            </w:tcBorders>
            <w:vAlign w:val="bottom"/>
          </w:tcPr>
          <w:p w14:paraId="28B8FA7B" w14:textId="77777777" w:rsidR="00417A57" w:rsidRDefault="00417A57" w:rsidP="00BE393B">
            <w:pPr>
              <w:pStyle w:val="TDummy"/>
              <w:keepNext/>
            </w:pPr>
          </w:p>
        </w:tc>
        <w:tc>
          <w:tcPr>
            <w:tcW w:w="119" w:type="dxa"/>
            <w:tcBorders>
              <w:top w:val="single" w:sz="8" w:space="0" w:color="000000"/>
            </w:tcBorders>
            <w:vAlign w:val="bottom"/>
          </w:tcPr>
          <w:p w14:paraId="5B6DFF79" w14:textId="77777777" w:rsidR="00417A57" w:rsidRDefault="00417A57" w:rsidP="00BE393B">
            <w:pPr>
              <w:pStyle w:val="TDummy"/>
              <w:keepNext/>
            </w:pPr>
          </w:p>
        </w:tc>
        <w:tc>
          <w:tcPr>
            <w:tcW w:w="1021" w:type="dxa"/>
            <w:tcBorders>
              <w:top w:val="single" w:sz="8" w:space="0" w:color="000000"/>
            </w:tcBorders>
            <w:vAlign w:val="bottom"/>
          </w:tcPr>
          <w:p w14:paraId="25EEA70A" w14:textId="77777777" w:rsidR="00417A57" w:rsidRDefault="00417A57" w:rsidP="00BE393B">
            <w:pPr>
              <w:pStyle w:val="TDummy"/>
              <w:keepNext/>
            </w:pPr>
          </w:p>
        </w:tc>
        <w:tc>
          <w:tcPr>
            <w:tcW w:w="119" w:type="dxa"/>
            <w:tcBorders>
              <w:top w:val="single" w:sz="8" w:space="0" w:color="000000"/>
            </w:tcBorders>
            <w:vAlign w:val="bottom"/>
          </w:tcPr>
          <w:p w14:paraId="4F8AFB8E" w14:textId="77777777" w:rsidR="00417A57" w:rsidRDefault="00417A57" w:rsidP="00BE393B">
            <w:pPr>
              <w:pStyle w:val="TDummy"/>
              <w:keepNext/>
            </w:pPr>
          </w:p>
        </w:tc>
        <w:tc>
          <w:tcPr>
            <w:tcW w:w="1021" w:type="dxa"/>
            <w:tcBorders>
              <w:top w:val="single" w:sz="8" w:space="0" w:color="000000"/>
            </w:tcBorders>
            <w:vAlign w:val="bottom"/>
          </w:tcPr>
          <w:p w14:paraId="21E15705" w14:textId="77777777" w:rsidR="00417A57" w:rsidRDefault="00417A57" w:rsidP="00BE393B">
            <w:pPr>
              <w:pStyle w:val="TDummy"/>
              <w:keepNext/>
            </w:pPr>
          </w:p>
        </w:tc>
        <w:tc>
          <w:tcPr>
            <w:tcW w:w="119" w:type="dxa"/>
            <w:tcBorders>
              <w:top w:val="single" w:sz="8" w:space="0" w:color="000000"/>
            </w:tcBorders>
            <w:vAlign w:val="bottom"/>
          </w:tcPr>
          <w:p w14:paraId="5CD42BE3" w14:textId="77777777" w:rsidR="00417A57" w:rsidRDefault="00417A57" w:rsidP="00BE393B">
            <w:pPr>
              <w:pStyle w:val="TDummy"/>
              <w:keepNext/>
            </w:pPr>
          </w:p>
        </w:tc>
        <w:tc>
          <w:tcPr>
            <w:tcW w:w="1021" w:type="dxa"/>
            <w:tcBorders>
              <w:top w:val="single" w:sz="8" w:space="0" w:color="000000"/>
            </w:tcBorders>
            <w:vAlign w:val="bottom"/>
          </w:tcPr>
          <w:p w14:paraId="52A491D5" w14:textId="77777777" w:rsidR="00417A57" w:rsidRDefault="00417A57" w:rsidP="00BE393B">
            <w:pPr>
              <w:pStyle w:val="TDummy"/>
              <w:keepNext/>
            </w:pPr>
          </w:p>
        </w:tc>
        <w:tc>
          <w:tcPr>
            <w:tcW w:w="119" w:type="dxa"/>
            <w:tcBorders>
              <w:top w:val="single" w:sz="8" w:space="0" w:color="000000"/>
            </w:tcBorders>
            <w:vAlign w:val="bottom"/>
          </w:tcPr>
          <w:p w14:paraId="0E7B8793" w14:textId="77777777" w:rsidR="00417A57" w:rsidRDefault="00417A57" w:rsidP="00BE393B">
            <w:pPr>
              <w:pStyle w:val="TDummy"/>
              <w:keepNext/>
            </w:pPr>
          </w:p>
        </w:tc>
        <w:tc>
          <w:tcPr>
            <w:tcW w:w="1021" w:type="dxa"/>
            <w:tcBorders>
              <w:top w:val="single" w:sz="8" w:space="0" w:color="000000"/>
            </w:tcBorders>
            <w:vAlign w:val="bottom"/>
          </w:tcPr>
          <w:p w14:paraId="340CDB29" w14:textId="77777777" w:rsidR="00417A57" w:rsidRDefault="00417A57" w:rsidP="00BE393B">
            <w:pPr>
              <w:pStyle w:val="TDummy"/>
              <w:keepNext/>
            </w:pPr>
          </w:p>
        </w:tc>
        <w:tc>
          <w:tcPr>
            <w:tcW w:w="119" w:type="dxa"/>
            <w:tcBorders>
              <w:top w:val="single" w:sz="8" w:space="0" w:color="000000"/>
            </w:tcBorders>
            <w:vAlign w:val="bottom"/>
          </w:tcPr>
          <w:p w14:paraId="6C4075AE" w14:textId="77777777" w:rsidR="00417A57" w:rsidRDefault="00417A57" w:rsidP="00BE393B">
            <w:pPr>
              <w:pStyle w:val="TDummy"/>
              <w:keepNext/>
            </w:pPr>
          </w:p>
        </w:tc>
        <w:tc>
          <w:tcPr>
            <w:tcW w:w="1021" w:type="dxa"/>
            <w:tcBorders>
              <w:top w:val="single" w:sz="8" w:space="0" w:color="000000"/>
            </w:tcBorders>
            <w:vAlign w:val="bottom"/>
          </w:tcPr>
          <w:p w14:paraId="7FEF807B" w14:textId="77777777" w:rsidR="00417A57" w:rsidRDefault="00417A57" w:rsidP="00BE393B">
            <w:pPr>
              <w:pStyle w:val="TDummy"/>
              <w:keepNext/>
            </w:pPr>
          </w:p>
        </w:tc>
        <w:tc>
          <w:tcPr>
            <w:tcW w:w="119" w:type="dxa"/>
            <w:tcBorders>
              <w:top w:val="single" w:sz="8" w:space="0" w:color="000000"/>
            </w:tcBorders>
            <w:vAlign w:val="bottom"/>
          </w:tcPr>
          <w:p w14:paraId="2220DAA8" w14:textId="77777777" w:rsidR="00417A57" w:rsidRDefault="00417A57" w:rsidP="00BE393B">
            <w:pPr>
              <w:pStyle w:val="TDummy"/>
              <w:keepNext/>
            </w:pPr>
          </w:p>
        </w:tc>
        <w:tc>
          <w:tcPr>
            <w:tcW w:w="1021" w:type="dxa"/>
            <w:tcBorders>
              <w:top w:val="single" w:sz="8" w:space="0" w:color="000000"/>
            </w:tcBorders>
            <w:vAlign w:val="bottom"/>
          </w:tcPr>
          <w:p w14:paraId="61712F21" w14:textId="77777777" w:rsidR="00417A57" w:rsidRDefault="00417A57" w:rsidP="00BE393B">
            <w:pPr>
              <w:pStyle w:val="TDummy"/>
              <w:keepNext/>
            </w:pPr>
          </w:p>
        </w:tc>
      </w:tr>
      <w:tr w:rsidR="00417A57" w14:paraId="5150D8B2" w14:textId="77777777" w:rsidTr="00BE393B">
        <w:tc>
          <w:tcPr>
            <w:tcW w:w="2914" w:type="dxa"/>
            <w:shd w:val="clear" w:color="000000" w:fill="FFFFFF"/>
            <w:vAlign w:val="bottom"/>
          </w:tcPr>
          <w:p w14:paraId="3856112E" w14:textId="77777777" w:rsidR="00417A57" w:rsidRPr="008708F4" w:rsidRDefault="00417A57" w:rsidP="00BE393B">
            <w:pPr>
              <w:pStyle w:val="THeadfirstNumber"/>
              <w:rPr>
                <w:lang w:val="en-US"/>
              </w:rPr>
            </w:pPr>
          </w:p>
        </w:tc>
        <w:tc>
          <w:tcPr>
            <w:tcW w:w="119" w:type="dxa"/>
            <w:vAlign w:val="bottom"/>
          </w:tcPr>
          <w:p w14:paraId="58DDD598" w14:textId="77777777" w:rsidR="00417A57" w:rsidRPr="008708F4" w:rsidRDefault="00417A57" w:rsidP="00BE393B">
            <w:pPr>
              <w:pStyle w:val="THeadfirstNumber"/>
              <w:rPr>
                <w:lang w:val="en-US"/>
              </w:rPr>
            </w:pPr>
          </w:p>
        </w:tc>
        <w:tc>
          <w:tcPr>
            <w:tcW w:w="3301" w:type="dxa"/>
            <w:gridSpan w:val="5"/>
            <w:tcBorders>
              <w:bottom w:val="single" w:sz="4" w:space="0" w:color="A59C94"/>
            </w:tcBorders>
            <w:shd w:val="clear" w:color="000000" w:fill="FFFFFF"/>
            <w:vAlign w:val="bottom"/>
          </w:tcPr>
          <w:p w14:paraId="515817C9" w14:textId="77777777" w:rsidR="00417A57" w:rsidRDefault="00417A57" w:rsidP="00BE393B">
            <w:pPr>
              <w:pStyle w:val="THeadfirstNumber"/>
            </w:pPr>
            <w:r>
              <w:t>2° Trimestre</w:t>
            </w:r>
          </w:p>
        </w:tc>
        <w:tc>
          <w:tcPr>
            <w:tcW w:w="119" w:type="dxa"/>
            <w:vAlign w:val="bottom"/>
          </w:tcPr>
          <w:p w14:paraId="3B95659E" w14:textId="77777777" w:rsidR="00417A57" w:rsidRDefault="00417A57" w:rsidP="00BE393B">
            <w:pPr>
              <w:pStyle w:val="THeadfirstNumber"/>
            </w:pPr>
          </w:p>
        </w:tc>
        <w:tc>
          <w:tcPr>
            <w:tcW w:w="3301" w:type="dxa"/>
            <w:gridSpan w:val="5"/>
            <w:tcBorders>
              <w:bottom w:val="single" w:sz="4" w:space="0" w:color="A59C94"/>
            </w:tcBorders>
            <w:shd w:val="clear" w:color="000000" w:fill="FFFFFF"/>
            <w:vAlign w:val="bottom"/>
          </w:tcPr>
          <w:p w14:paraId="6D6831F1" w14:textId="77777777" w:rsidR="00417A57" w:rsidRDefault="00417A57" w:rsidP="00BE393B">
            <w:pPr>
              <w:pStyle w:val="THeadfirstNumber"/>
            </w:pPr>
            <w:r>
              <w:t>1° Semestre</w:t>
            </w:r>
          </w:p>
        </w:tc>
      </w:tr>
      <w:tr w:rsidR="00417A57" w14:paraId="5A8CE66F" w14:textId="77777777" w:rsidTr="00BE393B">
        <w:tc>
          <w:tcPr>
            <w:tcW w:w="291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14:paraId="2595FF1B" w14:textId="77777777" w:rsidR="00417A57" w:rsidRDefault="00417A57" w:rsidP="00BE393B">
            <w:pPr>
              <w:pStyle w:val="THeadlastText"/>
            </w:pPr>
            <w:r>
              <w:t>em milhões de euros</w:t>
            </w:r>
          </w:p>
        </w:tc>
        <w:tc>
          <w:tcPr>
            <w:tcW w:w="119" w:type="dxa"/>
            <w:vAlign w:val="bottom"/>
          </w:tcPr>
          <w:p w14:paraId="06686B81" w14:textId="77777777" w:rsidR="00417A57" w:rsidRDefault="00417A57" w:rsidP="00BE393B">
            <w:pPr>
              <w:pStyle w:val="THeadlast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6EF0EC48" w14:textId="77777777" w:rsidR="00417A57" w:rsidRDefault="00417A57" w:rsidP="00BE393B">
            <w:pPr>
              <w:pStyle w:val="THeadlastNumber"/>
            </w:pPr>
            <w:r>
              <w:t>2020</w:t>
            </w:r>
          </w:p>
        </w:tc>
        <w:tc>
          <w:tcPr>
            <w:tcW w:w="119" w:type="dxa"/>
            <w:vAlign w:val="bottom"/>
          </w:tcPr>
          <w:p w14:paraId="2BA57DBE" w14:textId="77777777" w:rsidR="00417A57" w:rsidRDefault="00417A57" w:rsidP="00BE393B">
            <w:pPr>
              <w:pStyle w:val="THeadlast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06D5B7F8" w14:textId="77777777" w:rsidR="00417A57" w:rsidRDefault="00417A57" w:rsidP="00BE393B">
            <w:pPr>
              <w:pStyle w:val="THeadlastNumberbold"/>
            </w:pPr>
            <w:r>
              <w:t>2021</w:t>
            </w:r>
          </w:p>
        </w:tc>
        <w:tc>
          <w:tcPr>
            <w:tcW w:w="119" w:type="dxa"/>
            <w:vAlign w:val="bottom"/>
          </w:tcPr>
          <w:p w14:paraId="4FFF65AE" w14:textId="77777777" w:rsidR="00417A57" w:rsidRDefault="00417A57" w:rsidP="00BE393B">
            <w:pPr>
              <w:pStyle w:val="THeadlast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13ECB415" w14:textId="77777777" w:rsidR="00417A57" w:rsidRDefault="00417A57" w:rsidP="00BE393B">
            <w:pPr>
              <w:pStyle w:val="THeaddifferenceNumber"/>
              <w:keepNext/>
            </w:pPr>
            <w:r>
              <w:t>Variação em %</w:t>
            </w:r>
          </w:p>
        </w:tc>
        <w:tc>
          <w:tcPr>
            <w:tcW w:w="119" w:type="dxa"/>
            <w:vAlign w:val="bottom"/>
          </w:tcPr>
          <w:p w14:paraId="7AC5445F" w14:textId="77777777" w:rsidR="00417A57" w:rsidRDefault="00417A57" w:rsidP="00BE393B">
            <w:pPr>
              <w:pStyle w:val="THeadlast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7CDCD9EF" w14:textId="77777777" w:rsidR="00417A57" w:rsidRDefault="00417A57" w:rsidP="00BE393B">
            <w:pPr>
              <w:pStyle w:val="THeadlastNumber"/>
            </w:pPr>
            <w:r>
              <w:t>2020</w:t>
            </w:r>
          </w:p>
        </w:tc>
        <w:tc>
          <w:tcPr>
            <w:tcW w:w="119" w:type="dxa"/>
            <w:vAlign w:val="bottom"/>
          </w:tcPr>
          <w:p w14:paraId="3FA1958B" w14:textId="77777777" w:rsidR="00417A57" w:rsidRDefault="00417A57" w:rsidP="00BE393B">
            <w:pPr>
              <w:pStyle w:val="THeadlast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34F2C8BE" w14:textId="77777777" w:rsidR="00417A57" w:rsidRDefault="00417A57" w:rsidP="00BE393B">
            <w:pPr>
              <w:pStyle w:val="THeadlastNumberbold"/>
            </w:pPr>
            <w:r>
              <w:t>2021</w:t>
            </w:r>
          </w:p>
        </w:tc>
        <w:tc>
          <w:tcPr>
            <w:tcW w:w="119" w:type="dxa"/>
            <w:vAlign w:val="bottom"/>
          </w:tcPr>
          <w:p w14:paraId="610BF34B" w14:textId="77777777" w:rsidR="00417A57" w:rsidRDefault="00417A57" w:rsidP="00BE393B">
            <w:pPr>
              <w:pStyle w:val="THeadlast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22816F05" w14:textId="77777777" w:rsidR="00417A57" w:rsidRDefault="00417A57" w:rsidP="00BE393B">
            <w:pPr>
              <w:pStyle w:val="THeaddifferenceNumber"/>
              <w:keepNext/>
            </w:pPr>
            <w:r>
              <w:t>Variação em %</w:t>
            </w:r>
          </w:p>
        </w:tc>
      </w:tr>
      <w:tr w:rsidR="00417A57" w14:paraId="3890588A" w14:textId="77777777" w:rsidTr="00BE393B">
        <w:tc>
          <w:tcPr>
            <w:tcW w:w="2914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6A71256F" w14:textId="77777777" w:rsidR="00417A57" w:rsidRDefault="00417A57" w:rsidP="00BE393B">
            <w:pPr>
              <w:pStyle w:val="TBodysubtotalText"/>
              <w:keepNext/>
            </w:pPr>
            <w:r>
              <w:t>Vendas</w:t>
            </w:r>
          </w:p>
        </w:tc>
        <w:tc>
          <w:tcPr>
            <w:tcW w:w="119" w:type="dxa"/>
            <w:vAlign w:val="bottom"/>
          </w:tcPr>
          <w:p w14:paraId="11B60FDC" w14:textId="77777777" w:rsidR="00417A57" w:rsidRDefault="00417A57" w:rsidP="00BE393B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108B1A0E" w14:textId="77777777" w:rsidR="00417A57" w:rsidRDefault="00417A57" w:rsidP="00BE393B">
            <w:pPr>
              <w:pStyle w:val="TBodysubtotalNumber"/>
              <w:keepNext/>
            </w:pPr>
            <w:r>
              <w:t>2.827</w:t>
            </w:r>
          </w:p>
        </w:tc>
        <w:tc>
          <w:tcPr>
            <w:tcW w:w="119" w:type="dxa"/>
            <w:vAlign w:val="bottom"/>
          </w:tcPr>
          <w:p w14:paraId="4373483A" w14:textId="77777777" w:rsidR="00417A57" w:rsidRDefault="00417A57" w:rsidP="00BE393B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38A6BB4D" w14:textId="77777777" w:rsidR="00417A57" w:rsidRDefault="00417A57" w:rsidP="00BE393B">
            <w:pPr>
              <w:pStyle w:val="TBodysubtotalNumber"/>
              <w:keepNext/>
            </w:pPr>
            <w:r>
              <w:t>3.636</w:t>
            </w:r>
          </w:p>
        </w:tc>
        <w:tc>
          <w:tcPr>
            <w:tcW w:w="119" w:type="dxa"/>
            <w:vAlign w:val="bottom"/>
          </w:tcPr>
          <w:p w14:paraId="6F6C57D4" w14:textId="77777777" w:rsidR="00417A57" w:rsidRDefault="00417A57" w:rsidP="00BE393B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2A725E92" w14:textId="77777777" w:rsidR="00417A57" w:rsidRDefault="00417A57" w:rsidP="00BE393B">
            <w:pPr>
              <w:pStyle w:val="TBodysubtotalNumber"/>
              <w:keepNext/>
            </w:pPr>
            <w:r>
              <w:t>29</w:t>
            </w:r>
          </w:p>
        </w:tc>
        <w:tc>
          <w:tcPr>
            <w:tcW w:w="119" w:type="dxa"/>
            <w:vAlign w:val="bottom"/>
          </w:tcPr>
          <w:p w14:paraId="00A2D8F1" w14:textId="77777777" w:rsidR="00417A57" w:rsidRDefault="00417A57" w:rsidP="00BE393B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0269371F" w14:textId="77777777" w:rsidR="00417A57" w:rsidRDefault="00417A57" w:rsidP="00BE393B">
            <w:pPr>
              <w:pStyle w:val="TBodysubtotalNumber"/>
              <w:keepNext/>
            </w:pPr>
            <w:r>
              <w:t>6.069</w:t>
            </w:r>
          </w:p>
        </w:tc>
        <w:tc>
          <w:tcPr>
            <w:tcW w:w="119" w:type="dxa"/>
            <w:vAlign w:val="bottom"/>
          </w:tcPr>
          <w:p w14:paraId="19746221" w14:textId="77777777" w:rsidR="00417A57" w:rsidRDefault="00417A57" w:rsidP="00BE393B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20E53E01" w14:textId="77777777" w:rsidR="00417A57" w:rsidRDefault="00417A57" w:rsidP="00BE393B">
            <w:pPr>
              <w:pStyle w:val="TBodysubtotalNumber"/>
              <w:keepNext/>
            </w:pPr>
            <w:r>
              <w:t>6.994</w:t>
            </w:r>
          </w:p>
        </w:tc>
        <w:tc>
          <w:tcPr>
            <w:tcW w:w="119" w:type="dxa"/>
            <w:vAlign w:val="bottom"/>
          </w:tcPr>
          <w:p w14:paraId="1588656D" w14:textId="77777777" w:rsidR="00417A57" w:rsidRDefault="00417A57" w:rsidP="00BE393B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2CA7B325" w14:textId="77777777" w:rsidR="00417A57" w:rsidRDefault="00417A57" w:rsidP="00BE393B">
            <w:pPr>
              <w:pStyle w:val="TBodysubtotalNumber"/>
              <w:keepNext/>
            </w:pPr>
            <w:r>
              <w:t>15</w:t>
            </w:r>
          </w:p>
        </w:tc>
      </w:tr>
      <w:tr w:rsidR="00417A57" w14:paraId="22757DF4" w14:textId="77777777" w:rsidTr="00BE393B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14A169E9" w14:textId="77777777" w:rsidR="00417A57" w:rsidRDefault="00417A57" w:rsidP="00BE393B">
            <w:pPr>
              <w:pStyle w:val="TBodysubtotalText"/>
              <w:keepNext/>
            </w:pPr>
            <w:r>
              <w:t>EBITDA ajustado</w:t>
            </w:r>
          </w:p>
        </w:tc>
        <w:tc>
          <w:tcPr>
            <w:tcW w:w="119" w:type="dxa"/>
            <w:vAlign w:val="bottom"/>
          </w:tcPr>
          <w:p w14:paraId="0F68BB42" w14:textId="77777777" w:rsidR="00417A57" w:rsidRDefault="00417A57" w:rsidP="00BE393B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3FE47B83" w14:textId="77777777" w:rsidR="00417A57" w:rsidRDefault="00417A57" w:rsidP="00BE393B">
            <w:pPr>
              <w:pStyle w:val="TBodysubtotalNumber"/>
              <w:keepNext/>
            </w:pPr>
            <w:r>
              <w:t>456</w:t>
            </w:r>
          </w:p>
        </w:tc>
        <w:tc>
          <w:tcPr>
            <w:tcW w:w="119" w:type="dxa"/>
            <w:vAlign w:val="bottom"/>
          </w:tcPr>
          <w:p w14:paraId="3B6334B2" w14:textId="77777777" w:rsidR="00417A57" w:rsidRDefault="00417A57" w:rsidP="00BE393B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67E95DEA" w14:textId="77777777" w:rsidR="00417A57" w:rsidRDefault="00417A57" w:rsidP="00BE393B">
            <w:pPr>
              <w:pStyle w:val="TBodysubtotalNumber"/>
              <w:keepNext/>
            </w:pPr>
            <w:r>
              <w:t>649</w:t>
            </w:r>
          </w:p>
        </w:tc>
        <w:tc>
          <w:tcPr>
            <w:tcW w:w="119" w:type="dxa"/>
            <w:vAlign w:val="bottom"/>
          </w:tcPr>
          <w:p w14:paraId="7EC4BE42" w14:textId="77777777" w:rsidR="00417A57" w:rsidRDefault="00417A57" w:rsidP="00BE393B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5CC3EB87" w14:textId="77777777" w:rsidR="00417A57" w:rsidRDefault="00417A57" w:rsidP="00BE393B">
            <w:pPr>
              <w:pStyle w:val="TBodysubtotalNumber"/>
              <w:keepNext/>
            </w:pPr>
            <w:r>
              <w:t>42</w:t>
            </w:r>
          </w:p>
        </w:tc>
        <w:tc>
          <w:tcPr>
            <w:tcW w:w="119" w:type="dxa"/>
            <w:vAlign w:val="bottom"/>
          </w:tcPr>
          <w:p w14:paraId="632F7621" w14:textId="77777777" w:rsidR="00417A57" w:rsidRDefault="00417A57" w:rsidP="00BE393B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2ED3B2E5" w14:textId="77777777" w:rsidR="00417A57" w:rsidRDefault="00417A57" w:rsidP="00BE393B">
            <w:pPr>
              <w:pStyle w:val="TBodysubtotalNumber"/>
              <w:keepNext/>
            </w:pPr>
            <w:r>
              <w:t>970</w:t>
            </w:r>
          </w:p>
        </w:tc>
        <w:tc>
          <w:tcPr>
            <w:tcW w:w="119" w:type="dxa"/>
            <w:vAlign w:val="bottom"/>
          </w:tcPr>
          <w:p w14:paraId="0A82CC0B" w14:textId="77777777" w:rsidR="00417A57" w:rsidRDefault="00417A57" w:rsidP="00BE393B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56DA7519" w14:textId="77777777" w:rsidR="00417A57" w:rsidRDefault="00417A57" w:rsidP="00BE393B">
            <w:pPr>
              <w:pStyle w:val="TBodysubtotalNumber"/>
              <w:keepNext/>
            </w:pPr>
            <w:r>
              <w:t>1.237</w:t>
            </w:r>
          </w:p>
        </w:tc>
        <w:tc>
          <w:tcPr>
            <w:tcW w:w="119" w:type="dxa"/>
            <w:vAlign w:val="bottom"/>
          </w:tcPr>
          <w:p w14:paraId="15CB1547" w14:textId="77777777" w:rsidR="00417A57" w:rsidRDefault="00417A57" w:rsidP="00BE393B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2AFC0C6D" w14:textId="77777777" w:rsidR="00417A57" w:rsidRDefault="00417A57" w:rsidP="00BE393B">
            <w:pPr>
              <w:pStyle w:val="TBodysubtotalNumber"/>
              <w:keepNext/>
            </w:pPr>
            <w:r>
              <w:t>28</w:t>
            </w:r>
          </w:p>
        </w:tc>
      </w:tr>
      <w:tr w:rsidR="00417A57" w14:paraId="515AC235" w14:textId="77777777" w:rsidTr="00BE393B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106DB0A4" w14:textId="77777777" w:rsidR="00417A57" w:rsidRDefault="00417A57" w:rsidP="00BE393B">
            <w:pPr>
              <w:pStyle w:val="TBodysubtotalText"/>
              <w:keepNext/>
            </w:pPr>
            <w:r>
              <w:t>EBIT ajustado</w:t>
            </w:r>
          </w:p>
        </w:tc>
        <w:tc>
          <w:tcPr>
            <w:tcW w:w="119" w:type="dxa"/>
            <w:vAlign w:val="bottom"/>
          </w:tcPr>
          <w:p w14:paraId="5B1E437E" w14:textId="77777777" w:rsidR="00417A57" w:rsidRDefault="00417A57" w:rsidP="00BE393B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3310104A" w14:textId="77777777" w:rsidR="00417A57" w:rsidRDefault="00417A57" w:rsidP="00BE393B">
            <w:pPr>
              <w:pStyle w:val="TBodysubtotalNumber"/>
              <w:keepNext/>
            </w:pPr>
            <w:r>
              <w:t>202</w:t>
            </w:r>
          </w:p>
        </w:tc>
        <w:tc>
          <w:tcPr>
            <w:tcW w:w="119" w:type="dxa"/>
            <w:vAlign w:val="bottom"/>
          </w:tcPr>
          <w:p w14:paraId="0A4DC6B8" w14:textId="77777777" w:rsidR="00417A57" w:rsidRDefault="00417A57" w:rsidP="00BE393B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64CD4088" w14:textId="77777777" w:rsidR="00417A57" w:rsidRDefault="00417A57" w:rsidP="00BE393B">
            <w:pPr>
              <w:pStyle w:val="TBodysubtotalNumber"/>
              <w:keepNext/>
            </w:pPr>
            <w:r>
              <w:t>398</w:t>
            </w:r>
          </w:p>
        </w:tc>
        <w:tc>
          <w:tcPr>
            <w:tcW w:w="119" w:type="dxa"/>
            <w:vAlign w:val="bottom"/>
          </w:tcPr>
          <w:p w14:paraId="31318A62" w14:textId="77777777" w:rsidR="00417A57" w:rsidRDefault="00417A57" w:rsidP="00BE393B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5496976F" w14:textId="77777777" w:rsidR="00417A57" w:rsidRDefault="00417A57" w:rsidP="00BE393B">
            <w:pPr>
              <w:pStyle w:val="TBodysubtotalNumber"/>
              <w:keepNext/>
            </w:pPr>
            <w:r>
              <w:t>97</w:t>
            </w:r>
          </w:p>
        </w:tc>
        <w:tc>
          <w:tcPr>
            <w:tcW w:w="119" w:type="dxa"/>
            <w:vAlign w:val="bottom"/>
          </w:tcPr>
          <w:p w14:paraId="303C6241" w14:textId="77777777" w:rsidR="00417A57" w:rsidRDefault="00417A57" w:rsidP="00BE393B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179224CB" w14:textId="77777777" w:rsidR="00417A57" w:rsidRDefault="00417A57" w:rsidP="00BE393B">
            <w:pPr>
              <w:pStyle w:val="TBodysubtotalNumber"/>
              <w:keepNext/>
            </w:pPr>
            <w:r>
              <w:t>475</w:t>
            </w:r>
          </w:p>
        </w:tc>
        <w:tc>
          <w:tcPr>
            <w:tcW w:w="119" w:type="dxa"/>
            <w:vAlign w:val="bottom"/>
          </w:tcPr>
          <w:p w14:paraId="5C9A36AB" w14:textId="77777777" w:rsidR="00417A57" w:rsidRDefault="00417A57" w:rsidP="00BE393B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23301D6F" w14:textId="77777777" w:rsidR="00417A57" w:rsidRDefault="00417A57" w:rsidP="00BE393B">
            <w:pPr>
              <w:pStyle w:val="TBodysubtotalNumber"/>
              <w:keepNext/>
            </w:pPr>
            <w:r>
              <w:t>734</w:t>
            </w:r>
          </w:p>
        </w:tc>
        <w:tc>
          <w:tcPr>
            <w:tcW w:w="119" w:type="dxa"/>
            <w:vAlign w:val="bottom"/>
          </w:tcPr>
          <w:p w14:paraId="07E5E09A" w14:textId="77777777" w:rsidR="00417A57" w:rsidRDefault="00417A57" w:rsidP="00BE393B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18E62D0B" w14:textId="77777777" w:rsidR="00417A57" w:rsidRDefault="00417A57" w:rsidP="00BE393B">
            <w:pPr>
              <w:pStyle w:val="TBodysubtotalNumber"/>
              <w:keepNext/>
            </w:pPr>
            <w:r>
              <w:t>55</w:t>
            </w:r>
          </w:p>
        </w:tc>
      </w:tr>
      <w:tr w:rsidR="00417A57" w14:paraId="687AFB02" w14:textId="77777777" w:rsidTr="00BE393B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21D94279" w14:textId="77777777" w:rsidR="00417A57" w:rsidRDefault="00417A57" w:rsidP="00BE393B">
            <w:pPr>
              <w:pStyle w:val="TBodynormalText"/>
            </w:pPr>
            <w:r>
              <w:t>Ajustes</w:t>
            </w:r>
          </w:p>
        </w:tc>
        <w:tc>
          <w:tcPr>
            <w:tcW w:w="119" w:type="dxa"/>
            <w:vAlign w:val="bottom"/>
          </w:tcPr>
          <w:p w14:paraId="26D7DFEB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42B60A8B" w14:textId="77777777" w:rsidR="00417A57" w:rsidRDefault="00417A57" w:rsidP="00BE393B">
            <w:pPr>
              <w:pStyle w:val="TBodynormalNumber"/>
              <w:keepNext/>
            </w:pPr>
            <w:r>
              <w:t>-14</w:t>
            </w:r>
          </w:p>
        </w:tc>
        <w:tc>
          <w:tcPr>
            <w:tcW w:w="119" w:type="dxa"/>
            <w:vAlign w:val="bottom"/>
          </w:tcPr>
          <w:p w14:paraId="5CBF5DF8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3484ED61" w14:textId="77777777" w:rsidR="00417A57" w:rsidRDefault="00417A57" w:rsidP="00BE393B">
            <w:pPr>
              <w:pStyle w:val="TBodynormalNumber"/>
              <w:keepNext/>
            </w:pPr>
            <w:r>
              <w:t>-18</w:t>
            </w:r>
          </w:p>
        </w:tc>
        <w:tc>
          <w:tcPr>
            <w:tcW w:w="119" w:type="dxa"/>
            <w:vAlign w:val="bottom"/>
          </w:tcPr>
          <w:p w14:paraId="6A93667F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33D0022F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19" w:type="dxa"/>
            <w:vAlign w:val="bottom"/>
          </w:tcPr>
          <w:p w14:paraId="4DF09C11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22A00D99" w14:textId="77777777" w:rsidR="00417A57" w:rsidRDefault="00417A57" w:rsidP="00BE393B">
            <w:pPr>
              <w:pStyle w:val="TBodynormalNumber"/>
              <w:keepNext/>
            </w:pPr>
            <w:r>
              <w:t>-40</w:t>
            </w:r>
          </w:p>
        </w:tc>
        <w:tc>
          <w:tcPr>
            <w:tcW w:w="119" w:type="dxa"/>
            <w:vAlign w:val="bottom"/>
          </w:tcPr>
          <w:p w14:paraId="71365CC1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4D913E77" w14:textId="77777777" w:rsidR="00417A57" w:rsidRDefault="00417A57" w:rsidP="00BE393B">
            <w:pPr>
              <w:pStyle w:val="TBodynormalNumber"/>
              <w:keepNext/>
            </w:pPr>
            <w:r>
              <w:t>-46</w:t>
            </w:r>
          </w:p>
        </w:tc>
        <w:tc>
          <w:tcPr>
            <w:tcW w:w="119" w:type="dxa"/>
            <w:vAlign w:val="bottom"/>
          </w:tcPr>
          <w:p w14:paraId="581639DD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67B6BCEF" w14:textId="77777777" w:rsidR="00417A57" w:rsidRDefault="00417A57" w:rsidP="00BE393B">
            <w:pPr>
              <w:pStyle w:val="TBodynormalNumber"/>
              <w:keepNext/>
            </w:pPr>
          </w:p>
        </w:tc>
      </w:tr>
      <w:tr w:rsidR="00417A57" w14:paraId="0CF6D027" w14:textId="77777777" w:rsidTr="00BE393B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50FC61EE" w14:textId="77777777" w:rsidR="00417A57" w:rsidRDefault="00417A57" w:rsidP="00BE393B">
            <w:pPr>
              <w:pStyle w:val="TBodynormalText"/>
            </w:pPr>
            <w:r>
              <w:t>Resultado financeiro</w:t>
            </w:r>
          </w:p>
        </w:tc>
        <w:tc>
          <w:tcPr>
            <w:tcW w:w="119" w:type="dxa"/>
            <w:vAlign w:val="bottom"/>
          </w:tcPr>
          <w:p w14:paraId="7D45B801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76B108AE" w14:textId="77777777" w:rsidR="00417A57" w:rsidRDefault="00417A57" w:rsidP="00BE393B">
            <w:pPr>
              <w:pStyle w:val="TBodynormalNumber"/>
              <w:keepNext/>
            </w:pPr>
            <w:r>
              <w:t>-25</w:t>
            </w:r>
          </w:p>
        </w:tc>
        <w:tc>
          <w:tcPr>
            <w:tcW w:w="119" w:type="dxa"/>
            <w:vAlign w:val="bottom"/>
          </w:tcPr>
          <w:p w14:paraId="00A6E10B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1D1410C8" w14:textId="77777777" w:rsidR="00417A57" w:rsidRDefault="00417A57" w:rsidP="00BE393B">
            <w:pPr>
              <w:pStyle w:val="TBodynormalNumber"/>
              <w:keepNext/>
            </w:pPr>
            <w:r>
              <w:t>-40</w:t>
            </w:r>
          </w:p>
        </w:tc>
        <w:tc>
          <w:tcPr>
            <w:tcW w:w="119" w:type="dxa"/>
            <w:vAlign w:val="bottom"/>
          </w:tcPr>
          <w:p w14:paraId="25D47B76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639122B0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19" w:type="dxa"/>
            <w:vAlign w:val="bottom"/>
          </w:tcPr>
          <w:p w14:paraId="51ECA0B3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7DDDE49D" w14:textId="77777777" w:rsidR="00417A57" w:rsidRDefault="00417A57" w:rsidP="00BE393B">
            <w:pPr>
              <w:pStyle w:val="TBodynormalNumber"/>
              <w:keepNext/>
            </w:pPr>
            <w:r>
              <w:t>-75</w:t>
            </w:r>
          </w:p>
        </w:tc>
        <w:tc>
          <w:tcPr>
            <w:tcW w:w="119" w:type="dxa"/>
            <w:vAlign w:val="bottom"/>
          </w:tcPr>
          <w:p w14:paraId="44986953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260D6C98" w14:textId="77777777" w:rsidR="00417A57" w:rsidRDefault="00417A57" w:rsidP="00BE393B">
            <w:pPr>
              <w:pStyle w:val="TBodynormalNumber"/>
              <w:keepNext/>
            </w:pPr>
            <w:r>
              <w:t>-62</w:t>
            </w:r>
          </w:p>
        </w:tc>
        <w:tc>
          <w:tcPr>
            <w:tcW w:w="119" w:type="dxa"/>
            <w:vAlign w:val="bottom"/>
          </w:tcPr>
          <w:p w14:paraId="6C0BDC15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1E06FBCE" w14:textId="77777777" w:rsidR="00417A57" w:rsidRDefault="00417A57" w:rsidP="00BE393B">
            <w:pPr>
              <w:pStyle w:val="TBodynormalNumber"/>
              <w:keepNext/>
            </w:pPr>
          </w:p>
        </w:tc>
      </w:tr>
      <w:tr w:rsidR="00417A57" w14:paraId="218751DA" w14:textId="77777777" w:rsidTr="00BE393B">
        <w:tc>
          <w:tcPr>
            <w:tcW w:w="2914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739C1220" w14:textId="77777777" w:rsidR="00417A57" w:rsidRPr="00417A57" w:rsidRDefault="00417A57" w:rsidP="00BE393B">
            <w:pPr>
              <w:pStyle w:val="TBodysubtotalText"/>
              <w:keepNext/>
              <w:rPr>
                <w:lang w:val="pt-BR"/>
              </w:rPr>
            </w:pPr>
            <w:r w:rsidRPr="00417A57">
              <w:rPr>
                <w:lang w:val="pt-BR"/>
              </w:rPr>
              <w:t xml:space="preserve">Lucro antes do IR, operações </w:t>
            </w:r>
            <w:r w:rsidRPr="00417A57">
              <w:rPr>
                <w:color w:val="auto"/>
                <w:lang w:val="pt-BR"/>
              </w:rPr>
              <w:t>continuadas</w:t>
            </w:r>
          </w:p>
        </w:tc>
        <w:tc>
          <w:tcPr>
            <w:tcW w:w="119" w:type="dxa"/>
            <w:vAlign w:val="bottom"/>
          </w:tcPr>
          <w:p w14:paraId="45704B0A" w14:textId="77777777" w:rsidR="00417A57" w:rsidRPr="00417A57" w:rsidRDefault="00417A57" w:rsidP="00BE393B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7FFB8A62" w14:textId="77777777" w:rsidR="00417A57" w:rsidRDefault="00417A57" w:rsidP="00BE393B">
            <w:pPr>
              <w:pStyle w:val="TBodysubtotalNumber"/>
              <w:keepNext/>
            </w:pPr>
            <w:r>
              <w:t>163</w:t>
            </w:r>
          </w:p>
        </w:tc>
        <w:tc>
          <w:tcPr>
            <w:tcW w:w="119" w:type="dxa"/>
            <w:vAlign w:val="bottom"/>
          </w:tcPr>
          <w:p w14:paraId="6FF8C3F1" w14:textId="77777777" w:rsidR="00417A57" w:rsidRDefault="00417A57" w:rsidP="00BE393B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3581D595" w14:textId="77777777" w:rsidR="00417A57" w:rsidRDefault="00417A57" w:rsidP="00BE393B">
            <w:pPr>
              <w:pStyle w:val="TBodysubtotalNumber"/>
              <w:keepNext/>
            </w:pPr>
            <w:r>
              <w:t>340</w:t>
            </w:r>
          </w:p>
        </w:tc>
        <w:tc>
          <w:tcPr>
            <w:tcW w:w="119" w:type="dxa"/>
            <w:vAlign w:val="bottom"/>
          </w:tcPr>
          <w:p w14:paraId="50EB97A9" w14:textId="77777777" w:rsidR="00417A57" w:rsidRDefault="00417A57" w:rsidP="00BE393B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792602C3" w14:textId="77777777" w:rsidR="00417A57" w:rsidRDefault="00417A57" w:rsidP="00BE393B">
            <w:pPr>
              <w:pStyle w:val="TBodysubtotalNumber"/>
              <w:keepNext/>
            </w:pPr>
            <w:r>
              <w:t>109</w:t>
            </w:r>
          </w:p>
        </w:tc>
        <w:tc>
          <w:tcPr>
            <w:tcW w:w="119" w:type="dxa"/>
            <w:vAlign w:val="bottom"/>
          </w:tcPr>
          <w:p w14:paraId="4244E0E9" w14:textId="77777777" w:rsidR="00417A57" w:rsidRDefault="00417A57" w:rsidP="00BE393B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67751E0A" w14:textId="77777777" w:rsidR="00417A57" w:rsidRDefault="00417A57" w:rsidP="00BE393B">
            <w:pPr>
              <w:pStyle w:val="TBodysubtotalNumber"/>
              <w:keepNext/>
            </w:pPr>
            <w:r>
              <w:t>360</w:t>
            </w:r>
          </w:p>
        </w:tc>
        <w:tc>
          <w:tcPr>
            <w:tcW w:w="119" w:type="dxa"/>
            <w:vAlign w:val="bottom"/>
          </w:tcPr>
          <w:p w14:paraId="130E45D8" w14:textId="77777777" w:rsidR="00417A57" w:rsidRDefault="00417A57" w:rsidP="00BE393B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259A2BA3" w14:textId="77777777" w:rsidR="00417A57" w:rsidRDefault="00417A57" w:rsidP="00BE393B">
            <w:pPr>
              <w:pStyle w:val="TBodysubtotalNumber"/>
              <w:keepNext/>
            </w:pPr>
            <w:r>
              <w:t>626</w:t>
            </w:r>
          </w:p>
        </w:tc>
        <w:tc>
          <w:tcPr>
            <w:tcW w:w="119" w:type="dxa"/>
            <w:vAlign w:val="bottom"/>
          </w:tcPr>
          <w:p w14:paraId="2688E096" w14:textId="77777777" w:rsidR="00417A57" w:rsidRDefault="00417A57" w:rsidP="00BE393B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6C1CA232" w14:textId="77777777" w:rsidR="00417A57" w:rsidRDefault="00417A57" w:rsidP="00BE393B">
            <w:pPr>
              <w:pStyle w:val="TBodysubtotalNumber"/>
              <w:keepNext/>
            </w:pPr>
            <w:r>
              <w:t>74</w:t>
            </w:r>
          </w:p>
        </w:tc>
      </w:tr>
      <w:tr w:rsidR="00417A57" w14:paraId="0C87E733" w14:textId="77777777" w:rsidTr="00BE393B">
        <w:trPr>
          <w:trHeight w:val="340"/>
        </w:trPr>
        <w:tc>
          <w:tcPr>
            <w:tcW w:w="2914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5F5BCB12" w14:textId="77777777" w:rsidR="00417A57" w:rsidRDefault="00417A57" w:rsidP="00BE393B">
            <w:pPr>
              <w:pStyle w:val="TBodynormalText"/>
            </w:pPr>
            <w:r>
              <w:t xml:space="preserve">Imposto de renda </w:t>
            </w:r>
          </w:p>
        </w:tc>
        <w:tc>
          <w:tcPr>
            <w:tcW w:w="119" w:type="dxa"/>
            <w:vAlign w:val="bottom"/>
          </w:tcPr>
          <w:p w14:paraId="5F8A5830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596623CB" w14:textId="77777777" w:rsidR="00417A57" w:rsidRDefault="00417A57" w:rsidP="00BE393B">
            <w:pPr>
              <w:pStyle w:val="TBodynormalNumber"/>
              <w:keepNext/>
            </w:pPr>
            <w:r>
              <w:t>-34</w:t>
            </w:r>
          </w:p>
        </w:tc>
        <w:tc>
          <w:tcPr>
            <w:tcW w:w="119" w:type="dxa"/>
            <w:vAlign w:val="bottom"/>
          </w:tcPr>
          <w:p w14:paraId="3E781456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1FB10F2C" w14:textId="77777777" w:rsidR="00417A57" w:rsidRDefault="00417A57" w:rsidP="00BE393B">
            <w:pPr>
              <w:pStyle w:val="TBodynormalNumber"/>
              <w:keepNext/>
            </w:pPr>
            <w:r>
              <w:t>-113</w:t>
            </w:r>
          </w:p>
        </w:tc>
        <w:tc>
          <w:tcPr>
            <w:tcW w:w="119" w:type="dxa"/>
            <w:vAlign w:val="bottom"/>
          </w:tcPr>
          <w:p w14:paraId="669FBBFC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18FBAACF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19" w:type="dxa"/>
            <w:vAlign w:val="bottom"/>
          </w:tcPr>
          <w:p w14:paraId="09D48F22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3A83CD37" w14:textId="77777777" w:rsidR="00417A57" w:rsidRDefault="00417A57" w:rsidP="00BE393B">
            <w:pPr>
              <w:pStyle w:val="TBodynormalNumber"/>
              <w:keepNext/>
            </w:pPr>
            <w:r>
              <w:t>-91</w:t>
            </w:r>
          </w:p>
        </w:tc>
        <w:tc>
          <w:tcPr>
            <w:tcW w:w="119" w:type="dxa"/>
            <w:vAlign w:val="bottom"/>
          </w:tcPr>
          <w:p w14:paraId="6D6483DB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44235056" w14:textId="77777777" w:rsidR="00417A57" w:rsidRDefault="00417A57" w:rsidP="00BE393B">
            <w:pPr>
              <w:pStyle w:val="TBodynormalNumber"/>
              <w:keepNext/>
            </w:pPr>
            <w:r>
              <w:t>-200</w:t>
            </w:r>
          </w:p>
        </w:tc>
        <w:tc>
          <w:tcPr>
            <w:tcW w:w="119" w:type="dxa"/>
            <w:vAlign w:val="bottom"/>
          </w:tcPr>
          <w:p w14:paraId="19CDBCC0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04CECC7F" w14:textId="77777777" w:rsidR="00417A57" w:rsidRDefault="00417A57" w:rsidP="00BE393B">
            <w:pPr>
              <w:pStyle w:val="TBodynormalNumber"/>
              <w:keepNext/>
            </w:pPr>
          </w:p>
        </w:tc>
      </w:tr>
      <w:tr w:rsidR="00417A57" w14:paraId="134D281D" w14:textId="77777777" w:rsidTr="00BE393B">
        <w:tc>
          <w:tcPr>
            <w:tcW w:w="2914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54BD58CE" w14:textId="77777777" w:rsidR="00417A57" w:rsidRPr="00417A57" w:rsidRDefault="00417A57" w:rsidP="00BE393B">
            <w:pPr>
              <w:pStyle w:val="TBodysubtotalText"/>
              <w:keepNext/>
              <w:rPr>
                <w:lang w:val="pt-BR"/>
              </w:rPr>
            </w:pPr>
            <w:r w:rsidRPr="00417A57">
              <w:rPr>
                <w:lang w:val="pt-BR"/>
              </w:rPr>
              <w:t xml:space="preserve">Lucro </w:t>
            </w:r>
            <w:r w:rsidRPr="00417A57">
              <w:rPr>
                <w:color w:val="auto"/>
                <w:lang w:val="pt-BR"/>
              </w:rPr>
              <w:t>após imposto de renda, operações continuadas</w:t>
            </w:r>
          </w:p>
        </w:tc>
        <w:tc>
          <w:tcPr>
            <w:tcW w:w="119" w:type="dxa"/>
            <w:vAlign w:val="bottom"/>
          </w:tcPr>
          <w:p w14:paraId="7F04C966" w14:textId="77777777" w:rsidR="00417A57" w:rsidRPr="00417A57" w:rsidRDefault="00417A57" w:rsidP="00BE393B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75AF43D7" w14:textId="77777777" w:rsidR="00417A57" w:rsidRDefault="00417A57" w:rsidP="00BE393B">
            <w:pPr>
              <w:pStyle w:val="TBodysubtotalNumber"/>
              <w:keepNext/>
            </w:pPr>
            <w:r>
              <w:t>129</w:t>
            </w:r>
          </w:p>
        </w:tc>
        <w:tc>
          <w:tcPr>
            <w:tcW w:w="119" w:type="dxa"/>
            <w:vAlign w:val="bottom"/>
          </w:tcPr>
          <w:p w14:paraId="5FCA7DA0" w14:textId="77777777" w:rsidR="00417A57" w:rsidRDefault="00417A57" w:rsidP="00BE393B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764239F7" w14:textId="77777777" w:rsidR="00417A57" w:rsidRDefault="00417A57" w:rsidP="00BE393B">
            <w:pPr>
              <w:pStyle w:val="TBodysubtotalNumber"/>
              <w:keepNext/>
            </w:pPr>
            <w:r>
              <w:t>227</w:t>
            </w:r>
          </w:p>
        </w:tc>
        <w:tc>
          <w:tcPr>
            <w:tcW w:w="119" w:type="dxa"/>
            <w:vAlign w:val="bottom"/>
          </w:tcPr>
          <w:p w14:paraId="65B6A693" w14:textId="77777777" w:rsidR="00417A57" w:rsidRDefault="00417A57" w:rsidP="00BE393B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2B213A55" w14:textId="77777777" w:rsidR="00417A57" w:rsidRDefault="00417A57" w:rsidP="00BE393B">
            <w:pPr>
              <w:pStyle w:val="TBodysubtotalNumber"/>
              <w:keepNext/>
            </w:pPr>
            <w:r>
              <w:t>76</w:t>
            </w:r>
          </w:p>
        </w:tc>
        <w:tc>
          <w:tcPr>
            <w:tcW w:w="119" w:type="dxa"/>
            <w:vAlign w:val="bottom"/>
          </w:tcPr>
          <w:p w14:paraId="34C79C0E" w14:textId="77777777" w:rsidR="00417A57" w:rsidRDefault="00417A57" w:rsidP="00BE393B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68BAA25F" w14:textId="77777777" w:rsidR="00417A57" w:rsidRDefault="00417A57" w:rsidP="00BE393B">
            <w:pPr>
              <w:pStyle w:val="TBodysubtotalNumber"/>
              <w:keepNext/>
            </w:pPr>
            <w:r>
              <w:t>269</w:t>
            </w:r>
          </w:p>
        </w:tc>
        <w:tc>
          <w:tcPr>
            <w:tcW w:w="119" w:type="dxa"/>
            <w:vAlign w:val="bottom"/>
          </w:tcPr>
          <w:p w14:paraId="5AF3F5D2" w14:textId="77777777" w:rsidR="00417A57" w:rsidRDefault="00417A57" w:rsidP="00BE393B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5C2A54ED" w14:textId="77777777" w:rsidR="00417A57" w:rsidRDefault="00417A57" w:rsidP="00BE393B">
            <w:pPr>
              <w:pStyle w:val="TBodysubtotalNumber"/>
              <w:keepNext/>
            </w:pPr>
            <w:r>
              <w:t>426</w:t>
            </w:r>
          </w:p>
        </w:tc>
        <w:tc>
          <w:tcPr>
            <w:tcW w:w="119" w:type="dxa"/>
            <w:vAlign w:val="bottom"/>
          </w:tcPr>
          <w:p w14:paraId="5F08E78E" w14:textId="77777777" w:rsidR="00417A57" w:rsidRDefault="00417A57" w:rsidP="00BE393B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73A81C28" w14:textId="77777777" w:rsidR="00417A57" w:rsidRDefault="00417A57" w:rsidP="00BE393B">
            <w:pPr>
              <w:pStyle w:val="TBodysubtotalNumber"/>
              <w:keepNext/>
            </w:pPr>
            <w:r>
              <w:t>58</w:t>
            </w:r>
          </w:p>
        </w:tc>
      </w:tr>
      <w:tr w:rsidR="00417A57" w14:paraId="52C46452" w14:textId="77777777" w:rsidTr="00BE393B">
        <w:trPr>
          <w:trHeight w:val="340"/>
        </w:trPr>
        <w:tc>
          <w:tcPr>
            <w:tcW w:w="2914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1208A480" w14:textId="77777777" w:rsidR="00417A57" w:rsidRPr="00417A57" w:rsidRDefault="00417A57" w:rsidP="00BE393B">
            <w:pPr>
              <w:pStyle w:val="TBodynormalText"/>
              <w:rPr>
                <w:lang w:val="pt-BR"/>
              </w:rPr>
            </w:pPr>
            <w:r w:rsidRPr="00417A57">
              <w:rPr>
                <w:lang w:val="pt-BR"/>
              </w:rPr>
              <w:t xml:space="preserve">Lucro após impostos, operações </w:t>
            </w:r>
            <w:r w:rsidRPr="00417A57">
              <w:rPr>
                <w:color w:val="auto"/>
                <w:lang w:val="pt-BR"/>
              </w:rPr>
              <w:t>descontinuadas</w:t>
            </w:r>
          </w:p>
        </w:tc>
        <w:tc>
          <w:tcPr>
            <w:tcW w:w="119" w:type="dxa"/>
            <w:vAlign w:val="bottom"/>
          </w:tcPr>
          <w:p w14:paraId="709B6C4F" w14:textId="77777777" w:rsidR="00417A57" w:rsidRPr="00417A57" w:rsidRDefault="00417A57" w:rsidP="00BE393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1596FA2E" w14:textId="77777777" w:rsidR="00417A57" w:rsidRDefault="00417A57" w:rsidP="00BE393B">
            <w:pPr>
              <w:pStyle w:val="TBodynormalNumber"/>
              <w:keepNext/>
            </w:pPr>
            <w:r>
              <w:t>-11</w:t>
            </w:r>
          </w:p>
        </w:tc>
        <w:tc>
          <w:tcPr>
            <w:tcW w:w="119" w:type="dxa"/>
            <w:vAlign w:val="bottom"/>
          </w:tcPr>
          <w:p w14:paraId="5C086457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48FE4F32" w14:textId="77777777" w:rsidR="00417A57" w:rsidRDefault="00417A57" w:rsidP="00BE393B">
            <w:pPr>
              <w:pStyle w:val="TBodynormalNumber"/>
              <w:keepNext/>
            </w:pPr>
            <w:r>
              <w:t>-3</w:t>
            </w:r>
          </w:p>
        </w:tc>
        <w:tc>
          <w:tcPr>
            <w:tcW w:w="119" w:type="dxa"/>
            <w:vAlign w:val="bottom"/>
          </w:tcPr>
          <w:p w14:paraId="5F311917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799C5EB8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19" w:type="dxa"/>
            <w:vAlign w:val="bottom"/>
          </w:tcPr>
          <w:p w14:paraId="7EEAB11A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0C9920D1" w14:textId="77777777" w:rsidR="00417A57" w:rsidRDefault="00417A57" w:rsidP="00BE393B">
            <w:pPr>
              <w:pStyle w:val="TBodynormalNumber"/>
              <w:keepNext/>
            </w:pPr>
            <w:r>
              <w:t>-18</w:t>
            </w:r>
          </w:p>
        </w:tc>
        <w:tc>
          <w:tcPr>
            <w:tcW w:w="119" w:type="dxa"/>
            <w:vAlign w:val="bottom"/>
          </w:tcPr>
          <w:p w14:paraId="698CBAD4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56E84D1A" w14:textId="77777777" w:rsidR="00417A57" w:rsidRDefault="00417A57" w:rsidP="00BE393B">
            <w:pPr>
              <w:pStyle w:val="TBodynormalNumber"/>
              <w:keepNext/>
            </w:pPr>
            <w:r>
              <w:t>-10</w:t>
            </w:r>
          </w:p>
        </w:tc>
        <w:tc>
          <w:tcPr>
            <w:tcW w:w="119" w:type="dxa"/>
            <w:vAlign w:val="bottom"/>
          </w:tcPr>
          <w:p w14:paraId="28E2C27A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1E4B889B" w14:textId="77777777" w:rsidR="00417A57" w:rsidRDefault="00417A57" w:rsidP="00BE393B">
            <w:pPr>
              <w:pStyle w:val="TBodynormalNumber"/>
              <w:keepNext/>
            </w:pPr>
          </w:p>
        </w:tc>
      </w:tr>
      <w:tr w:rsidR="00417A57" w14:paraId="4F9564E2" w14:textId="77777777" w:rsidTr="00BE393B">
        <w:tc>
          <w:tcPr>
            <w:tcW w:w="2914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5349789A" w14:textId="77777777" w:rsidR="00417A57" w:rsidRDefault="00417A57" w:rsidP="00BE393B">
            <w:pPr>
              <w:pStyle w:val="TBodysubtotalText"/>
              <w:keepNext/>
            </w:pPr>
            <w:r>
              <w:t>Lucro após impostos</w:t>
            </w:r>
          </w:p>
        </w:tc>
        <w:tc>
          <w:tcPr>
            <w:tcW w:w="119" w:type="dxa"/>
            <w:vAlign w:val="bottom"/>
          </w:tcPr>
          <w:p w14:paraId="44A48B7B" w14:textId="77777777" w:rsidR="00417A57" w:rsidRDefault="00417A57" w:rsidP="00BE393B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7787B7DC" w14:textId="77777777" w:rsidR="00417A57" w:rsidRDefault="00417A57" w:rsidP="00BE393B">
            <w:pPr>
              <w:pStyle w:val="TBodysubtotalNumber"/>
              <w:keepNext/>
            </w:pPr>
            <w:r>
              <w:t>118</w:t>
            </w:r>
          </w:p>
        </w:tc>
        <w:tc>
          <w:tcPr>
            <w:tcW w:w="119" w:type="dxa"/>
            <w:vAlign w:val="bottom"/>
          </w:tcPr>
          <w:p w14:paraId="2CA56C62" w14:textId="77777777" w:rsidR="00417A57" w:rsidRDefault="00417A57" w:rsidP="00BE393B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613BB002" w14:textId="77777777" w:rsidR="00417A57" w:rsidRDefault="00417A57" w:rsidP="00BE393B">
            <w:pPr>
              <w:pStyle w:val="TBodysubtotalNumber"/>
              <w:keepNext/>
            </w:pPr>
            <w:r>
              <w:t>224</w:t>
            </w:r>
          </w:p>
        </w:tc>
        <w:tc>
          <w:tcPr>
            <w:tcW w:w="119" w:type="dxa"/>
            <w:vAlign w:val="bottom"/>
          </w:tcPr>
          <w:p w14:paraId="49DC36B6" w14:textId="77777777" w:rsidR="00417A57" w:rsidRDefault="00417A57" w:rsidP="00BE393B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202BB2DE" w14:textId="77777777" w:rsidR="00417A57" w:rsidRDefault="00417A57" w:rsidP="00BE393B">
            <w:pPr>
              <w:pStyle w:val="TBodysubtotalNumber"/>
              <w:keepNext/>
            </w:pPr>
            <w:r>
              <w:t>90</w:t>
            </w:r>
          </w:p>
        </w:tc>
        <w:tc>
          <w:tcPr>
            <w:tcW w:w="119" w:type="dxa"/>
            <w:vAlign w:val="bottom"/>
          </w:tcPr>
          <w:p w14:paraId="4779C4D1" w14:textId="77777777" w:rsidR="00417A57" w:rsidRDefault="00417A57" w:rsidP="00BE393B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25805B6C" w14:textId="77777777" w:rsidR="00417A57" w:rsidRDefault="00417A57" w:rsidP="00BE393B">
            <w:pPr>
              <w:pStyle w:val="TBodysubtotalNumber"/>
              <w:keepNext/>
            </w:pPr>
            <w:r>
              <w:t>251</w:t>
            </w:r>
          </w:p>
        </w:tc>
        <w:tc>
          <w:tcPr>
            <w:tcW w:w="119" w:type="dxa"/>
            <w:vAlign w:val="bottom"/>
          </w:tcPr>
          <w:p w14:paraId="483FFB60" w14:textId="77777777" w:rsidR="00417A57" w:rsidRDefault="00417A57" w:rsidP="00BE393B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599B741B" w14:textId="77777777" w:rsidR="00417A57" w:rsidRDefault="00417A57" w:rsidP="00BE393B">
            <w:pPr>
              <w:pStyle w:val="TBodysubtotalNumber"/>
              <w:keepNext/>
            </w:pPr>
            <w:r>
              <w:t>416</w:t>
            </w:r>
          </w:p>
        </w:tc>
        <w:tc>
          <w:tcPr>
            <w:tcW w:w="119" w:type="dxa"/>
            <w:vAlign w:val="bottom"/>
          </w:tcPr>
          <w:p w14:paraId="3BC20EAB" w14:textId="77777777" w:rsidR="00417A57" w:rsidRDefault="00417A57" w:rsidP="00BE393B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1EB98E50" w14:textId="77777777" w:rsidR="00417A57" w:rsidRDefault="00417A57" w:rsidP="00BE393B">
            <w:pPr>
              <w:pStyle w:val="TBodysubtotalNumber"/>
              <w:keepNext/>
            </w:pPr>
            <w:r>
              <w:t>66</w:t>
            </w:r>
          </w:p>
        </w:tc>
      </w:tr>
      <w:tr w:rsidR="00417A57" w14:paraId="2B9A4EC6" w14:textId="77777777" w:rsidTr="00BE393B">
        <w:trPr>
          <w:trHeight w:val="340"/>
        </w:trPr>
        <w:tc>
          <w:tcPr>
            <w:tcW w:w="2914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314C196E" w14:textId="77777777" w:rsidR="00417A57" w:rsidRPr="00417A57" w:rsidRDefault="00417A57" w:rsidP="00BE393B">
            <w:pPr>
              <w:pStyle w:val="TBodynormalText"/>
              <w:rPr>
                <w:color w:val="auto"/>
                <w:lang w:val="pt-BR"/>
              </w:rPr>
            </w:pPr>
            <w:r w:rsidRPr="00417A57">
              <w:rPr>
                <w:color w:val="auto"/>
                <w:lang w:val="pt-BR"/>
              </w:rPr>
              <w:t>disso, atribuível a interesses minoritários</w:t>
            </w:r>
          </w:p>
        </w:tc>
        <w:tc>
          <w:tcPr>
            <w:tcW w:w="119" w:type="dxa"/>
            <w:vAlign w:val="bottom"/>
          </w:tcPr>
          <w:p w14:paraId="4F7856F1" w14:textId="77777777" w:rsidR="00417A57" w:rsidRPr="00417A57" w:rsidRDefault="00417A57" w:rsidP="00BE393B">
            <w:pPr>
              <w:pStyle w:val="TBodynormalNumber"/>
              <w:keepNext/>
              <w:rPr>
                <w:color w:val="FF0000"/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56AC4E6A" w14:textId="77777777" w:rsidR="00417A57" w:rsidRDefault="00417A57" w:rsidP="00BE393B">
            <w:pPr>
              <w:pStyle w:val="TBodynormalNumber"/>
              <w:keepNext/>
            </w:pPr>
            <w:r>
              <w:t>4</w:t>
            </w:r>
          </w:p>
        </w:tc>
        <w:tc>
          <w:tcPr>
            <w:tcW w:w="119" w:type="dxa"/>
            <w:vAlign w:val="bottom"/>
          </w:tcPr>
          <w:p w14:paraId="2B4923CF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2FEF73DF" w14:textId="77777777" w:rsidR="00417A57" w:rsidRDefault="00417A57" w:rsidP="00BE393B">
            <w:pPr>
              <w:pStyle w:val="TBodynormalNumber"/>
              <w:keepNext/>
            </w:pPr>
            <w:r>
              <w:t>6</w:t>
            </w:r>
          </w:p>
        </w:tc>
        <w:tc>
          <w:tcPr>
            <w:tcW w:w="119" w:type="dxa"/>
            <w:vAlign w:val="bottom"/>
          </w:tcPr>
          <w:p w14:paraId="103D0A48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10C01E96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19" w:type="dxa"/>
            <w:vAlign w:val="bottom"/>
          </w:tcPr>
          <w:p w14:paraId="35621D56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100C329A" w14:textId="77777777" w:rsidR="00417A57" w:rsidRDefault="00417A57" w:rsidP="00BE393B">
            <w:pPr>
              <w:pStyle w:val="TBodynormalNumber"/>
              <w:keepNext/>
            </w:pPr>
            <w:r>
              <w:t>7</w:t>
            </w:r>
          </w:p>
        </w:tc>
        <w:tc>
          <w:tcPr>
            <w:tcW w:w="119" w:type="dxa"/>
            <w:vAlign w:val="bottom"/>
          </w:tcPr>
          <w:p w14:paraId="3EFE06ED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325C88CA" w14:textId="77777777" w:rsidR="00417A57" w:rsidRDefault="00417A57" w:rsidP="00BE393B">
            <w:pPr>
              <w:pStyle w:val="TBodynormalNumber"/>
              <w:keepNext/>
            </w:pPr>
            <w:r>
              <w:t>11</w:t>
            </w:r>
          </w:p>
        </w:tc>
        <w:tc>
          <w:tcPr>
            <w:tcW w:w="119" w:type="dxa"/>
            <w:vAlign w:val="bottom"/>
          </w:tcPr>
          <w:p w14:paraId="22F88D4B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34513CE8" w14:textId="77777777" w:rsidR="00417A57" w:rsidRDefault="00417A57" w:rsidP="00BE393B">
            <w:pPr>
              <w:pStyle w:val="TBodynormalNumber"/>
              <w:keepNext/>
            </w:pPr>
          </w:p>
        </w:tc>
      </w:tr>
      <w:tr w:rsidR="00417A57" w14:paraId="501C61AF" w14:textId="77777777" w:rsidTr="00BE393B">
        <w:tc>
          <w:tcPr>
            <w:tcW w:w="2914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59CCC823" w14:textId="77777777" w:rsidR="00417A57" w:rsidRDefault="00417A57" w:rsidP="00BE393B">
            <w:pPr>
              <w:pStyle w:val="TBodysubtotalText"/>
              <w:keepNext/>
            </w:pPr>
            <w:r>
              <w:t>Lucro líquido</w:t>
            </w:r>
          </w:p>
        </w:tc>
        <w:tc>
          <w:tcPr>
            <w:tcW w:w="119" w:type="dxa"/>
            <w:vAlign w:val="bottom"/>
          </w:tcPr>
          <w:p w14:paraId="2026C820" w14:textId="77777777" w:rsidR="00417A57" w:rsidRDefault="00417A57" w:rsidP="00BE393B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0AD82C33" w14:textId="77777777" w:rsidR="00417A57" w:rsidRDefault="00417A57" w:rsidP="00BE393B">
            <w:pPr>
              <w:pStyle w:val="TBodysubtotalNumber"/>
              <w:keepNext/>
            </w:pPr>
            <w:r>
              <w:t>114</w:t>
            </w:r>
          </w:p>
        </w:tc>
        <w:tc>
          <w:tcPr>
            <w:tcW w:w="119" w:type="dxa"/>
            <w:vAlign w:val="bottom"/>
          </w:tcPr>
          <w:p w14:paraId="22245953" w14:textId="77777777" w:rsidR="00417A57" w:rsidRDefault="00417A57" w:rsidP="00BE393B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678392DA" w14:textId="77777777" w:rsidR="00417A57" w:rsidRDefault="00417A57" w:rsidP="00BE393B">
            <w:pPr>
              <w:pStyle w:val="TBodysubtotalNumber"/>
              <w:keepNext/>
            </w:pPr>
            <w:r>
              <w:t>218</w:t>
            </w:r>
          </w:p>
        </w:tc>
        <w:tc>
          <w:tcPr>
            <w:tcW w:w="119" w:type="dxa"/>
            <w:vAlign w:val="bottom"/>
          </w:tcPr>
          <w:p w14:paraId="3DA59CE6" w14:textId="77777777" w:rsidR="00417A57" w:rsidRDefault="00417A57" w:rsidP="00BE393B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1580E605" w14:textId="77777777" w:rsidR="00417A57" w:rsidRDefault="00417A57" w:rsidP="00BE393B">
            <w:pPr>
              <w:pStyle w:val="TBodysubtotalNumber"/>
              <w:keepNext/>
            </w:pPr>
            <w:r>
              <w:t>91</w:t>
            </w:r>
          </w:p>
        </w:tc>
        <w:tc>
          <w:tcPr>
            <w:tcW w:w="119" w:type="dxa"/>
            <w:vAlign w:val="bottom"/>
          </w:tcPr>
          <w:p w14:paraId="0D0505B7" w14:textId="77777777" w:rsidR="00417A57" w:rsidRDefault="00417A57" w:rsidP="00BE393B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14B9044A" w14:textId="77777777" w:rsidR="00417A57" w:rsidRDefault="00417A57" w:rsidP="00BE393B">
            <w:pPr>
              <w:pStyle w:val="TBodysubtotalNumber"/>
              <w:keepNext/>
            </w:pPr>
            <w:r>
              <w:t>244</w:t>
            </w:r>
          </w:p>
        </w:tc>
        <w:tc>
          <w:tcPr>
            <w:tcW w:w="119" w:type="dxa"/>
            <w:vAlign w:val="bottom"/>
          </w:tcPr>
          <w:p w14:paraId="18E65750" w14:textId="77777777" w:rsidR="00417A57" w:rsidRDefault="00417A57" w:rsidP="00BE393B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57B05607" w14:textId="77777777" w:rsidR="00417A57" w:rsidRDefault="00417A57" w:rsidP="00BE393B">
            <w:pPr>
              <w:pStyle w:val="TBodysubtotalNumber"/>
              <w:keepNext/>
            </w:pPr>
            <w:r>
              <w:t>405</w:t>
            </w:r>
          </w:p>
        </w:tc>
        <w:tc>
          <w:tcPr>
            <w:tcW w:w="119" w:type="dxa"/>
            <w:vAlign w:val="bottom"/>
          </w:tcPr>
          <w:p w14:paraId="22E12CB3" w14:textId="77777777" w:rsidR="00417A57" w:rsidRDefault="00417A57" w:rsidP="00BE393B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337CA6EB" w14:textId="77777777" w:rsidR="00417A57" w:rsidRDefault="00417A57" w:rsidP="00BE393B">
            <w:pPr>
              <w:pStyle w:val="TBodysubtotalNumber"/>
              <w:keepNext/>
            </w:pPr>
            <w:r>
              <w:t>66</w:t>
            </w:r>
          </w:p>
        </w:tc>
      </w:tr>
      <w:tr w:rsidR="00417A57" w14:paraId="1246B4AD" w14:textId="77777777" w:rsidTr="00BE393B">
        <w:trPr>
          <w:trHeight w:val="340"/>
        </w:trPr>
        <w:tc>
          <w:tcPr>
            <w:tcW w:w="2914" w:type="dxa"/>
            <w:tcBorders>
              <w:top w:val="single" w:sz="4" w:space="0" w:color="000000"/>
              <w:bottom w:val="single" w:sz="16" w:space="0" w:color="991D85"/>
            </w:tcBorders>
            <w:vAlign w:val="bottom"/>
          </w:tcPr>
          <w:p w14:paraId="6BDC4805" w14:textId="77777777" w:rsidR="00417A57" w:rsidRDefault="00417A57" w:rsidP="00BE393B">
            <w:pPr>
              <w:pStyle w:val="TBodynormalText"/>
            </w:pPr>
            <w:r>
              <w:rPr>
                <w:b/>
              </w:rPr>
              <w:t>Lucro líquido ajustado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vAlign w:val="bottom"/>
          </w:tcPr>
          <w:p w14:paraId="7CC3D2A9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16" w:space="0" w:color="991D85"/>
            </w:tcBorders>
            <w:vAlign w:val="bottom"/>
          </w:tcPr>
          <w:p w14:paraId="7F759E7E" w14:textId="77777777" w:rsidR="00417A57" w:rsidRDefault="00417A57" w:rsidP="00BE393B">
            <w:pPr>
              <w:pStyle w:val="TBodynormalNumber"/>
              <w:keepNext/>
            </w:pPr>
            <w:r>
              <w:rPr>
                <w:b/>
              </w:rPr>
              <w:t>160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vAlign w:val="bottom"/>
          </w:tcPr>
          <w:p w14:paraId="5E4E46C6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16" w:space="0" w:color="991D85"/>
            </w:tcBorders>
            <w:shd w:val="clear" w:color="000000" w:fill="DAD5C9"/>
            <w:vAlign w:val="bottom"/>
          </w:tcPr>
          <w:p w14:paraId="7BFE15A2" w14:textId="77777777" w:rsidR="00417A57" w:rsidRDefault="00417A57" w:rsidP="00BE393B">
            <w:pPr>
              <w:pStyle w:val="TBodynormalNumber"/>
              <w:keepNext/>
            </w:pPr>
            <w:r>
              <w:rPr>
                <w:b/>
              </w:rPr>
              <w:t>253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vAlign w:val="bottom"/>
          </w:tcPr>
          <w:p w14:paraId="5D90E3C8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16" w:space="0" w:color="991D85"/>
            </w:tcBorders>
            <w:vAlign w:val="bottom"/>
          </w:tcPr>
          <w:p w14:paraId="1A7F5A48" w14:textId="77777777" w:rsidR="00417A57" w:rsidRDefault="00417A57" w:rsidP="00BE393B">
            <w:pPr>
              <w:pStyle w:val="TBodynormalNumber"/>
              <w:keepNext/>
            </w:pPr>
            <w:r>
              <w:rPr>
                <w:b/>
              </w:rPr>
              <w:t>58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vAlign w:val="bottom"/>
          </w:tcPr>
          <w:p w14:paraId="22B741D7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16" w:space="0" w:color="991D85"/>
            </w:tcBorders>
            <w:vAlign w:val="bottom"/>
          </w:tcPr>
          <w:p w14:paraId="6B65AC18" w14:textId="77777777" w:rsidR="00417A57" w:rsidRDefault="00417A57" w:rsidP="00BE393B">
            <w:pPr>
              <w:pStyle w:val="TBodynormalNumber"/>
              <w:keepNext/>
            </w:pPr>
            <w:r>
              <w:rPr>
                <w:b/>
              </w:rPr>
              <w:t>341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vAlign w:val="bottom"/>
          </w:tcPr>
          <w:p w14:paraId="36881080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16" w:space="0" w:color="991D85"/>
            </w:tcBorders>
            <w:shd w:val="clear" w:color="000000" w:fill="DAD5C9"/>
            <w:vAlign w:val="bottom"/>
          </w:tcPr>
          <w:p w14:paraId="1CEDDB0A" w14:textId="77777777" w:rsidR="00417A57" w:rsidRDefault="00417A57" w:rsidP="00BE393B">
            <w:pPr>
              <w:pStyle w:val="TBodynormalNumber"/>
              <w:keepNext/>
            </w:pPr>
            <w:r>
              <w:rPr>
                <w:b/>
              </w:rPr>
              <w:t>493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vAlign w:val="bottom"/>
          </w:tcPr>
          <w:p w14:paraId="6BF8CE9F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16" w:space="0" w:color="991D85"/>
            </w:tcBorders>
            <w:vAlign w:val="bottom"/>
          </w:tcPr>
          <w:p w14:paraId="431B883F" w14:textId="77777777" w:rsidR="00417A57" w:rsidRDefault="00417A57" w:rsidP="00BE393B">
            <w:pPr>
              <w:pStyle w:val="TBodynormalNumber"/>
              <w:keepNext/>
            </w:pPr>
            <w:r>
              <w:rPr>
                <w:b/>
                <w:i/>
              </w:rPr>
              <w:t>45</w:t>
            </w:r>
          </w:p>
        </w:tc>
      </w:tr>
      <w:bookmarkEnd w:id="1"/>
    </w:tbl>
    <w:p w14:paraId="4B9208EE" w14:textId="3C6D7285" w:rsidR="00417A57" w:rsidRDefault="00417A57" w:rsidP="0032793B"/>
    <w:tbl>
      <w:tblPr>
        <w:tblW w:w="97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essemitteilung - Tabelle en!outarea_segmenteq1"/>
        <w:tblDescription w:val="SNEID_3c00ec5e54e644f88a0a198056030d76"/>
      </w:tblPr>
      <w:tblGrid>
        <w:gridCol w:w="2912"/>
        <w:gridCol w:w="119"/>
        <w:gridCol w:w="1021"/>
        <w:gridCol w:w="119"/>
        <w:gridCol w:w="1021"/>
        <w:gridCol w:w="119"/>
        <w:gridCol w:w="1021"/>
        <w:gridCol w:w="119"/>
        <w:gridCol w:w="1021"/>
        <w:gridCol w:w="119"/>
        <w:gridCol w:w="1021"/>
        <w:gridCol w:w="119"/>
        <w:gridCol w:w="1021"/>
      </w:tblGrid>
      <w:tr w:rsidR="00417A57" w14:paraId="43D8E2D7" w14:textId="77777777" w:rsidTr="00BE393B">
        <w:tc>
          <w:tcPr>
            <w:tcW w:w="9754" w:type="dxa"/>
            <w:gridSpan w:val="13"/>
            <w:noWrap/>
            <w:vAlign w:val="bottom"/>
          </w:tcPr>
          <w:p w14:paraId="57506FAB" w14:textId="77777777" w:rsidR="00417A57" w:rsidRDefault="00417A57" w:rsidP="00BE393B">
            <w:pPr>
              <w:pStyle w:val="TTitleText"/>
            </w:pPr>
            <w:bookmarkStart w:id="2" w:name="SNEID_3c00ec5e54e644f88a0a198056030d76"/>
            <w:r>
              <w:t>Desempenho por Divisão – 2° trimestre</w:t>
            </w:r>
          </w:p>
        </w:tc>
      </w:tr>
      <w:tr w:rsidR="00417A57" w14:paraId="055BE84A" w14:textId="77777777" w:rsidTr="00BE393B">
        <w:tc>
          <w:tcPr>
            <w:tcW w:w="2914" w:type="dxa"/>
            <w:tcBorders>
              <w:top w:val="single" w:sz="8" w:space="0" w:color="000000"/>
            </w:tcBorders>
            <w:noWrap/>
            <w:vAlign w:val="bottom"/>
          </w:tcPr>
          <w:p w14:paraId="72832546" w14:textId="77777777" w:rsidR="00417A57" w:rsidRDefault="00417A57" w:rsidP="00BE393B">
            <w:pPr>
              <w:pStyle w:val="TDummy"/>
              <w:keepNext/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2C39E019" w14:textId="77777777" w:rsidR="00417A57" w:rsidRDefault="00417A57" w:rsidP="00BE393B">
            <w:pPr>
              <w:pStyle w:val="TDummy"/>
              <w:keepNext/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4356E7B0" w14:textId="77777777" w:rsidR="00417A57" w:rsidRDefault="00417A57" w:rsidP="00BE393B">
            <w:pPr>
              <w:pStyle w:val="TDummy"/>
              <w:keepNext/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78032526" w14:textId="77777777" w:rsidR="00417A57" w:rsidRDefault="00417A57" w:rsidP="00BE393B">
            <w:pPr>
              <w:pStyle w:val="TDummy"/>
              <w:keepNext/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2BB51752" w14:textId="77777777" w:rsidR="00417A57" w:rsidRDefault="00417A57" w:rsidP="00BE393B">
            <w:pPr>
              <w:pStyle w:val="TDummy"/>
              <w:keepNext/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5D4C69A6" w14:textId="77777777" w:rsidR="00417A57" w:rsidRDefault="00417A57" w:rsidP="00BE393B">
            <w:pPr>
              <w:pStyle w:val="TDummy"/>
              <w:keepNext/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577DDC5F" w14:textId="77777777" w:rsidR="00417A57" w:rsidRDefault="00417A57" w:rsidP="00BE393B">
            <w:pPr>
              <w:pStyle w:val="TDummy"/>
              <w:keepNext/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127C04E7" w14:textId="77777777" w:rsidR="00417A57" w:rsidRDefault="00417A57" w:rsidP="00BE393B">
            <w:pPr>
              <w:pStyle w:val="TDummy"/>
              <w:keepNext/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3AD4C3F9" w14:textId="77777777" w:rsidR="00417A57" w:rsidRDefault="00417A57" w:rsidP="00BE393B">
            <w:pPr>
              <w:pStyle w:val="TDummy"/>
              <w:keepNext/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0F6EE7D3" w14:textId="77777777" w:rsidR="00417A57" w:rsidRDefault="00417A57" w:rsidP="00BE393B">
            <w:pPr>
              <w:pStyle w:val="TDummy"/>
              <w:keepNext/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2CC03E41" w14:textId="77777777" w:rsidR="00417A57" w:rsidRDefault="00417A57" w:rsidP="00BE393B">
            <w:pPr>
              <w:pStyle w:val="TDummy"/>
              <w:keepNext/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66210AB8" w14:textId="77777777" w:rsidR="00417A57" w:rsidRDefault="00417A57" w:rsidP="00BE393B">
            <w:pPr>
              <w:pStyle w:val="TDummy"/>
              <w:keepNext/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1CA51D25" w14:textId="77777777" w:rsidR="00417A57" w:rsidRDefault="00417A57" w:rsidP="00BE393B">
            <w:pPr>
              <w:pStyle w:val="TDummy"/>
              <w:keepNext/>
            </w:pPr>
          </w:p>
        </w:tc>
      </w:tr>
      <w:tr w:rsidR="00417A57" w14:paraId="1853CC6D" w14:textId="77777777" w:rsidTr="00BE393B">
        <w:tc>
          <w:tcPr>
            <w:tcW w:w="2914" w:type="dxa"/>
            <w:shd w:val="clear" w:color="000000" w:fill="FFFFFF"/>
            <w:noWrap/>
            <w:vAlign w:val="bottom"/>
          </w:tcPr>
          <w:p w14:paraId="31EB1C2D" w14:textId="77777777" w:rsidR="00417A57" w:rsidRDefault="00417A57" w:rsidP="00BE393B">
            <w:pPr>
              <w:pStyle w:val="THeadfirstNumber"/>
            </w:pPr>
            <w:bookmarkStart w:id="3" w:name="RANGE!B25:N25"/>
            <w:bookmarkStart w:id="4" w:name="RANGE!B25"/>
            <w:bookmarkEnd w:id="3"/>
            <w:bookmarkEnd w:id="4"/>
          </w:p>
        </w:tc>
        <w:tc>
          <w:tcPr>
            <w:tcW w:w="119" w:type="dxa"/>
            <w:noWrap/>
            <w:vAlign w:val="bottom"/>
          </w:tcPr>
          <w:p w14:paraId="23A4B427" w14:textId="77777777" w:rsidR="00417A57" w:rsidRDefault="00417A57" w:rsidP="00BE393B">
            <w:pPr>
              <w:pStyle w:val="THeadfirstNumber"/>
            </w:pPr>
          </w:p>
        </w:tc>
        <w:tc>
          <w:tcPr>
            <w:tcW w:w="3301" w:type="dxa"/>
            <w:gridSpan w:val="5"/>
            <w:tcBorders>
              <w:bottom w:val="single" w:sz="4" w:space="0" w:color="A59C94"/>
            </w:tcBorders>
            <w:shd w:val="clear" w:color="000000" w:fill="FFFFFF"/>
            <w:vAlign w:val="bottom"/>
          </w:tcPr>
          <w:p w14:paraId="00A012CA" w14:textId="77777777" w:rsidR="00417A57" w:rsidRDefault="00417A57" w:rsidP="00BE393B">
            <w:pPr>
              <w:pStyle w:val="THeadfirstNumber"/>
            </w:pPr>
            <w:r>
              <w:t>Vendas</w:t>
            </w:r>
          </w:p>
        </w:tc>
        <w:tc>
          <w:tcPr>
            <w:tcW w:w="119" w:type="dxa"/>
            <w:vAlign w:val="bottom"/>
          </w:tcPr>
          <w:p w14:paraId="17FD81F6" w14:textId="77777777" w:rsidR="00417A57" w:rsidRDefault="00417A57" w:rsidP="00BE393B">
            <w:pPr>
              <w:pStyle w:val="THeadfirstNumber"/>
            </w:pPr>
          </w:p>
        </w:tc>
        <w:tc>
          <w:tcPr>
            <w:tcW w:w="3301" w:type="dxa"/>
            <w:gridSpan w:val="5"/>
            <w:tcBorders>
              <w:bottom w:val="single" w:sz="4" w:space="0" w:color="A59C94"/>
            </w:tcBorders>
            <w:shd w:val="clear" w:color="000000" w:fill="FFFFFF"/>
            <w:vAlign w:val="bottom"/>
          </w:tcPr>
          <w:p w14:paraId="736F8525" w14:textId="77777777" w:rsidR="00417A57" w:rsidRDefault="00417A57" w:rsidP="00BE393B">
            <w:pPr>
              <w:pStyle w:val="THeadfirstNumber"/>
            </w:pPr>
            <w:r>
              <w:t>EBITDA ajustado</w:t>
            </w:r>
          </w:p>
        </w:tc>
      </w:tr>
      <w:tr w:rsidR="00417A57" w14:paraId="07F55C9E" w14:textId="77777777" w:rsidTr="00BE393B">
        <w:tc>
          <w:tcPr>
            <w:tcW w:w="2914" w:type="dxa"/>
            <w:tcBorders>
              <w:bottom w:val="single" w:sz="4" w:space="0" w:color="000000"/>
            </w:tcBorders>
            <w:shd w:val="clear" w:color="000000" w:fill="FFFFFF"/>
            <w:noWrap/>
            <w:vAlign w:val="bottom"/>
          </w:tcPr>
          <w:p w14:paraId="61D623B9" w14:textId="77777777" w:rsidR="00417A57" w:rsidRDefault="00417A57" w:rsidP="00BE393B">
            <w:pPr>
              <w:pStyle w:val="THeadlastText"/>
            </w:pPr>
            <w:bookmarkStart w:id="5" w:name="RANGE!B26:N26"/>
            <w:bookmarkEnd w:id="5"/>
            <w:r>
              <w:t>em milhões de euros</w:t>
            </w:r>
          </w:p>
        </w:tc>
        <w:tc>
          <w:tcPr>
            <w:tcW w:w="119" w:type="dxa"/>
            <w:noWrap/>
            <w:vAlign w:val="bottom"/>
          </w:tcPr>
          <w:p w14:paraId="6F255DE6" w14:textId="77777777" w:rsidR="00417A57" w:rsidRDefault="00417A57" w:rsidP="00BE393B">
            <w:pPr>
              <w:pStyle w:val="THeadlast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07903DC3" w14:textId="77777777" w:rsidR="00417A57" w:rsidRDefault="00417A57" w:rsidP="00BE393B">
            <w:pPr>
              <w:pStyle w:val="THeadlastNumber"/>
            </w:pPr>
            <w:r>
              <w:t>2020</w:t>
            </w:r>
          </w:p>
        </w:tc>
        <w:tc>
          <w:tcPr>
            <w:tcW w:w="119" w:type="dxa"/>
            <w:vAlign w:val="bottom"/>
          </w:tcPr>
          <w:p w14:paraId="439E2965" w14:textId="77777777" w:rsidR="00417A57" w:rsidRDefault="00417A57" w:rsidP="00BE393B">
            <w:pPr>
              <w:pStyle w:val="THeadlast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25A6F371" w14:textId="77777777" w:rsidR="00417A57" w:rsidRDefault="00417A57" w:rsidP="00BE393B">
            <w:pPr>
              <w:pStyle w:val="THeadlastNumberbold"/>
            </w:pPr>
            <w:bookmarkStart w:id="6" w:name="RANGE!F26:F33"/>
            <w:bookmarkEnd w:id="6"/>
            <w:r>
              <w:t>2021</w:t>
            </w:r>
          </w:p>
        </w:tc>
        <w:tc>
          <w:tcPr>
            <w:tcW w:w="119" w:type="dxa"/>
            <w:vAlign w:val="bottom"/>
          </w:tcPr>
          <w:p w14:paraId="10D5F12C" w14:textId="77777777" w:rsidR="00417A57" w:rsidRDefault="00417A57" w:rsidP="00BE393B">
            <w:pPr>
              <w:pStyle w:val="THeadlast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7A91E485" w14:textId="77777777" w:rsidR="00417A57" w:rsidRDefault="00417A57" w:rsidP="00BE393B">
            <w:pPr>
              <w:pStyle w:val="THeaddifferenceNumber"/>
              <w:keepNext/>
            </w:pPr>
            <w:bookmarkStart w:id="7" w:name="RANGE!H26:H33"/>
            <w:bookmarkEnd w:id="7"/>
            <w:r>
              <w:t>Variação em %</w:t>
            </w:r>
          </w:p>
        </w:tc>
        <w:tc>
          <w:tcPr>
            <w:tcW w:w="119" w:type="dxa"/>
            <w:vAlign w:val="bottom"/>
          </w:tcPr>
          <w:p w14:paraId="49F8C3B8" w14:textId="77777777" w:rsidR="00417A57" w:rsidRDefault="00417A57" w:rsidP="00BE393B">
            <w:pPr>
              <w:pStyle w:val="THeadlast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677937FE" w14:textId="77777777" w:rsidR="00417A57" w:rsidRDefault="00417A57" w:rsidP="00BE393B">
            <w:pPr>
              <w:pStyle w:val="THeadlastNumber"/>
            </w:pPr>
            <w:r>
              <w:t>2020</w:t>
            </w:r>
          </w:p>
        </w:tc>
        <w:tc>
          <w:tcPr>
            <w:tcW w:w="119" w:type="dxa"/>
            <w:vAlign w:val="bottom"/>
          </w:tcPr>
          <w:p w14:paraId="3065F66C" w14:textId="77777777" w:rsidR="00417A57" w:rsidRDefault="00417A57" w:rsidP="00BE393B">
            <w:pPr>
              <w:pStyle w:val="THeadlast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52AB5D55" w14:textId="77777777" w:rsidR="00417A57" w:rsidRDefault="00417A57" w:rsidP="00BE393B">
            <w:pPr>
              <w:pStyle w:val="THeadlastNumberbold"/>
            </w:pPr>
            <w:bookmarkStart w:id="8" w:name="RANGE!L26:L33"/>
            <w:bookmarkEnd w:id="8"/>
            <w:r>
              <w:t>2021</w:t>
            </w:r>
          </w:p>
        </w:tc>
        <w:tc>
          <w:tcPr>
            <w:tcW w:w="119" w:type="dxa"/>
            <w:vAlign w:val="bottom"/>
          </w:tcPr>
          <w:p w14:paraId="13286664" w14:textId="77777777" w:rsidR="00417A57" w:rsidRDefault="00417A57" w:rsidP="00BE393B">
            <w:pPr>
              <w:pStyle w:val="THeadlast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0FECBC02" w14:textId="77777777" w:rsidR="00417A57" w:rsidRDefault="00417A57" w:rsidP="00BE393B">
            <w:pPr>
              <w:pStyle w:val="THeaddifferenceNumber"/>
              <w:keepNext/>
            </w:pPr>
            <w:bookmarkStart w:id="9" w:name="RANGE!N26:N33"/>
            <w:bookmarkEnd w:id="9"/>
            <w:r>
              <w:t>Variação em %</w:t>
            </w:r>
          </w:p>
        </w:tc>
      </w:tr>
      <w:tr w:rsidR="00417A57" w14:paraId="4E11B298" w14:textId="77777777" w:rsidTr="00BE393B">
        <w:tc>
          <w:tcPr>
            <w:tcW w:w="2914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6AEEBC3D" w14:textId="77777777" w:rsidR="00417A57" w:rsidRDefault="00417A57" w:rsidP="00BE393B">
            <w:pPr>
              <w:pStyle w:val="TBodynormalText"/>
            </w:pPr>
            <w:r>
              <w:t>Specialty Additives</w:t>
            </w:r>
          </w:p>
        </w:tc>
        <w:tc>
          <w:tcPr>
            <w:tcW w:w="119" w:type="dxa"/>
            <w:noWrap/>
            <w:vAlign w:val="bottom"/>
          </w:tcPr>
          <w:p w14:paraId="63B85BC1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32A4F506" w14:textId="77777777" w:rsidR="00417A57" w:rsidRDefault="00417A57" w:rsidP="00BE393B">
            <w:pPr>
              <w:pStyle w:val="TBodynormalNumber"/>
              <w:keepNext/>
            </w:pPr>
            <w:r>
              <w:t>747</w:t>
            </w:r>
          </w:p>
        </w:tc>
        <w:tc>
          <w:tcPr>
            <w:tcW w:w="119" w:type="dxa"/>
            <w:noWrap/>
            <w:vAlign w:val="bottom"/>
          </w:tcPr>
          <w:p w14:paraId="7D58AEF5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4E3CEDA8" w14:textId="77777777" w:rsidR="00417A57" w:rsidRDefault="00417A57" w:rsidP="00BE393B">
            <w:pPr>
              <w:pStyle w:val="TBodynormalNumber"/>
              <w:keepNext/>
            </w:pPr>
            <w:r>
              <w:t>922</w:t>
            </w:r>
          </w:p>
        </w:tc>
        <w:tc>
          <w:tcPr>
            <w:tcW w:w="119" w:type="dxa"/>
            <w:noWrap/>
            <w:vAlign w:val="bottom"/>
          </w:tcPr>
          <w:p w14:paraId="12761B3A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57FF47B3" w14:textId="77777777" w:rsidR="00417A57" w:rsidRDefault="00417A57" w:rsidP="00BE393B">
            <w:pPr>
              <w:pStyle w:val="TBodynormalNumber"/>
              <w:keepNext/>
            </w:pPr>
            <w:r>
              <w:t>23</w:t>
            </w:r>
          </w:p>
        </w:tc>
        <w:tc>
          <w:tcPr>
            <w:tcW w:w="119" w:type="dxa"/>
            <w:noWrap/>
            <w:vAlign w:val="bottom"/>
          </w:tcPr>
          <w:p w14:paraId="776E90BD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67B3A662" w14:textId="77777777" w:rsidR="00417A57" w:rsidRDefault="00417A57" w:rsidP="00BE393B">
            <w:pPr>
              <w:pStyle w:val="TBodynormalNumber"/>
              <w:keepNext/>
            </w:pPr>
            <w:r>
              <w:t>202</w:t>
            </w:r>
          </w:p>
        </w:tc>
        <w:tc>
          <w:tcPr>
            <w:tcW w:w="119" w:type="dxa"/>
            <w:noWrap/>
            <w:vAlign w:val="bottom"/>
          </w:tcPr>
          <w:p w14:paraId="7202E407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73F2C5FE" w14:textId="77777777" w:rsidR="00417A57" w:rsidRDefault="00417A57" w:rsidP="00BE393B">
            <w:pPr>
              <w:pStyle w:val="TBodynormalNumber"/>
              <w:keepNext/>
            </w:pPr>
            <w:r>
              <w:t>242</w:t>
            </w:r>
          </w:p>
        </w:tc>
        <w:tc>
          <w:tcPr>
            <w:tcW w:w="119" w:type="dxa"/>
            <w:noWrap/>
            <w:vAlign w:val="bottom"/>
          </w:tcPr>
          <w:p w14:paraId="43A29F61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50C91AB0" w14:textId="77777777" w:rsidR="00417A57" w:rsidRDefault="00417A57" w:rsidP="00BE393B">
            <w:pPr>
              <w:pStyle w:val="TBodynormalNumber"/>
              <w:keepNext/>
            </w:pPr>
            <w:r>
              <w:t>20</w:t>
            </w:r>
          </w:p>
        </w:tc>
      </w:tr>
      <w:tr w:rsidR="00417A57" w14:paraId="08393B55" w14:textId="77777777" w:rsidTr="00BE393B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7FD5733" w14:textId="77777777" w:rsidR="00417A57" w:rsidRDefault="00417A57" w:rsidP="00BE393B">
            <w:pPr>
              <w:pStyle w:val="TBodynormalText"/>
            </w:pPr>
            <w:r>
              <w:t>Nutrition &amp; Care</w:t>
            </w:r>
          </w:p>
        </w:tc>
        <w:tc>
          <w:tcPr>
            <w:tcW w:w="119" w:type="dxa"/>
            <w:noWrap/>
            <w:vAlign w:val="bottom"/>
          </w:tcPr>
          <w:p w14:paraId="6D06FB2B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3FDE90F0" w14:textId="77777777" w:rsidR="00417A57" w:rsidRDefault="00417A57" w:rsidP="00BE393B">
            <w:pPr>
              <w:pStyle w:val="TBodynormalNumber"/>
              <w:keepNext/>
            </w:pPr>
            <w:r>
              <w:t>742</w:t>
            </w:r>
          </w:p>
        </w:tc>
        <w:tc>
          <w:tcPr>
            <w:tcW w:w="119" w:type="dxa"/>
            <w:noWrap/>
            <w:vAlign w:val="bottom"/>
          </w:tcPr>
          <w:p w14:paraId="586B2BD1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227CC898" w14:textId="77777777" w:rsidR="00417A57" w:rsidRDefault="00417A57" w:rsidP="00BE393B">
            <w:pPr>
              <w:pStyle w:val="TBodynormalNumber"/>
              <w:keepNext/>
            </w:pPr>
            <w:r>
              <w:t>838</w:t>
            </w:r>
          </w:p>
        </w:tc>
        <w:tc>
          <w:tcPr>
            <w:tcW w:w="119" w:type="dxa"/>
            <w:noWrap/>
            <w:vAlign w:val="bottom"/>
          </w:tcPr>
          <w:p w14:paraId="282836A1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29C475F0" w14:textId="77777777" w:rsidR="00417A57" w:rsidRDefault="00417A57" w:rsidP="00BE393B">
            <w:pPr>
              <w:pStyle w:val="TBodynormalNumber"/>
              <w:keepNext/>
            </w:pPr>
            <w:r>
              <w:t>13</w:t>
            </w:r>
          </w:p>
        </w:tc>
        <w:tc>
          <w:tcPr>
            <w:tcW w:w="119" w:type="dxa"/>
            <w:noWrap/>
            <w:vAlign w:val="bottom"/>
          </w:tcPr>
          <w:p w14:paraId="70ED3B8C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8124F03" w14:textId="77777777" w:rsidR="00417A57" w:rsidRDefault="00417A57" w:rsidP="00BE393B">
            <w:pPr>
              <w:pStyle w:val="TBodynormalNumber"/>
              <w:keepNext/>
            </w:pPr>
            <w:r>
              <w:t>168</w:t>
            </w:r>
          </w:p>
        </w:tc>
        <w:tc>
          <w:tcPr>
            <w:tcW w:w="119" w:type="dxa"/>
            <w:noWrap/>
            <w:vAlign w:val="bottom"/>
          </w:tcPr>
          <w:p w14:paraId="516E0852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054210A7" w14:textId="77777777" w:rsidR="00417A57" w:rsidRDefault="00417A57" w:rsidP="00BE393B">
            <w:pPr>
              <w:pStyle w:val="TBodynormalNumber"/>
              <w:keepNext/>
            </w:pPr>
            <w:r>
              <w:t>183</w:t>
            </w:r>
          </w:p>
        </w:tc>
        <w:tc>
          <w:tcPr>
            <w:tcW w:w="119" w:type="dxa"/>
            <w:noWrap/>
            <w:vAlign w:val="bottom"/>
          </w:tcPr>
          <w:p w14:paraId="5285887F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7D241F5" w14:textId="77777777" w:rsidR="00417A57" w:rsidRDefault="00417A57" w:rsidP="00BE393B">
            <w:pPr>
              <w:pStyle w:val="TBodynormalNumber"/>
              <w:keepNext/>
            </w:pPr>
            <w:r>
              <w:t>9</w:t>
            </w:r>
          </w:p>
        </w:tc>
      </w:tr>
      <w:tr w:rsidR="00417A57" w14:paraId="1FA16BFB" w14:textId="77777777" w:rsidTr="00BE393B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6A5F1DD" w14:textId="77777777" w:rsidR="00417A57" w:rsidRDefault="00417A57" w:rsidP="00BE393B">
            <w:pPr>
              <w:pStyle w:val="TBodynormalText"/>
            </w:pPr>
            <w:r>
              <w:t>Smart Materials</w:t>
            </w:r>
          </w:p>
        </w:tc>
        <w:tc>
          <w:tcPr>
            <w:tcW w:w="119" w:type="dxa"/>
            <w:noWrap/>
            <w:vAlign w:val="bottom"/>
          </w:tcPr>
          <w:p w14:paraId="773C77C9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5CC4551" w14:textId="77777777" w:rsidR="00417A57" w:rsidRDefault="00417A57" w:rsidP="00BE393B">
            <w:pPr>
              <w:pStyle w:val="TBodynormalNumber"/>
              <w:keepNext/>
            </w:pPr>
            <w:r>
              <w:t>722</w:t>
            </w:r>
          </w:p>
        </w:tc>
        <w:tc>
          <w:tcPr>
            <w:tcW w:w="119" w:type="dxa"/>
            <w:noWrap/>
            <w:vAlign w:val="bottom"/>
          </w:tcPr>
          <w:p w14:paraId="688C1275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60AD1122" w14:textId="77777777" w:rsidR="00417A57" w:rsidRDefault="00417A57" w:rsidP="00BE393B">
            <w:pPr>
              <w:pStyle w:val="TBodynormalNumber"/>
              <w:keepNext/>
            </w:pPr>
            <w:r>
              <w:t>975</w:t>
            </w:r>
          </w:p>
        </w:tc>
        <w:tc>
          <w:tcPr>
            <w:tcW w:w="119" w:type="dxa"/>
            <w:noWrap/>
            <w:vAlign w:val="bottom"/>
          </w:tcPr>
          <w:p w14:paraId="6A771E24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76CC2E48" w14:textId="77777777" w:rsidR="00417A57" w:rsidRDefault="00417A57" w:rsidP="00BE393B">
            <w:pPr>
              <w:pStyle w:val="TBodynormalNumber"/>
              <w:keepNext/>
            </w:pPr>
            <w:r>
              <w:t>35</w:t>
            </w:r>
          </w:p>
        </w:tc>
        <w:tc>
          <w:tcPr>
            <w:tcW w:w="119" w:type="dxa"/>
            <w:noWrap/>
            <w:vAlign w:val="bottom"/>
          </w:tcPr>
          <w:p w14:paraId="12186CE1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E15BCCB" w14:textId="77777777" w:rsidR="00417A57" w:rsidRDefault="00417A57" w:rsidP="00BE393B">
            <w:pPr>
              <w:pStyle w:val="TBodynormalNumber"/>
              <w:keepNext/>
            </w:pPr>
            <w:r>
              <w:t>102</w:t>
            </w:r>
          </w:p>
        </w:tc>
        <w:tc>
          <w:tcPr>
            <w:tcW w:w="119" w:type="dxa"/>
            <w:noWrap/>
            <w:vAlign w:val="bottom"/>
          </w:tcPr>
          <w:p w14:paraId="32F89568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05889293" w14:textId="77777777" w:rsidR="00417A57" w:rsidRDefault="00417A57" w:rsidP="00BE393B">
            <w:pPr>
              <w:pStyle w:val="TBodynormalNumber"/>
              <w:keepNext/>
            </w:pPr>
            <w:r>
              <w:t>176</w:t>
            </w:r>
          </w:p>
        </w:tc>
        <w:tc>
          <w:tcPr>
            <w:tcW w:w="119" w:type="dxa"/>
            <w:noWrap/>
            <w:vAlign w:val="bottom"/>
          </w:tcPr>
          <w:p w14:paraId="636BB212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359B3DDF" w14:textId="77777777" w:rsidR="00417A57" w:rsidRDefault="00417A57" w:rsidP="00BE393B">
            <w:pPr>
              <w:pStyle w:val="TBodynormalNumber"/>
              <w:keepNext/>
            </w:pPr>
            <w:r>
              <w:t>73</w:t>
            </w:r>
          </w:p>
        </w:tc>
      </w:tr>
      <w:tr w:rsidR="00417A57" w14:paraId="065D71CC" w14:textId="77777777" w:rsidTr="00BE393B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0EB8391B" w14:textId="77777777" w:rsidR="00417A57" w:rsidRDefault="00417A57" w:rsidP="00BE393B">
            <w:pPr>
              <w:pStyle w:val="TBodynormalText"/>
            </w:pPr>
            <w:r>
              <w:t>Performance Materials</w:t>
            </w:r>
          </w:p>
        </w:tc>
        <w:tc>
          <w:tcPr>
            <w:tcW w:w="119" w:type="dxa"/>
            <w:noWrap/>
            <w:vAlign w:val="bottom"/>
          </w:tcPr>
          <w:p w14:paraId="4C7367C5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0260DBCB" w14:textId="77777777" w:rsidR="00417A57" w:rsidRDefault="00417A57" w:rsidP="00BE393B">
            <w:pPr>
              <w:pStyle w:val="TBodynormalNumber"/>
              <w:keepNext/>
            </w:pPr>
            <w:r>
              <w:t>437</w:t>
            </w:r>
          </w:p>
        </w:tc>
        <w:tc>
          <w:tcPr>
            <w:tcW w:w="119" w:type="dxa"/>
            <w:noWrap/>
            <w:vAlign w:val="bottom"/>
          </w:tcPr>
          <w:p w14:paraId="58DCAB73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24AA372B" w14:textId="77777777" w:rsidR="00417A57" w:rsidRDefault="00417A57" w:rsidP="00BE393B">
            <w:pPr>
              <w:pStyle w:val="TBodynormalNumber"/>
              <w:keepNext/>
            </w:pPr>
            <w:r>
              <w:t>708</w:t>
            </w:r>
          </w:p>
        </w:tc>
        <w:tc>
          <w:tcPr>
            <w:tcW w:w="119" w:type="dxa"/>
            <w:noWrap/>
            <w:vAlign w:val="bottom"/>
          </w:tcPr>
          <w:p w14:paraId="311335AD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8FF0B82" w14:textId="77777777" w:rsidR="00417A57" w:rsidRDefault="00417A57" w:rsidP="00BE393B">
            <w:pPr>
              <w:pStyle w:val="TBodynormalNumber"/>
              <w:keepNext/>
            </w:pPr>
            <w:r>
              <w:t>62</w:t>
            </w:r>
          </w:p>
        </w:tc>
        <w:tc>
          <w:tcPr>
            <w:tcW w:w="119" w:type="dxa"/>
            <w:noWrap/>
            <w:vAlign w:val="bottom"/>
          </w:tcPr>
          <w:p w14:paraId="7B695603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3159E7D" w14:textId="77777777" w:rsidR="00417A57" w:rsidRDefault="00417A57" w:rsidP="00BE393B">
            <w:pPr>
              <w:pStyle w:val="TBodynormalNumber"/>
              <w:keepNext/>
            </w:pPr>
            <w:r>
              <w:t>12</w:t>
            </w:r>
          </w:p>
        </w:tc>
        <w:tc>
          <w:tcPr>
            <w:tcW w:w="119" w:type="dxa"/>
            <w:noWrap/>
            <w:vAlign w:val="bottom"/>
          </w:tcPr>
          <w:p w14:paraId="3F6DDC61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74AC4D34" w14:textId="77777777" w:rsidR="00417A57" w:rsidRDefault="00417A57" w:rsidP="00BE393B">
            <w:pPr>
              <w:pStyle w:val="TBodynormalNumber"/>
              <w:keepNext/>
            </w:pPr>
            <w:r>
              <w:t>99</w:t>
            </w:r>
          </w:p>
        </w:tc>
        <w:tc>
          <w:tcPr>
            <w:tcW w:w="119" w:type="dxa"/>
            <w:noWrap/>
            <w:vAlign w:val="bottom"/>
          </w:tcPr>
          <w:p w14:paraId="111AA72C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68C1063" w14:textId="77777777" w:rsidR="00417A57" w:rsidRDefault="00417A57" w:rsidP="00BE393B">
            <w:pPr>
              <w:pStyle w:val="TBodynormalNumber"/>
              <w:keepNext/>
            </w:pPr>
            <w:r>
              <w:t>725</w:t>
            </w:r>
          </w:p>
        </w:tc>
      </w:tr>
      <w:tr w:rsidR="00417A57" w14:paraId="11E3068D" w14:textId="77777777" w:rsidTr="00BE393B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9E34BB1" w14:textId="77777777" w:rsidR="00417A57" w:rsidRDefault="00417A57" w:rsidP="00BE393B">
            <w:pPr>
              <w:pStyle w:val="TBodynormalText"/>
            </w:pPr>
            <w:r>
              <w:t>Technology &amp; Infrastructure</w:t>
            </w:r>
          </w:p>
        </w:tc>
        <w:tc>
          <w:tcPr>
            <w:tcW w:w="119" w:type="dxa"/>
            <w:noWrap/>
            <w:vAlign w:val="bottom"/>
          </w:tcPr>
          <w:p w14:paraId="2FDBA210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7E514B6" w14:textId="77777777" w:rsidR="00417A57" w:rsidRDefault="00417A57" w:rsidP="00BE393B">
            <w:pPr>
              <w:pStyle w:val="TBodynormalNumber"/>
              <w:keepNext/>
            </w:pPr>
            <w:r>
              <w:t>161</w:t>
            </w:r>
          </w:p>
        </w:tc>
        <w:tc>
          <w:tcPr>
            <w:tcW w:w="119" w:type="dxa"/>
            <w:noWrap/>
            <w:vAlign w:val="bottom"/>
          </w:tcPr>
          <w:p w14:paraId="4A5835E0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3517AF36" w14:textId="77777777" w:rsidR="00417A57" w:rsidRDefault="00417A57" w:rsidP="00BE393B">
            <w:pPr>
              <w:pStyle w:val="TBodynormalNumber"/>
              <w:keepNext/>
            </w:pPr>
            <w:r>
              <w:t>179</w:t>
            </w:r>
          </w:p>
        </w:tc>
        <w:tc>
          <w:tcPr>
            <w:tcW w:w="119" w:type="dxa"/>
            <w:noWrap/>
            <w:vAlign w:val="bottom"/>
          </w:tcPr>
          <w:p w14:paraId="68A9867A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A98EAAF" w14:textId="77777777" w:rsidR="00417A57" w:rsidRDefault="00417A57" w:rsidP="00BE393B">
            <w:pPr>
              <w:pStyle w:val="TBodynormalNumber"/>
              <w:keepNext/>
            </w:pPr>
            <w:r>
              <w:t>11</w:t>
            </w:r>
          </w:p>
        </w:tc>
        <w:tc>
          <w:tcPr>
            <w:tcW w:w="119" w:type="dxa"/>
            <w:noWrap/>
            <w:vAlign w:val="bottom"/>
          </w:tcPr>
          <w:p w14:paraId="677018C8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273AF5C" w14:textId="77777777" w:rsidR="00417A57" w:rsidRDefault="00417A57" w:rsidP="00BE393B">
            <w:pPr>
              <w:pStyle w:val="TBodynormalNumber"/>
              <w:keepNext/>
            </w:pPr>
            <w:r>
              <w:t>39</w:t>
            </w:r>
          </w:p>
        </w:tc>
        <w:tc>
          <w:tcPr>
            <w:tcW w:w="119" w:type="dxa"/>
            <w:noWrap/>
            <w:vAlign w:val="bottom"/>
          </w:tcPr>
          <w:p w14:paraId="3B1B3C2E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1EE08FCC" w14:textId="77777777" w:rsidR="00417A57" w:rsidRDefault="00417A57" w:rsidP="00BE393B">
            <w:pPr>
              <w:pStyle w:val="TBodynormalNumber"/>
              <w:keepNext/>
            </w:pPr>
            <w:r>
              <w:t>26</w:t>
            </w:r>
          </w:p>
        </w:tc>
        <w:tc>
          <w:tcPr>
            <w:tcW w:w="119" w:type="dxa"/>
            <w:noWrap/>
            <w:vAlign w:val="bottom"/>
          </w:tcPr>
          <w:p w14:paraId="27F94BD8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21DF62EE" w14:textId="77777777" w:rsidR="00417A57" w:rsidRDefault="00417A57" w:rsidP="00BE393B">
            <w:pPr>
              <w:pStyle w:val="TBodynormalNumber"/>
              <w:keepNext/>
            </w:pPr>
            <w:r>
              <w:t>-33</w:t>
            </w:r>
          </w:p>
        </w:tc>
      </w:tr>
      <w:tr w:rsidR="00417A57" w14:paraId="4BE2FED4" w14:textId="77777777" w:rsidTr="00BE393B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D7F0AA4" w14:textId="77777777" w:rsidR="00417A57" w:rsidRPr="00F77A01" w:rsidRDefault="00417A57" w:rsidP="00BE393B">
            <w:pPr>
              <w:pStyle w:val="TBodynormalText"/>
              <w:rPr>
                <w:lang w:val="en-US"/>
              </w:rPr>
            </w:pPr>
            <w:r w:rsidRPr="0037673E">
              <w:rPr>
                <w:color w:val="auto"/>
                <w:lang w:val="en-US"/>
              </w:rPr>
              <w:t>Corporativo</w:t>
            </w:r>
            <w:r w:rsidRPr="008D0B1B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Outras </w:t>
            </w:r>
            <w:r w:rsidRPr="00494E0A">
              <w:rPr>
                <w:color w:val="auto"/>
                <w:lang w:val="en-US"/>
              </w:rPr>
              <w:t>Operações</w:t>
            </w:r>
            <w:r w:rsidRPr="008D0B1B">
              <w:rPr>
                <w:lang w:val="en-US"/>
              </w:rPr>
              <w:t>, Consolida</w:t>
            </w:r>
            <w:r>
              <w:rPr>
                <w:lang w:val="en-US"/>
              </w:rPr>
              <w:t>ção</w:t>
            </w:r>
          </w:p>
        </w:tc>
        <w:tc>
          <w:tcPr>
            <w:tcW w:w="119" w:type="dxa"/>
            <w:noWrap/>
            <w:vAlign w:val="bottom"/>
          </w:tcPr>
          <w:p w14:paraId="1DC810FE" w14:textId="77777777" w:rsidR="00417A57" w:rsidRPr="00F77A01" w:rsidRDefault="00417A57" w:rsidP="00BE393B">
            <w:pPr>
              <w:pStyle w:val="TBodynormalNumber"/>
              <w:keepNext/>
              <w:rPr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F40AAD4" w14:textId="77777777" w:rsidR="00417A57" w:rsidRDefault="00417A57" w:rsidP="00BE393B">
            <w:pPr>
              <w:pStyle w:val="TBodynormalNumber"/>
              <w:keepNext/>
            </w:pPr>
            <w:r>
              <w:t>18</w:t>
            </w:r>
          </w:p>
        </w:tc>
        <w:tc>
          <w:tcPr>
            <w:tcW w:w="119" w:type="dxa"/>
            <w:noWrap/>
            <w:vAlign w:val="bottom"/>
          </w:tcPr>
          <w:p w14:paraId="0EE65698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3594B4F3" w14:textId="77777777" w:rsidR="00417A57" w:rsidRDefault="00417A57" w:rsidP="00BE393B">
            <w:pPr>
              <w:pStyle w:val="TBodynormalNumber"/>
              <w:keepNext/>
            </w:pPr>
            <w:r>
              <w:t>14</w:t>
            </w:r>
          </w:p>
        </w:tc>
        <w:tc>
          <w:tcPr>
            <w:tcW w:w="119" w:type="dxa"/>
            <w:noWrap/>
            <w:vAlign w:val="bottom"/>
          </w:tcPr>
          <w:p w14:paraId="24EE9CCE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71024C19" w14:textId="77777777" w:rsidR="00417A57" w:rsidRDefault="00417A57" w:rsidP="00BE393B">
            <w:pPr>
              <w:pStyle w:val="TBodynormalNumber"/>
              <w:keepNext/>
            </w:pPr>
            <w:r>
              <w:t>-22</w:t>
            </w:r>
          </w:p>
        </w:tc>
        <w:tc>
          <w:tcPr>
            <w:tcW w:w="119" w:type="dxa"/>
            <w:noWrap/>
            <w:vAlign w:val="bottom"/>
          </w:tcPr>
          <w:p w14:paraId="002E3CF1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08E4A5B9" w14:textId="77777777" w:rsidR="00417A57" w:rsidRDefault="00417A57" w:rsidP="00BE393B">
            <w:pPr>
              <w:pStyle w:val="TBodynormalNumber"/>
              <w:keepNext/>
            </w:pPr>
            <w:r>
              <w:t>-67</w:t>
            </w:r>
          </w:p>
        </w:tc>
        <w:tc>
          <w:tcPr>
            <w:tcW w:w="119" w:type="dxa"/>
            <w:noWrap/>
            <w:vAlign w:val="bottom"/>
          </w:tcPr>
          <w:p w14:paraId="46B65837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5C630C10" w14:textId="77777777" w:rsidR="00417A57" w:rsidRDefault="00417A57" w:rsidP="00BE393B">
            <w:pPr>
              <w:pStyle w:val="TBodynormalNumber"/>
              <w:keepNext/>
            </w:pPr>
            <w:r>
              <w:t>-77</w:t>
            </w:r>
          </w:p>
        </w:tc>
        <w:tc>
          <w:tcPr>
            <w:tcW w:w="119" w:type="dxa"/>
            <w:noWrap/>
            <w:vAlign w:val="bottom"/>
          </w:tcPr>
          <w:p w14:paraId="5ED2A76A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26D7309" w14:textId="77777777" w:rsidR="00417A57" w:rsidRDefault="00417A57" w:rsidP="00BE393B">
            <w:pPr>
              <w:pStyle w:val="TBodynormalNumber"/>
              <w:keepNext/>
            </w:pPr>
            <w:r>
              <w:t>-15</w:t>
            </w:r>
          </w:p>
        </w:tc>
      </w:tr>
      <w:tr w:rsidR="00417A57" w14:paraId="71D95031" w14:textId="77777777" w:rsidTr="00BE393B">
        <w:tc>
          <w:tcPr>
            <w:tcW w:w="2914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5E56EDB2" w14:textId="77777777" w:rsidR="00417A57" w:rsidRDefault="00417A57" w:rsidP="00BE393B">
            <w:pPr>
              <w:pStyle w:val="TBodytotalText"/>
            </w:pPr>
            <w:bookmarkStart w:id="10" w:name="RANGE!B33:N33"/>
            <w:bookmarkEnd w:id="10"/>
            <w:r>
              <w:t>Grupo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47E9A7F8" w14:textId="77777777" w:rsidR="00417A57" w:rsidRDefault="00417A57" w:rsidP="00BE393B">
            <w:pPr>
              <w:pStyle w:val="TBodytotal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69DDBAEB" w14:textId="77777777" w:rsidR="00417A57" w:rsidRDefault="00417A57" w:rsidP="00BE393B">
            <w:pPr>
              <w:pStyle w:val="TBodytotalNumber"/>
            </w:pPr>
            <w:r>
              <w:t>2.827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7A58C3CD" w14:textId="77777777" w:rsidR="00417A57" w:rsidRDefault="00417A57" w:rsidP="00BE393B">
            <w:pPr>
              <w:pStyle w:val="TBodytotal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shd w:val="clear" w:color="000000" w:fill="DAD5C9"/>
            <w:noWrap/>
            <w:vAlign w:val="bottom"/>
          </w:tcPr>
          <w:p w14:paraId="3A5C8808" w14:textId="77777777" w:rsidR="00417A57" w:rsidRDefault="00417A57" w:rsidP="00BE393B">
            <w:pPr>
              <w:pStyle w:val="TBodytotalNumber"/>
            </w:pPr>
            <w:r>
              <w:t>3.636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0ADB7ECA" w14:textId="77777777" w:rsidR="00417A57" w:rsidRDefault="00417A57" w:rsidP="00BE393B">
            <w:pPr>
              <w:pStyle w:val="TBodytotal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219BC3BB" w14:textId="77777777" w:rsidR="00417A57" w:rsidRDefault="00417A57" w:rsidP="00BE393B">
            <w:pPr>
              <w:pStyle w:val="TBodytotalNumber"/>
            </w:pPr>
            <w:r>
              <w:t>29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6FB0A72F" w14:textId="77777777" w:rsidR="00417A57" w:rsidRDefault="00417A57" w:rsidP="00BE393B">
            <w:pPr>
              <w:pStyle w:val="TBodytotal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670AB680" w14:textId="77777777" w:rsidR="00417A57" w:rsidRDefault="00417A57" w:rsidP="00BE393B">
            <w:pPr>
              <w:pStyle w:val="TBodytotalNumber"/>
            </w:pPr>
            <w:r>
              <w:t>456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2108333B" w14:textId="77777777" w:rsidR="00417A57" w:rsidRDefault="00417A57" w:rsidP="00BE393B">
            <w:pPr>
              <w:pStyle w:val="TBodytotal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shd w:val="clear" w:color="000000" w:fill="DAD5C9"/>
            <w:noWrap/>
            <w:vAlign w:val="bottom"/>
          </w:tcPr>
          <w:p w14:paraId="52A21308" w14:textId="77777777" w:rsidR="00417A57" w:rsidRDefault="00417A57" w:rsidP="00BE393B">
            <w:pPr>
              <w:pStyle w:val="TBodytotalNumber"/>
            </w:pPr>
            <w:r>
              <w:t>649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2EC10761" w14:textId="77777777" w:rsidR="00417A57" w:rsidRDefault="00417A57" w:rsidP="00BE393B">
            <w:pPr>
              <w:pStyle w:val="TBodytotal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3E44D62D" w14:textId="77777777" w:rsidR="00417A57" w:rsidRDefault="00417A57" w:rsidP="00BE393B">
            <w:pPr>
              <w:pStyle w:val="TBodytotalNumber"/>
            </w:pPr>
            <w:r>
              <w:t>42</w:t>
            </w:r>
          </w:p>
        </w:tc>
      </w:tr>
      <w:bookmarkEnd w:id="2"/>
    </w:tbl>
    <w:p w14:paraId="4CD947E6" w14:textId="77777777" w:rsidR="00417A57" w:rsidRDefault="00417A57" w:rsidP="0032793B"/>
    <w:tbl>
      <w:tblPr>
        <w:tblW w:w="97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essemitteilung - Tabelle en!outarea_halbjahr"/>
        <w:tblDescription w:val="SNEID_c62dec0fc810469592f6cb012e699811"/>
      </w:tblPr>
      <w:tblGrid>
        <w:gridCol w:w="2912"/>
        <w:gridCol w:w="119"/>
        <w:gridCol w:w="1021"/>
        <w:gridCol w:w="119"/>
        <w:gridCol w:w="1021"/>
        <w:gridCol w:w="119"/>
        <w:gridCol w:w="1021"/>
        <w:gridCol w:w="119"/>
        <w:gridCol w:w="1021"/>
        <w:gridCol w:w="119"/>
        <w:gridCol w:w="1021"/>
        <w:gridCol w:w="119"/>
        <w:gridCol w:w="1021"/>
      </w:tblGrid>
      <w:tr w:rsidR="00417A57" w14:paraId="77FD3FD8" w14:textId="77777777" w:rsidTr="00BE393B">
        <w:tc>
          <w:tcPr>
            <w:tcW w:w="9754" w:type="dxa"/>
            <w:gridSpan w:val="13"/>
            <w:noWrap/>
            <w:vAlign w:val="bottom"/>
          </w:tcPr>
          <w:p w14:paraId="31612CB7" w14:textId="77777777" w:rsidR="00417A57" w:rsidRDefault="00417A57" w:rsidP="00BE393B">
            <w:pPr>
              <w:pStyle w:val="TTitleText"/>
            </w:pPr>
            <w:bookmarkStart w:id="11" w:name="SNEID_c62dec0fc810469592f6cb012e699811"/>
            <w:r>
              <w:t xml:space="preserve">Desempenho por </w:t>
            </w:r>
            <w:proofErr w:type="spellStart"/>
            <w:r>
              <w:t>Divisão</w:t>
            </w:r>
            <w:proofErr w:type="spellEnd"/>
            <w:r>
              <w:t xml:space="preserve"> – 1° </w:t>
            </w:r>
            <w:proofErr w:type="spellStart"/>
            <w:r>
              <w:t>semestre</w:t>
            </w:r>
            <w:proofErr w:type="spellEnd"/>
          </w:p>
        </w:tc>
      </w:tr>
      <w:tr w:rsidR="00417A57" w14:paraId="6052C014" w14:textId="77777777" w:rsidTr="00BE393B">
        <w:tc>
          <w:tcPr>
            <w:tcW w:w="2914" w:type="dxa"/>
            <w:tcBorders>
              <w:top w:val="single" w:sz="8" w:space="0" w:color="000000"/>
            </w:tcBorders>
            <w:noWrap/>
            <w:vAlign w:val="bottom"/>
          </w:tcPr>
          <w:p w14:paraId="498739BA" w14:textId="77777777" w:rsidR="00417A57" w:rsidRDefault="00417A57" w:rsidP="00BE393B">
            <w:pPr>
              <w:pStyle w:val="TDummy"/>
              <w:keepNext/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63BE82F0" w14:textId="77777777" w:rsidR="00417A57" w:rsidRDefault="00417A57" w:rsidP="00BE393B">
            <w:pPr>
              <w:pStyle w:val="TDummy"/>
              <w:keepNext/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1EB22062" w14:textId="77777777" w:rsidR="00417A57" w:rsidRDefault="00417A57" w:rsidP="00BE393B">
            <w:pPr>
              <w:pStyle w:val="TDummy"/>
              <w:keepNext/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3291185C" w14:textId="77777777" w:rsidR="00417A57" w:rsidRDefault="00417A57" w:rsidP="00BE393B">
            <w:pPr>
              <w:pStyle w:val="TDummy"/>
              <w:keepNext/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03604337" w14:textId="77777777" w:rsidR="00417A57" w:rsidRDefault="00417A57" w:rsidP="00BE393B">
            <w:pPr>
              <w:pStyle w:val="TDummy"/>
              <w:keepNext/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1EFF3487" w14:textId="77777777" w:rsidR="00417A57" w:rsidRDefault="00417A57" w:rsidP="00BE393B">
            <w:pPr>
              <w:pStyle w:val="TDummy"/>
              <w:keepNext/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3F8EE494" w14:textId="77777777" w:rsidR="00417A57" w:rsidRDefault="00417A57" w:rsidP="00BE393B">
            <w:pPr>
              <w:pStyle w:val="TDummy"/>
              <w:keepNext/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67E3CAD2" w14:textId="77777777" w:rsidR="00417A57" w:rsidRDefault="00417A57" w:rsidP="00BE393B">
            <w:pPr>
              <w:pStyle w:val="TDummy"/>
              <w:keepNext/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28E8B7F3" w14:textId="77777777" w:rsidR="00417A57" w:rsidRDefault="00417A57" w:rsidP="00BE393B">
            <w:pPr>
              <w:pStyle w:val="TDummy"/>
              <w:keepNext/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02E5C112" w14:textId="77777777" w:rsidR="00417A57" w:rsidRDefault="00417A57" w:rsidP="00BE393B">
            <w:pPr>
              <w:pStyle w:val="TDummy"/>
              <w:keepNext/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432C7035" w14:textId="77777777" w:rsidR="00417A57" w:rsidRDefault="00417A57" w:rsidP="00BE393B">
            <w:pPr>
              <w:pStyle w:val="TDummy"/>
              <w:keepNext/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1AD98297" w14:textId="77777777" w:rsidR="00417A57" w:rsidRDefault="00417A57" w:rsidP="00BE393B">
            <w:pPr>
              <w:pStyle w:val="TDummy"/>
              <w:keepNext/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2573A377" w14:textId="77777777" w:rsidR="00417A57" w:rsidRDefault="00417A57" w:rsidP="00BE393B">
            <w:pPr>
              <w:pStyle w:val="TDummy"/>
              <w:keepNext/>
            </w:pPr>
          </w:p>
        </w:tc>
      </w:tr>
      <w:tr w:rsidR="00417A57" w14:paraId="0C1B91C6" w14:textId="77777777" w:rsidTr="00BE393B">
        <w:tc>
          <w:tcPr>
            <w:tcW w:w="2914" w:type="dxa"/>
            <w:shd w:val="clear" w:color="000000" w:fill="FFFFFF"/>
            <w:noWrap/>
            <w:vAlign w:val="bottom"/>
          </w:tcPr>
          <w:p w14:paraId="619FB3C7" w14:textId="77777777" w:rsidR="00417A57" w:rsidRDefault="00417A57" w:rsidP="00BE393B">
            <w:pPr>
              <w:pStyle w:val="THeadfirstNumber"/>
            </w:pPr>
            <w:bookmarkStart w:id="12" w:name="RANGE!B37:N37"/>
            <w:bookmarkStart w:id="13" w:name="RANGE!B37"/>
            <w:bookmarkEnd w:id="12"/>
            <w:bookmarkEnd w:id="13"/>
          </w:p>
        </w:tc>
        <w:tc>
          <w:tcPr>
            <w:tcW w:w="119" w:type="dxa"/>
            <w:noWrap/>
            <w:vAlign w:val="bottom"/>
          </w:tcPr>
          <w:p w14:paraId="46C0C471" w14:textId="77777777" w:rsidR="00417A57" w:rsidRDefault="00417A57" w:rsidP="00BE393B">
            <w:pPr>
              <w:pStyle w:val="THeadfirstNumber"/>
            </w:pPr>
          </w:p>
        </w:tc>
        <w:tc>
          <w:tcPr>
            <w:tcW w:w="3301" w:type="dxa"/>
            <w:gridSpan w:val="5"/>
            <w:tcBorders>
              <w:bottom w:val="single" w:sz="4" w:space="0" w:color="A59C94"/>
            </w:tcBorders>
            <w:shd w:val="clear" w:color="000000" w:fill="FFFFFF"/>
            <w:vAlign w:val="bottom"/>
          </w:tcPr>
          <w:p w14:paraId="6C3CF326" w14:textId="77777777" w:rsidR="00417A57" w:rsidRDefault="00417A57" w:rsidP="00BE393B">
            <w:pPr>
              <w:pStyle w:val="THeadfirstNumber"/>
            </w:pPr>
            <w:r>
              <w:t>Vendas</w:t>
            </w:r>
          </w:p>
        </w:tc>
        <w:tc>
          <w:tcPr>
            <w:tcW w:w="119" w:type="dxa"/>
            <w:vAlign w:val="bottom"/>
          </w:tcPr>
          <w:p w14:paraId="7948D94F" w14:textId="77777777" w:rsidR="00417A57" w:rsidRDefault="00417A57" w:rsidP="00BE393B">
            <w:pPr>
              <w:pStyle w:val="THeadfirstNumber"/>
            </w:pPr>
          </w:p>
        </w:tc>
        <w:tc>
          <w:tcPr>
            <w:tcW w:w="3301" w:type="dxa"/>
            <w:gridSpan w:val="5"/>
            <w:tcBorders>
              <w:bottom w:val="single" w:sz="4" w:space="0" w:color="A59C94"/>
            </w:tcBorders>
            <w:shd w:val="clear" w:color="000000" w:fill="FFFFFF"/>
            <w:vAlign w:val="bottom"/>
          </w:tcPr>
          <w:p w14:paraId="7AC5AA1A" w14:textId="77777777" w:rsidR="00417A57" w:rsidRDefault="00417A57" w:rsidP="00BE393B">
            <w:pPr>
              <w:pStyle w:val="THeadfirstNumber"/>
            </w:pPr>
            <w:r>
              <w:t>EBITDA ajustado</w:t>
            </w:r>
          </w:p>
        </w:tc>
      </w:tr>
      <w:tr w:rsidR="00417A57" w14:paraId="41BB2F84" w14:textId="77777777" w:rsidTr="00BE393B">
        <w:tc>
          <w:tcPr>
            <w:tcW w:w="2914" w:type="dxa"/>
            <w:tcBorders>
              <w:bottom w:val="single" w:sz="4" w:space="0" w:color="000000"/>
            </w:tcBorders>
            <w:shd w:val="clear" w:color="000000" w:fill="FFFFFF"/>
            <w:noWrap/>
            <w:vAlign w:val="bottom"/>
          </w:tcPr>
          <w:p w14:paraId="18B402D1" w14:textId="77777777" w:rsidR="00417A57" w:rsidRDefault="00417A57" w:rsidP="00BE393B">
            <w:pPr>
              <w:pStyle w:val="THeadlastText"/>
            </w:pPr>
            <w:bookmarkStart w:id="14" w:name="RANGE!B38:N38"/>
            <w:bookmarkEnd w:id="14"/>
            <w:r>
              <w:t>em milhões de euros</w:t>
            </w:r>
          </w:p>
        </w:tc>
        <w:tc>
          <w:tcPr>
            <w:tcW w:w="119" w:type="dxa"/>
            <w:noWrap/>
            <w:vAlign w:val="bottom"/>
          </w:tcPr>
          <w:p w14:paraId="4CDCD402" w14:textId="77777777" w:rsidR="00417A57" w:rsidRDefault="00417A57" w:rsidP="00BE393B">
            <w:pPr>
              <w:pStyle w:val="THeadlast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4EBE2086" w14:textId="77777777" w:rsidR="00417A57" w:rsidRDefault="00417A57" w:rsidP="00BE393B">
            <w:pPr>
              <w:pStyle w:val="THeadlastNumber"/>
            </w:pPr>
            <w:r>
              <w:t>2020</w:t>
            </w:r>
          </w:p>
        </w:tc>
        <w:tc>
          <w:tcPr>
            <w:tcW w:w="119" w:type="dxa"/>
            <w:vAlign w:val="bottom"/>
          </w:tcPr>
          <w:p w14:paraId="6EF29FAD" w14:textId="77777777" w:rsidR="00417A57" w:rsidRDefault="00417A57" w:rsidP="00BE393B">
            <w:pPr>
              <w:pStyle w:val="THeadlast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6CE4985F" w14:textId="77777777" w:rsidR="00417A57" w:rsidRDefault="00417A57" w:rsidP="00BE393B">
            <w:pPr>
              <w:pStyle w:val="THeadlastNumberbold"/>
            </w:pPr>
            <w:bookmarkStart w:id="15" w:name="RANGE!F38:F45"/>
            <w:bookmarkEnd w:id="15"/>
            <w:r>
              <w:t>2021</w:t>
            </w:r>
          </w:p>
        </w:tc>
        <w:tc>
          <w:tcPr>
            <w:tcW w:w="119" w:type="dxa"/>
            <w:vAlign w:val="bottom"/>
          </w:tcPr>
          <w:p w14:paraId="18B65D57" w14:textId="77777777" w:rsidR="00417A57" w:rsidRDefault="00417A57" w:rsidP="00BE393B">
            <w:pPr>
              <w:pStyle w:val="THeadlast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27278A94" w14:textId="77777777" w:rsidR="00417A57" w:rsidRDefault="00417A57" w:rsidP="00BE393B">
            <w:pPr>
              <w:pStyle w:val="THeaddifferenceNumber"/>
              <w:keepNext/>
            </w:pPr>
            <w:bookmarkStart w:id="16" w:name="RANGE!H38:H45"/>
            <w:bookmarkEnd w:id="16"/>
            <w:r>
              <w:t>Variação em %</w:t>
            </w:r>
          </w:p>
        </w:tc>
        <w:tc>
          <w:tcPr>
            <w:tcW w:w="119" w:type="dxa"/>
            <w:vAlign w:val="bottom"/>
          </w:tcPr>
          <w:p w14:paraId="32FC1D8B" w14:textId="77777777" w:rsidR="00417A57" w:rsidRDefault="00417A57" w:rsidP="00BE393B">
            <w:pPr>
              <w:pStyle w:val="THeadlast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0D0625CE" w14:textId="77777777" w:rsidR="00417A57" w:rsidRDefault="00417A57" w:rsidP="00BE393B">
            <w:pPr>
              <w:pStyle w:val="THeadlastNumber"/>
            </w:pPr>
            <w:r>
              <w:t>2020</w:t>
            </w:r>
          </w:p>
        </w:tc>
        <w:tc>
          <w:tcPr>
            <w:tcW w:w="119" w:type="dxa"/>
            <w:vAlign w:val="bottom"/>
          </w:tcPr>
          <w:p w14:paraId="3FE50E2D" w14:textId="77777777" w:rsidR="00417A57" w:rsidRDefault="00417A57" w:rsidP="00BE393B">
            <w:pPr>
              <w:pStyle w:val="THeadlast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515DB2FB" w14:textId="77777777" w:rsidR="00417A57" w:rsidRDefault="00417A57" w:rsidP="00BE393B">
            <w:pPr>
              <w:pStyle w:val="THeadlastNumberbold"/>
            </w:pPr>
            <w:bookmarkStart w:id="17" w:name="RANGE!L38:L45"/>
            <w:bookmarkEnd w:id="17"/>
            <w:r>
              <w:t>2021</w:t>
            </w:r>
          </w:p>
        </w:tc>
        <w:tc>
          <w:tcPr>
            <w:tcW w:w="119" w:type="dxa"/>
            <w:vAlign w:val="bottom"/>
          </w:tcPr>
          <w:p w14:paraId="12A830D6" w14:textId="77777777" w:rsidR="00417A57" w:rsidRDefault="00417A57" w:rsidP="00BE393B">
            <w:pPr>
              <w:pStyle w:val="THeadlast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noWrap/>
            <w:vAlign w:val="bottom"/>
          </w:tcPr>
          <w:p w14:paraId="59663990" w14:textId="77777777" w:rsidR="00417A57" w:rsidRDefault="00417A57" w:rsidP="00BE393B">
            <w:pPr>
              <w:pStyle w:val="THeaddifferenceNumber"/>
              <w:keepNext/>
            </w:pPr>
            <w:bookmarkStart w:id="18" w:name="RANGE!N38:N45"/>
            <w:bookmarkEnd w:id="18"/>
            <w:r>
              <w:t>Variação em %</w:t>
            </w:r>
          </w:p>
        </w:tc>
      </w:tr>
      <w:tr w:rsidR="00417A57" w14:paraId="17E67A57" w14:textId="77777777" w:rsidTr="00BE393B">
        <w:tc>
          <w:tcPr>
            <w:tcW w:w="2914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451AAB80" w14:textId="77777777" w:rsidR="00417A57" w:rsidRDefault="00417A57" w:rsidP="00BE393B">
            <w:pPr>
              <w:pStyle w:val="TBodynormalText"/>
            </w:pPr>
            <w:r>
              <w:t>Specialty Additives</w:t>
            </w:r>
          </w:p>
        </w:tc>
        <w:tc>
          <w:tcPr>
            <w:tcW w:w="119" w:type="dxa"/>
            <w:noWrap/>
            <w:vAlign w:val="bottom"/>
          </w:tcPr>
          <w:p w14:paraId="2B323175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3FA014D2" w14:textId="77777777" w:rsidR="00417A57" w:rsidRDefault="00417A57" w:rsidP="00BE393B">
            <w:pPr>
              <w:pStyle w:val="TBodynormalNumber"/>
              <w:keepNext/>
            </w:pPr>
            <w:r>
              <w:t>1.600</w:t>
            </w:r>
          </w:p>
        </w:tc>
        <w:tc>
          <w:tcPr>
            <w:tcW w:w="119" w:type="dxa"/>
            <w:noWrap/>
            <w:vAlign w:val="bottom"/>
          </w:tcPr>
          <w:p w14:paraId="7B4B826B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1AD743AD" w14:textId="77777777" w:rsidR="00417A57" w:rsidRDefault="00417A57" w:rsidP="00BE393B">
            <w:pPr>
              <w:pStyle w:val="TBodynormalNumber"/>
              <w:keepNext/>
            </w:pPr>
            <w:r>
              <w:t>1.829</w:t>
            </w:r>
          </w:p>
        </w:tc>
        <w:tc>
          <w:tcPr>
            <w:tcW w:w="119" w:type="dxa"/>
            <w:noWrap/>
            <w:vAlign w:val="bottom"/>
          </w:tcPr>
          <w:p w14:paraId="4F4C009D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31C06CCA" w14:textId="77777777" w:rsidR="00417A57" w:rsidRDefault="00417A57" w:rsidP="00BE393B">
            <w:pPr>
              <w:pStyle w:val="TBodynormalNumber"/>
              <w:keepNext/>
            </w:pPr>
            <w:r>
              <w:t>14</w:t>
            </w:r>
          </w:p>
        </w:tc>
        <w:tc>
          <w:tcPr>
            <w:tcW w:w="119" w:type="dxa"/>
            <w:noWrap/>
            <w:vAlign w:val="bottom"/>
          </w:tcPr>
          <w:p w14:paraId="3E1A4E7C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1241C15E" w14:textId="77777777" w:rsidR="00417A57" w:rsidRDefault="00417A57" w:rsidP="00BE393B">
            <w:pPr>
              <w:pStyle w:val="TBodynormalNumber"/>
              <w:keepNext/>
            </w:pPr>
            <w:r>
              <w:t>442</w:t>
            </w:r>
          </w:p>
        </w:tc>
        <w:tc>
          <w:tcPr>
            <w:tcW w:w="119" w:type="dxa"/>
            <w:noWrap/>
            <w:vAlign w:val="bottom"/>
          </w:tcPr>
          <w:p w14:paraId="7FA3F036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4F43493E" w14:textId="77777777" w:rsidR="00417A57" w:rsidRDefault="00417A57" w:rsidP="00BE393B">
            <w:pPr>
              <w:pStyle w:val="TBodynormalNumber"/>
              <w:keepNext/>
            </w:pPr>
            <w:r>
              <w:t>515</w:t>
            </w:r>
          </w:p>
        </w:tc>
        <w:tc>
          <w:tcPr>
            <w:tcW w:w="119" w:type="dxa"/>
            <w:noWrap/>
            <w:vAlign w:val="bottom"/>
          </w:tcPr>
          <w:p w14:paraId="635DB2A7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1C9B966C" w14:textId="77777777" w:rsidR="00417A57" w:rsidRDefault="00417A57" w:rsidP="00BE393B">
            <w:pPr>
              <w:pStyle w:val="TBodynormalNumber"/>
              <w:keepNext/>
            </w:pPr>
            <w:r>
              <w:t>17</w:t>
            </w:r>
          </w:p>
        </w:tc>
      </w:tr>
      <w:tr w:rsidR="00417A57" w14:paraId="27C3A48A" w14:textId="77777777" w:rsidTr="00BE393B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7FF00B8E" w14:textId="77777777" w:rsidR="00417A57" w:rsidRDefault="00417A57" w:rsidP="00BE393B">
            <w:pPr>
              <w:pStyle w:val="TBodynormalText"/>
            </w:pPr>
            <w:r>
              <w:t>Nutrition &amp; Care</w:t>
            </w:r>
          </w:p>
        </w:tc>
        <w:tc>
          <w:tcPr>
            <w:tcW w:w="119" w:type="dxa"/>
            <w:noWrap/>
            <w:vAlign w:val="bottom"/>
          </w:tcPr>
          <w:p w14:paraId="36F85061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F307493" w14:textId="77777777" w:rsidR="00417A57" w:rsidRDefault="00417A57" w:rsidP="00BE393B">
            <w:pPr>
              <w:pStyle w:val="TBodynormalNumber"/>
              <w:keepNext/>
            </w:pPr>
            <w:r>
              <w:t>1.490</w:t>
            </w:r>
          </w:p>
        </w:tc>
        <w:tc>
          <w:tcPr>
            <w:tcW w:w="119" w:type="dxa"/>
            <w:noWrap/>
            <w:vAlign w:val="bottom"/>
          </w:tcPr>
          <w:p w14:paraId="30F5155A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4540F18A" w14:textId="77777777" w:rsidR="00417A57" w:rsidRDefault="00417A57" w:rsidP="00BE393B">
            <w:pPr>
              <w:pStyle w:val="TBodynormalNumber"/>
              <w:keepNext/>
            </w:pPr>
            <w:r>
              <w:t>1.618</w:t>
            </w:r>
          </w:p>
        </w:tc>
        <w:tc>
          <w:tcPr>
            <w:tcW w:w="119" w:type="dxa"/>
            <w:noWrap/>
            <w:vAlign w:val="bottom"/>
          </w:tcPr>
          <w:p w14:paraId="677F1EC9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2CCF531" w14:textId="77777777" w:rsidR="00417A57" w:rsidRDefault="00417A57" w:rsidP="00BE393B">
            <w:pPr>
              <w:pStyle w:val="TBodynormalNumber"/>
              <w:keepNext/>
            </w:pPr>
            <w:r>
              <w:t>9</w:t>
            </w:r>
          </w:p>
        </w:tc>
        <w:tc>
          <w:tcPr>
            <w:tcW w:w="119" w:type="dxa"/>
            <w:noWrap/>
            <w:vAlign w:val="bottom"/>
          </w:tcPr>
          <w:p w14:paraId="5BE7090E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9533707" w14:textId="77777777" w:rsidR="00417A57" w:rsidRDefault="00417A57" w:rsidP="00BE393B">
            <w:pPr>
              <w:pStyle w:val="TBodynormalNumber"/>
              <w:keepNext/>
            </w:pPr>
            <w:r>
              <w:t>286</w:t>
            </w:r>
          </w:p>
        </w:tc>
        <w:tc>
          <w:tcPr>
            <w:tcW w:w="119" w:type="dxa"/>
            <w:noWrap/>
            <w:vAlign w:val="bottom"/>
          </w:tcPr>
          <w:p w14:paraId="1872D253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07FB7846" w14:textId="77777777" w:rsidR="00417A57" w:rsidRDefault="00417A57" w:rsidP="00BE393B">
            <w:pPr>
              <w:pStyle w:val="TBodynormalNumber"/>
              <w:keepNext/>
            </w:pPr>
            <w:r>
              <w:t>325</w:t>
            </w:r>
          </w:p>
        </w:tc>
        <w:tc>
          <w:tcPr>
            <w:tcW w:w="119" w:type="dxa"/>
            <w:noWrap/>
            <w:vAlign w:val="bottom"/>
          </w:tcPr>
          <w:p w14:paraId="5541B8CB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55B39C2" w14:textId="77777777" w:rsidR="00417A57" w:rsidRDefault="00417A57" w:rsidP="00BE393B">
            <w:pPr>
              <w:pStyle w:val="TBodynormalNumber"/>
              <w:keepNext/>
            </w:pPr>
            <w:r>
              <w:t>14</w:t>
            </w:r>
          </w:p>
        </w:tc>
      </w:tr>
      <w:tr w:rsidR="00417A57" w14:paraId="68550DCE" w14:textId="77777777" w:rsidTr="00BE393B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78C0C8A" w14:textId="77777777" w:rsidR="00417A57" w:rsidRDefault="00417A57" w:rsidP="00BE393B">
            <w:pPr>
              <w:pStyle w:val="TBodynormalText"/>
            </w:pPr>
            <w:r>
              <w:t>Smart Materials</w:t>
            </w:r>
          </w:p>
        </w:tc>
        <w:tc>
          <w:tcPr>
            <w:tcW w:w="119" w:type="dxa"/>
            <w:noWrap/>
            <w:vAlign w:val="bottom"/>
          </w:tcPr>
          <w:p w14:paraId="72C9CBC4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29B22E7" w14:textId="77777777" w:rsidR="00417A57" w:rsidRDefault="00417A57" w:rsidP="00BE393B">
            <w:pPr>
              <w:pStyle w:val="TBodynormalNumber"/>
              <w:keepNext/>
            </w:pPr>
            <w:r>
              <w:t>1.579</w:t>
            </w:r>
          </w:p>
        </w:tc>
        <w:tc>
          <w:tcPr>
            <w:tcW w:w="119" w:type="dxa"/>
            <w:noWrap/>
            <w:vAlign w:val="bottom"/>
          </w:tcPr>
          <w:p w14:paraId="5496C5C4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372DE5D7" w14:textId="77777777" w:rsidR="00417A57" w:rsidRDefault="00417A57" w:rsidP="00BE393B">
            <w:pPr>
              <w:pStyle w:val="TBodynormalNumber"/>
              <w:keepNext/>
            </w:pPr>
            <w:r>
              <w:t>1.884</w:t>
            </w:r>
          </w:p>
        </w:tc>
        <w:tc>
          <w:tcPr>
            <w:tcW w:w="119" w:type="dxa"/>
            <w:noWrap/>
            <w:vAlign w:val="bottom"/>
          </w:tcPr>
          <w:p w14:paraId="76D749AF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3C32C3F2" w14:textId="77777777" w:rsidR="00417A57" w:rsidRDefault="00417A57" w:rsidP="00BE393B">
            <w:pPr>
              <w:pStyle w:val="TBodynormalNumber"/>
              <w:keepNext/>
            </w:pPr>
            <w:r>
              <w:t>19</w:t>
            </w:r>
          </w:p>
        </w:tc>
        <w:tc>
          <w:tcPr>
            <w:tcW w:w="119" w:type="dxa"/>
            <w:noWrap/>
            <w:vAlign w:val="bottom"/>
          </w:tcPr>
          <w:p w14:paraId="0294010C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02F8CC94" w14:textId="77777777" w:rsidR="00417A57" w:rsidRDefault="00417A57" w:rsidP="00BE393B">
            <w:pPr>
              <w:pStyle w:val="TBodynormalNumber"/>
              <w:keepNext/>
            </w:pPr>
            <w:r>
              <w:t>268</w:t>
            </w:r>
          </w:p>
        </w:tc>
        <w:tc>
          <w:tcPr>
            <w:tcW w:w="119" w:type="dxa"/>
            <w:noWrap/>
            <w:vAlign w:val="bottom"/>
          </w:tcPr>
          <w:p w14:paraId="1DCD0B7C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5E3E439F" w14:textId="77777777" w:rsidR="00417A57" w:rsidRDefault="00417A57" w:rsidP="00BE393B">
            <w:pPr>
              <w:pStyle w:val="TBodynormalNumber"/>
              <w:keepNext/>
            </w:pPr>
            <w:r>
              <w:t>350</w:t>
            </w:r>
          </w:p>
        </w:tc>
        <w:tc>
          <w:tcPr>
            <w:tcW w:w="119" w:type="dxa"/>
            <w:noWrap/>
            <w:vAlign w:val="bottom"/>
          </w:tcPr>
          <w:p w14:paraId="15B50A13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D50302D" w14:textId="77777777" w:rsidR="00417A57" w:rsidRDefault="00417A57" w:rsidP="00BE393B">
            <w:pPr>
              <w:pStyle w:val="TBodynormalNumber"/>
              <w:keepNext/>
            </w:pPr>
            <w:r>
              <w:t>31</w:t>
            </w:r>
          </w:p>
        </w:tc>
      </w:tr>
      <w:tr w:rsidR="00417A57" w14:paraId="742B0604" w14:textId="77777777" w:rsidTr="00BE393B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21FF8169" w14:textId="77777777" w:rsidR="00417A57" w:rsidRDefault="00417A57" w:rsidP="00BE393B">
            <w:pPr>
              <w:pStyle w:val="TBodynormalText"/>
            </w:pPr>
            <w:r>
              <w:t>Performance Materials</w:t>
            </w:r>
          </w:p>
        </w:tc>
        <w:tc>
          <w:tcPr>
            <w:tcW w:w="119" w:type="dxa"/>
            <w:noWrap/>
            <w:vAlign w:val="bottom"/>
          </w:tcPr>
          <w:p w14:paraId="6214705C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52763BF" w14:textId="77777777" w:rsidR="00417A57" w:rsidRDefault="00417A57" w:rsidP="00BE393B">
            <w:pPr>
              <w:pStyle w:val="TBodynormalNumber"/>
              <w:keepNext/>
            </w:pPr>
            <w:r>
              <w:t>1.022</w:t>
            </w:r>
          </w:p>
        </w:tc>
        <w:tc>
          <w:tcPr>
            <w:tcW w:w="119" w:type="dxa"/>
            <w:noWrap/>
            <w:vAlign w:val="bottom"/>
          </w:tcPr>
          <w:p w14:paraId="132A6690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5CAD636C" w14:textId="77777777" w:rsidR="00417A57" w:rsidRDefault="00417A57" w:rsidP="00BE393B">
            <w:pPr>
              <w:pStyle w:val="TBodynormalNumber"/>
              <w:keepNext/>
            </w:pPr>
            <w:r>
              <w:t>1.288</w:t>
            </w:r>
          </w:p>
        </w:tc>
        <w:tc>
          <w:tcPr>
            <w:tcW w:w="119" w:type="dxa"/>
            <w:noWrap/>
            <w:vAlign w:val="bottom"/>
          </w:tcPr>
          <w:p w14:paraId="02CC2085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C085293" w14:textId="77777777" w:rsidR="00417A57" w:rsidRDefault="00417A57" w:rsidP="00BE393B">
            <w:pPr>
              <w:pStyle w:val="TBodynormalNumber"/>
              <w:keepNext/>
            </w:pPr>
            <w:r>
              <w:t>26</w:t>
            </w:r>
          </w:p>
        </w:tc>
        <w:tc>
          <w:tcPr>
            <w:tcW w:w="119" w:type="dxa"/>
            <w:noWrap/>
            <w:vAlign w:val="bottom"/>
          </w:tcPr>
          <w:p w14:paraId="1654BD74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BF4D2D9" w14:textId="77777777" w:rsidR="00417A57" w:rsidRDefault="00417A57" w:rsidP="00BE393B">
            <w:pPr>
              <w:pStyle w:val="TBodynormalNumber"/>
              <w:keepNext/>
            </w:pPr>
            <w:r>
              <w:t>29</w:t>
            </w:r>
          </w:p>
        </w:tc>
        <w:tc>
          <w:tcPr>
            <w:tcW w:w="119" w:type="dxa"/>
            <w:noWrap/>
            <w:vAlign w:val="bottom"/>
          </w:tcPr>
          <w:p w14:paraId="0A49A228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45DE8B68" w14:textId="77777777" w:rsidR="00417A57" w:rsidRDefault="00417A57" w:rsidP="00BE393B">
            <w:pPr>
              <w:pStyle w:val="TBodynormalNumber"/>
              <w:keepNext/>
            </w:pPr>
            <w:r>
              <w:t>140</w:t>
            </w:r>
          </w:p>
        </w:tc>
        <w:tc>
          <w:tcPr>
            <w:tcW w:w="119" w:type="dxa"/>
            <w:noWrap/>
            <w:vAlign w:val="bottom"/>
          </w:tcPr>
          <w:p w14:paraId="0596FB70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0C38A553" w14:textId="77777777" w:rsidR="00417A57" w:rsidRDefault="00417A57" w:rsidP="00BE393B">
            <w:pPr>
              <w:pStyle w:val="TBodynormalNumber"/>
              <w:keepNext/>
            </w:pPr>
            <w:r>
              <w:t>383</w:t>
            </w:r>
          </w:p>
        </w:tc>
      </w:tr>
      <w:tr w:rsidR="00417A57" w14:paraId="3FE7F2E3" w14:textId="77777777" w:rsidTr="00BE393B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3192AF61" w14:textId="77777777" w:rsidR="00417A57" w:rsidRDefault="00417A57" w:rsidP="00BE393B">
            <w:pPr>
              <w:pStyle w:val="TBodynormalText"/>
            </w:pPr>
            <w:r>
              <w:t>Technology &amp; Infrastructure</w:t>
            </w:r>
          </w:p>
        </w:tc>
        <w:tc>
          <w:tcPr>
            <w:tcW w:w="119" w:type="dxa"/>
            <w:noWrap/>
            <w:vAlign w:val="bottom"/>
          </w:tcPr>
          <w:p w14:paraId="635EF3AE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CB73313" w14:textId="77777777" w:rsidR="00417A57" w:rsidRDefault="00417A57" w:rsidP="00BE393B">
            <w:pPr>
              <w:pStyle w:val="TBodynormalNumber"/>
              <w:keepNext/>
            </w:pPr>
            <w:r>
              <w:t>345</w:t>
            </w:r>
          </w:p>
        </w:tc>
        <w:tc>
          <w:tcPr>
            <w:tcW w:w="119" w:type="dxa"/>
            <w:noWrap/>
            <w:vAlign w:val="bottom"/>
          </w:tcPr>
          <w:p w14:paraId="2B2F4A14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5039A380" w14:textId="77777777" w:rsidR="00417A57" w:rsidRDefault="00417A57" w:rsidP="00BE393B">
            <w:pPr>
              <w:pStyle w:val="TBodynormalNumber"/>
              <w:keepNext/>
            </w:pPr>
            <w:r>
              <w:t>348</w:t>
            </w:r>
          </w:p>
        </w:tc>
        <w:tc>
          <w:tcPr>
            <w:tcW w:w="119" w:type="dxa"/>
            <w:noWrap/>
            <w:vAlign w:val="bottom"/>
          </w:tcPr>
          <w:p w14:paraId="4E425538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1CC1883" w14:textId="77777777" w:rsidR="00417A57" w:rsidRDefault="00417A57" w:rsidP="00BE393B">
            <w:pPr>
              <w:pStyle w:val="TBodynormalNumber"/>
              <w:keepNext/>
            </w:pPr>
            <w:r>
              <w:t>1</w:t>
            </w:r>
          </w:p>
        </w:tc>
        <w:tc>
          <w:tcPr>
            <w:tcW w:w="119" w:type="dxa"/>
            <w:noWrap/>
            <w:vAlign w:val="bottom"/>
          </w:tcPr>
          <w:p w14:paraId="6DD54B41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2AB4EB82" w14:textId="77777777" w:rsidR="00417A57" w:rsidRDefault="00417A57" w:rsidP="00BE393B">
            <w:pPr>
              <w:pStyle w:val="TBodynormalNumber"/>
              <w:keepNext/>
            </w:pPr>
            <w:r>
              <w:t>73</w:t>
            </w:r>
          </w:p>
        </w:tc>
        <w:tc>
          <w:tcPr>
            <w:tcW w:w="119" w:type="dxa"/>
            <w:noWrap/>
            <w:vAlign w:val="bottom"/>
          </w:tcPr>
          <w:p w14:paraId="79BBAD78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2FFACD3B" w14:textId="77777777" w:rsidR="00417A57" w:rsidRDefault="00417A57" w:rsidP="00BE393B">
            <w:pPr>
              <w:pStyle w:val="TBodynormalNumber"/>
              <w:keepNext/>
            </w:pPr>
            <w:r>
              <w:t>55</w:t>
            </w:r>
          </w:p>
        </w:tc>
        <w:tc>
          <w:tcPr>
            <w:tcW w:w="119" w:type="dxa"/>
            <w:noWrap/>
            <w:vAlign w:val="bottom"/>
          </w:tcPr>
          <w:p w14:paraId="43A014FE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F5235D4" w14:textId="77777777" w:rsidR="00417A57" w:rsidRDefault="00417A57" w:rsidP="00BE393B">
            <w:pPr>
              <w:pStyle w:val="TBodynormalNumber"/>
              <w:keepNext/>
            </w:pPr>
            <w:r>
              <w:t>-25</w:t>
            </w:r>
          </w:p>
        </w:tc>
      </w:tr>
      <w:tr w:rsidR="00417A57" w14:paraId="0561905A" w14:textId="77777777" w:rsidTr="00BE393B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05DC575" w14:textId="77777777" w:rsidR="00417A57" w:rsidRPr="003C003E" w:rsidRDefault="00417A57" w:rsidP="00BE393B">
            <w:pPr>
              <w:pStyle w:val="TBodynormalText"/>
              <w:rPr>
                <w:color w:val="auto"/>
                <w:lang w:val="en-US"/>
              </w:rPr>
            </w:pPr>
            <w:r w:rsidRPr="003C003E">
              <w:rPr>
                <w:color w:val="auto"/>
                <w:lang w:val="en-US"/>
              </w:rPr>
              <w:t xml:space="preserve">Corporativo, Outras </w:t>
            </w:r>
            <w:r w:rsidRPr="00494E0A">
              <w:rPr>
                <w:color w:val="auto"/>
                <w:lang w:val="en-US"/>
              </w:rPr>
              <w:t>Operações</w:t>
            </w:r>
            <w:r w:rsidRPr="003C003E">
              <w:rPr>
                <w:color w:val="auto"/>
                <w:lang w:val="en-US"/>
              </w:rPr>
              <w:t>, Consolidação</w:t>
            </w:r>
          </w:p>
        </w:tc>
        <w:tc>
          <w:tcPr>
            <w:tcW w:w="119" w:type="dxa"/>
            <w:noWrap/>
            <w:vAlign w:val="bottom"/>
          </w:tcPr>
          <w:p w14:paraId="686CEEEC" w14:textId="77777777" w:rsidR="00417A57" w:rsidRPr="00092FE1" w:rsidRDefault="00417A57" w:rsidP="00BE393B">
            <w:pPr>
              <w:pStyle w:val="TBodynormalNumber"/>
              <w:keepNext/>
              <w:rPr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3616B046" w14:textId="77777777" w:rsidR="00417A57" w:rsidRDefault="00417A57" w:rsidP="00BE393B">
            <w:pPr>
              <w:pStyle w:val="TBodynormalNumber"/>
              <w:keepNext/>
            </w:pPr>
            <w:r>
              <w:t>33</w:t>
            </w:r>
          </w:p>
        </w:tc>
        <w:tc>
          <w:tcPr>
            <w:tcW w:w="119" w:type="dxa"/>
            <w:noWrap/>
            <w:vAlign w:val="bottom"/>
          </w:tcPr>
          <w:p w14:paraId="1F752D6C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6D5C405A" w14:textId="77777777" w:rsidR="00417A57" w:rsidRDefault="00417A57" w:rsidP="00BE393B">
            <w:pPr>
              <w:pStyle w:val="TBodynormalNumber"/>
              <w:keepNext/>
            </w:pPr>
            <w:r>
              <w:t>27</w:t>
            </w:r>
          </w:p>
        </w:tc>
        <w:tc>
          <w:tcPr>
            <w:tcW w:w="119" w:type="dxa"/>
            <w:noWrap/>
            <w:vAlign w:val="bottom"/>
          </w:tcPr>
          <w:p w14:paraId="071DBEC6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B2C71FF" w14:textId="77777777" w:rsidR="00417A57" w:rsidRDefault="00417A57" w:rsidP="00BE393B">
            <w:pPr>
              <w:pStyle w:val="TBodynormalNumber"/>
              <w:keepNext/>
            </w:pPr>
            <w:r>
              <w:t>-18</w:t>
            </w:r>
          </w:p>
        </w:tc>
        <w:tc>
          <w:tcPr>
            <w:tcW w:w="119" w:type="dxa"/>
            <w:noWrap/>
            <w:vAlign w:val="bottom"/>
          </w:tcPr>
          <w:p w14:paraId="131E02BB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015B712A" w14:textId="77777777" w:rsidR="00417A57" w:rsidRDefault="00417A57" w:rsidP="00BE393B">
            <w:pPr>
              <w:pStyle w:val="TBodynormalNumber"/>
              <w:keepNext/>
            </w:pPr>
            <w:r>
              <w:t>-128</w:t>
            </w:r>
          </w:p>
        </w:tc>
        <w:tc>
          <w:tcPr>
            <w:tcW w:w="119" w:type="dxa"/>
            <w:noWrap/>
            <w:vAlign w:val="bottom"/>
          </w:tcPr>
          <w:p w14:paraId="2C1118B3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26ED4699" w14:textId="77777777" w:rsidR="00417A57" w:rsidRDefault="00417A57" w:rsidP="00BE393B">
            <w:pPr>
              <w:pStyle w:val="TBodynormalNumber"/>
              <w:keepNext/>
            </w:pPr>
            <w:r>
              <w:t>-148</w:t>
            </w:r>
          </w:p>
        </w:tc>
        <w:tc>
          <w:tcPr>
            <w:tcW w:w="119" w:type="dxa"/>
            <w:noWrap/>
            <w:vAlign w:val="bottom"/>
          </w:tcPr>
          <w:p w14:paraId="77BA2A11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3BECC580" w14:textId="77777777" w:rsidR="00417A57" w:rsidRDefault="00417A57" w:rsidP="00BE393B">
            <w:pPr>
              <w:pStyle w:val="TBodynormalNumber"/>
              <w:keepNext/>
            </w:pPr>
            <w:r>
              <w:t>-16</w:t>
            </w:r>
          </w:p>
        </w:tc>
      </w:tr>
      <w:tr w:rsidR="00417A57" w14:paraId="75A14CC1" w14:textId="77777777" w:rsidTr="00BE393B">
        <w:tc>
          <w:tcPr>
            <w:tcW w:w="2914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0AEB7FCD" w14:textId="77777777" w:rsidR="00417A57" w:rsidRDefault="00417A57" w:rsidP="00BE393B">
            <w:pPr>
              <w:pStyle w:val="TBodytotalText"/>
            </w:pPr>
            <w:bookmarkStart w:id="19" w:name="RANGE!B45:N45"/>
            <w:bookmarkEnd w:id="19"/>
            <w:r>
              <w:t>Grupo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07928A4E" w14:textId="77777777" w:rsidR="00417A57" w:rsidRDefault="00417A57" w:rsidP="00BE393B">
            <w:pPr>
              <w:pStyle w:val="TBodytotal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1BD099F8" w14:textId="77777777" w:rsidR="00417A57" w:rsidRDefault="00417A57" w:rsidP="00BE393B">
            <w:pPr>
              <w:pStyle w:val="TBodytotalNumber"/>
            </w:pPr>
            <w:r>
              <w:t>6.069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2CAF8B72" w14:textId="77777777" w:rsidR="00417A57" w:rsidRDefault="00417A57" w:rsidP="00BE393B">
            <w:pPr>
              <w:pStyle w:val="TBodytotal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shd w:val="clear" w:color="000000" w:fill="DAD5C9"/>
            <w:noWrap/>
            <w:vAlign w:val="bottom"/>
          </w:tcPr>
          <w:p w14:paraId="658571C6" w14:textId="77777777" w:rsidR="00417A57" w:rsidRDefault="00417A57" w:rsidP="00BE393B">
            <w:pPr>
              <w:pStyle w:val="TBodytotalNumber"/>
            </w:pPr>
            <w:r>
              <w:t>6.994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4B6A9F35" w14:textId="77777777" w:rsidR="00417A57" w:rsidRDefault="00417A57" w:rsidP="00BE393B">
            <w:pPr>
              <w:pStyle w:val="TBodytotal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546A8BC5" w14:textId="77777777" w:rsidR="00417A57" w:rsidRDefault="00417A57" w:rsidP="00BE393B">
            <w:pPr>
              <w:pStyle w:val="TBodytotalNumber"/>
            </w:pPr>
            <w:r>
              <w:t>15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1680E467" w14:textId="77777777" w:rsidR="00417A57" w:rsidRDefault="00417A57" w:rsidP="00BE393B">
            <w:pPr>
              <w:pStyle w:val="TBodytotal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69C7031B" w14:textId="77777777" w:rsidR="00417A57" w:rsidRDefault="00417A57" w:rsidP="00BE393B">
            <w:pPr>
              <w:pStyle w:val="TBodytotalNumber"/>
            </w:pPr>
            <w:r>
              <w:t>970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12CF0BC9" w14:textId="77777777" w:rsidR="00417A57" w:rsidRDefault="00417A57" w:rsidP="00BE393B">
            <w:pPr>
              <w:pStyle w:val="TBodytotal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shd w:val="clear" w:color="000000" w:fill="DAD5C9"/>
            <w:noWrap/>
            <w:vAlign w:val="bottom"/>
          </w:tcPr>
          <w:p w14:paraId="2C03E3DB" w14:textId="77777777" w:rsidR="00417A57" w:rsidRDefault="00417A57" w:rsidP="00BE393B">
            <w:pPr>
              <w:pStyle w:val="TBodytotalNumber"/>
            </w:pPr>
            <w:r>
              <w:t>1.237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2C490720" w14:textId="77777777" w:rsidR="00417A57" w:rsidRDefault="00417A57" w:rsidP="00BE393B">
            <w:pPr>
              <w:pStyle w:val="TBodytotal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08A323CE" w14:textId="77777777" w:rsidR="00417A57" w:rsidRDefault="00417A57" w:rsidP="00BE393B">
            <w:pPr>
              <w:pStyle w:val="TBodytotalNumber"/>
            </w:pPr>
            <w:r>
              <w:t>28</w:t>
            </w:r>
          </w:p>
        </w:tc>
      </w:tr>
      <w:bookmarkEnd w:id="11"/>
    </w:tbl>
    <w:p w14:paraId="30BD314D" w14:textId="77777777" w:rsidR="00417A57" w:rsidRDefault="00417A57" w:rsidP="0032793B"/>
    <w:p w14:paraId="4CAF75AC" w14:textId="77777777" w:rsidR="00417A57" w:rsidRDefault="00417A57" w:rsidP="0032793B"/>
    <w:tbl>
      <w:tblPr>
        <w:tblW w:w="97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essemitteilung - Tabelle en!outarea_mitarbeiter"/>
        <w:tblDescription w:val="SNEID_ff49204d453a430193fb198056f74b99"/>
      </w:tblPr>
      <w:tblGrid>
        <w:gridCol w:w="7472"/>
        <w:gridCol w:w="119"/>
        <w:gridCol w:w="1021"/>
        <w:gridCol w:w="119"/>
        <w:gridCol w:w="1021"/>
      </w:tblGrid>
      <w:tr w:rsidR="00417A57" w14:paraId="3F842CFE" w14:textId="77777777" w:rsidTr="00BE393B">
        <w:tc>
          <w:tcPr>
            <w:tcW w:w="7472" w:type="dxa"/>
            <w:noWrap/>
            <w:vAlign w:val="bottom"/>
          </w:tcPr>
          <w:p w14:paraId="61C41B4C" w14:textId="77777777" w:rsidR="00417A57" w:rsidRDefault="00417A57" w:rsidP="00BE393B">
            <w:pPr>
              <w:pStyle w:val="TTitleText"/>
            </w:pPr>
            <w:bookmarkStart w:id="20" w:name="SNEID_ff49204d453a430193fb198056f74b99"/>
            <w:proofErr w:type="spellStart"/>
            <w:r>
              <w:lastRenderedPageBreak/>
              <w:t>Colaboradores</w:t>
            </w:r>
            <w:proofErr w:type="spellEnd"/>
            <w:r>
              <w:t xml:space="preserve"> por </w:t>
            </w:r>
            <w:proofErr w:type="spellStart"/>
            <w:r>
              <w:t>Divisão</w:t>
            </w:r>
            <w:proofErr w:type="spellEnd"/>
          </w:p>
        </w:tc>
        <w:tc>
          <w:tcPr>
            <w:tcW w:w="119" w:type="dxa"/>
            <w:noWrap/>
            <w:vAlign w:val="bottom"/>
          </w:tcPr>
          <w:p w14:paraId="3B582CD1" w14:textId="77777777" w:rsidR="00417A57" w:rsidRDefault="00417A57" w:rsidP="00BE393B">
            <w:pPr>
              <w:pStyle w:val="TTitleText"/>
            </w:pPr>
          </w:p>
        </w:tc>
        <w:tc>
          <w:tcPr>
            <w:tcW w:w="1021" w:type="dxa"/>
            <w:noWrap/>
            <w:vAlign w:val="bottom"/>
          </w:tcPr>
          <w:p w14:paraId="40BC3195" w14:textId="77777777" w:rsidR="00417A57" w:rsidRDefault="00417A57" w:rsidP="00BE393B">
            <w:pPr>
              <w:pStyle w:val="TTitleText"/>
            </w:pPr>
          </w:p>
        </w:tc>
        <w:tc>
          <w:tcPr>
            <w:tcW w:w="119" w:type="dxa"/>
            <w:noWrap/>
            <w:vAlign w:val="bottom"/>
          </w:tcPr>
          <w:p w14:paraId="0EC6EAF0" w14:textId="77777777" w:rsidR="00417A57" w:rsidRDefault="00417A57" w:rsidP="00BE393B">
            <w:pPr>
              <w:pStyle w:val="TTitleText"/>
            </w:pPr>
          </w:p>
        </w:tc>
        <w:tc>
          <w:tcPr>
            <w:tcW w:w="1021" w:type="dxa"/>
            <w:noWrap/>
            <w:vAlign w:val="bottom"/>
          </w:tcPr>
          <w:p w14:paraId="002FA972" w14:textId="77777777" w:rsidR="00417A57" w:rsidRDefault="00417A57" w:rsidP="00BE393B">
            <w:pPr>
              <w:pStyle w:val="TTitleText"/>
            </w:pPr>
          </w:p>
        </w:tc>
      </w:tr>
      <w:tr w:rsidR="00417A57" w14:paraId="00214882" w14:textId="77777777" w:rsidTr="00BE393B">
        <w:tc>
          <w:tcPr>
            <w:tcW w:w="7472" w:type="dxa"/>
            <w:tcBorders>
              <w:top w:val="single" w:sz="8" w:space="0" w:color="000000"/>
            </w:tcBorders>
            <w:noWrap/>
            <w:vAlign w:val="bottom"/>
          </w:tcPr>
          <w:p w14:paraId="4CBED70E" w14:textId="77777777" w:rsidR="00417A57" w:rsidRDefault="00417A57" w:rsidP="00BE393B">
            <w:pPr>
              <w:pStyle w:val="TDummy"/>
              <w:keepNext/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504D0096" w14:textId="77777777" w:rsidR="00417A57" w:rsidRDefault="00417A57" w:rsidP="00BE393B">
            <w:pPr>
              <w:pStyle w:val="TDummy"/>
              <w:keepNext/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351C65CA" w14:textId="77777777" w:rsidR="00417A57" w:rsidRDefault="00417A57" w:rsidP="00BE393B">
            <w:pPr>
              <w:pStyle w:val="TDummy"/>
              <w:keepNext/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1D79D46C" w14:textId="77777777" w:rsidR="00417A57" w:rsidRDefault="00417A57" w:rsidP="00BE393B">
            <w:pPr>
              <w:pStyle w:val="TDummy"/>
              <w:keepNext/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65D6E522" w14:textId="77777777" w:rsidR="00417A57" w:rsidRDefault="00417A57" w:rsidP="00BE393B">
            <w:pPr>
              <w:pStyle w:val="TDummy"/>
              <w:keepNext/>
            </w:pPr>
          </w:p>
        </w:tc>
      </w:tr>
      <w:tr w:rsidR="00417A57" w14:paraId="527A820B" w14:textId="77777777" w:rsidTr="00BE393B">
        <w:tc>
          <w:tcPr>
            <w:tcW w:w="7472" w:type="dxa"/>
            <w:tcBorders>
              <w:bottom w:val="single" w:sz="4" w:space="0" w:color="000000"/>
            </w:tcBorders>
            <w:shd w:val="clear" w:color="000000" w:fill="FFFFFF"/>
            <w:noWrap/>
            <w:vAlign w:val="bottom"/>
          </w:tcPr>
          <w:p w14:paraId="17E76012" w14:textId="77777777" w:rsidR="00417A57" w:rsidRDefault="00417A57" w:rsidP="00BE393B">
            <w:pPr>
              <w:pStyle w:val="THeadsingleText"/>
            </w:pPr>
            <w:bookmarkStart w:id="21" w:name="RANGE!B51:F51"/>
            <w:bookmarkEnd w:id="21"/>
          </w:p>
        </w:tc>
        <w:tc>
          <w:tcPr>
            <w:tcW w:w="119" w:type="dxa"/>
            <w:noWrap/>
            <w:vAlign w:val="bottom"/>
          </w:tcPr>
          <w:p w14:paraId="225D58E6" w14:textId="77777777" w:rsidR="00417A57" w:rsidRDefault="00417A57" w:rsidP="00BE393B">
            <w:pPr>
              <w:pStyle w:val="THeadsingleNumber"/>
            </w:pPr>
          </w:p>
        </w:tc>
        <w:tc>
          <w:tcPr>
            <w:tcW w:w="1021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14:paraId="722846E6" w14:textId="77777777" w:rsidR="00417A57" w:rsidRDefault="00417A57" w:rsidP="00BE393B">
            <w:pPr>
              <w:pStyle w:val="THeadsingleNumber"/>
            </w:pPr>
            <w:r>
              <w:t>31.12.2020</w:t>
            </w:r>
          </w:p>
        </w:tc>
        <w:tc>
          <w:tcPr>
            <w:tcW w:w="119" w:type="dxa"/>
            <w:vAlign w:val="bottom"/>
          </w:tcPr>
          <w:p w14:paraId="0E34E5AF" w14:textId="77777777" w:rsidR="00417A57" w:rsidRDefault="00417A57" w:rsidP="00BE393B">
            <w:pPr>
              <w:pStyle w:val="THeadsingleNumber"/>
            </w:pPr>
          </w:p>
        </w:tc>
        <w:tc>
          <w:tcPr>
            <w:tcW w:w="1021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14:paraId="1E5C356E" w14:textId="77777777" w:rsidR="00417A57" w:rsidRDefault="00417A57" w:rsidP="00BE393B">
            <w:pPr>
              <w:pStyle w:val="THeadsingleNumberbold"/>
            </w:pPr>
            <w:bookmarkStart w:id="22" w:name="RANGE!F51:F60"/>
            <w:bookmarkEnd w:id="22"/>
            <w:r>
              <w:t>30.6.2021</w:t>
            </w:r>
          </w:p>
        </w:tc>
      </w:tr>
      <w:tr w:rsidR="00417A57" w14:paraId="5B5F677B" w14:textId="77777777" w:rsidTr="00BE393B">
        <w:tc>
          <w:tcPr>
            <w:tcW w:w="7472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40DBCBF8" w14:textId="77777777" w:rsidR="00417A57" w:rsidRDefault="00417A57" w:rsidP="00BE393B">
            <w:pPr>
              <w:pStyle w:val="TBodynormalText"/>
            </w:pPr>
            <w:r>
              <w:t>Specialty Additives</w:t>
            </w:r>
          </w:p>
        </w:tc>
        <w:tc>
          <w:tcPr>
            <w:tcW w:w="119" w:type="dxa"/>
            <w:noWrap/>
            <w:vAlign w:val="bottom"/>
          </w:tcPr>
          <w:p w14:paraId="4B2CB91E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0DC68D71" w14:textId="77777777" w:rsidR="00417A57" w:rsidRDefault="00417A57" w:rsidP="00BE393B">
            <w:pPr>
              <w:pStyle w:val="TBodynormalNumber"/>
              <w:keepNext/>
            </w:pPr>
            <w:r>
              <w:t>3.666</w:t>
            </w:r>
          </w:p>
        </w:tc>
        <w:tc>
          <w:tcPr>
            <w:tcW w:w="119" w:type="dxa"/>
            <w:noWrap/>
            <w:vAlign w:val="bottom"/>
          </w:tcPr>
          <w:p w14:paraId="152CDDDA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7547B7B4" w14:textId="77777777" w:rsidR="00417A57" w:rsidRDefault="00417A57" w:rsidP="00BE393B">
            <w:pPr>
              <w:pStyle w:val="TBodynormalNumber"/>
              <w:keepNext/>
            </w:pPr>
            <w:r>
              <w:t>3.680</w:t>
            </w:r>
          </w:p>
        </w:tc>
      </w:tr>
      <w:tr w:rsidR="00417A57" w14:paraId="3D423077" w14:textId="77777777" w:rsidTr="00BE393B">
        <w:tc>
          <w:tcPr>
            <w:tcW w:w="7472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7611B385" w14:textId="77777777" w:rsidR="00417A57" w:rsidRDefault="00417A57" w:rsidP="00BE393B">
            <w:pPr>
              <w:pStyle w:val="TBodynormalText"/>
            </w:pPr>
            <w:r>
              <w:t>Nutrition &amp; Care</w:t>
            </w:r>
          </w:p>
        </w:tc>
        <w:tc>
          <w:tcPr>
            <w:tcW w:w="119" w:type="dxa"/>
            <w:noWrap/>
            <w:vAlign w:val="bottom"/>
          </w:tcPr>
          <w:p w14:paraId="2020ED5B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2A3E6F3C" w14:textId="77777777" w:rsidR="00417A57" w:rsidRDefault="00417A57" w:rsidP="00BE393B">
            <w:pPr>
              <w:pStyle w:val="TBodynormalNumber"/>
              <w:keepNext/>
            </w:pPr>
            <w:r>
              <w:t>5.295</w:t>
            </w:r>
          </w:p>
        </w:tc>
        <w:tc>
          <w:tcPr>
            <w:tcW w:w="119" w:type="dxa"/>
            <w:noWrap/>
            <w:vAlign w:val="bottom"/>
          </w:tcPr>
          <w:p w14:paraId="383E2CF6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444F9CE1" w14:textId="77777777" w:rsidR="00417A57" w:rsidRDefault="00417A57" w:rsidP="00BE393B">
            <w:pPr>
              <w:pStyle w:val="TBodynormalNumber"/>
              <w:keepNext/>
            </w:pPr>
            <w:r>
              <w:t>5.323</w:t>
            </w:r>
          </w:p>
        </w:tc>
      </w:tr>
      <w:tr w:rsidR="00417A57" w14:paraId="4407F0AB" w14:textId="77777777" w:rsidTr="00BE393B">
        <w:tc>
          <w:tcPr>
            <w:tcW w:w="7472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2F4A1F12" w14:textId="77777777" w:rsidR="00417A57" w:rsidRDefault="00417A57" w:rsidP="00BE393B">
            <w:pPr>
              <w:pStyle w:val="TBodynormalText"/>
            </w:pPr>
            <w:r>
              <w:t>Smart Materials</w:t>
            </w:r>
          </w:p>
        </w:tc>
        <w:tc>
          <w:tcPr>
            <w:tcW w:w="119" w:type="dxa"/>
            <w:noWrap/>
            <w:vAlign w:val="bottom"/>
          </w:tcPr>
          <w:p w14:paraId="4996C736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38653C02" w14:textId="77777777" w:rsidR="00417A57" w:rsidRDefault="00417A57" w:rsidP="00BE393B">
            <w:pPr>
              <w:pStyle w:val="TBodynormalNumber"/>
              <w:keepNext/>
            </w:pPr>
            <w:r>
              <w:t>7.874</w:t>
            </w:r>
          </w:p>
        </w:tc>
        <w:tc>
          <w:tcPr>
            <w:tcW w:w="119" w:type="dxa"/>
            <w:noWrap/>
            <w:vAlign w:val="bottom"/>
          </w:tcPr>
          <w:p w14:paraId="1EBBE6F4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2997EA65" w14:textId="77777777" w:rsidR="00417A57" w:rsidRDefault="00417A57" w:rsidP="00BE393B">
            <w:pPr>
              <w:pStyle w:val="TBodynormalNumber"/>
              <w:keepNext/>
            </w:pPr>
            <w:r>
              <w:t>7.765</w:t>
            </w:r>
          </w:p>
        </w:tc>
      </w:tr>
      <w:tr w:rsidR="00417A57" w14:paraId="7A128706" w14:textId="77777777" w:rsidTr="00BE393B">
        <w:tc>
          <w:tcPr>
            <w:tcW w:w="7472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7FA8B100" w14:textId="77777777" w:rsidR="00417A57" w:rsidRDefault="00417A57" w:rsidP="00BE393B">
            <w:pPr>
              <w:pStyle w:val="TBodynormalText"/>
            </w:pPr>
            <w:r>
              <w:t>Performance Materials</w:t>
            </w:r>
          </w:p>
        </w:tc>
        <w:tc>
          <w:tcPr>
            <w:tcW w:w="119" w:type="dxa"/>
            <w:noWrap/>
            <w:vAlign w:val="bottom"/>
          </w:tcPr>
          <w:p w14:paraId="059B47E3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31217EBF" w14:textId="77777777" w:rsidR="00417A57" w:rsidRDefault="00417A57" w:rsidP="00BE393B">
            <w:pPr>
              <w:pStyle w:val="TBodynormalNumber"/>
              <w:keepNext/>
            </w:pPr>
            <w:r>
              <w:t>1.798</w:t>
            </w:r>
          </w:p>
        </w:tc>
        <w:tc>
          <w:tcPr>
            <w:tcW w:w="119" w:type="dxa"/>
            <w:noWrap/>
            <w:vAlign w:val="bottom"/>
          </w:tcPr>
          <w:p w14:paraId="6D083076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6E381F38" w14:textId="77777777" w:rsidR="00417A57" w:rsidRDefault="00417A57" w:rsidP="00BE393B">
            <w:pPr>
              <w:pStyle w:val="TBodynormalNumber"/>
              <w:keepNext/>
            </w:pPr>
            <w:r>
              <w:t>1.791</w:t>
            </w:r>
          </w:p>
        </w:tc>
      </w:tr>
      <w:tr w:rsidR="00417A57" w14:paraId="015C7C2A" w14:textId="77777777" w:rsidTr="00BE393B">
        <w:tc>
          <w:tcPr>
            <w:tcW w:w="7472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33D2EFBC" w14:textId="77777777" w:rsidR="00417A57" w:rsidRDefault="00417A57" w:rsidP="00BE393B">
            <w:pPr>
              <w:pStyle w:val="TBodynormalText"/>
            </w:pPr>
            <w:r>
              <w:t>Technology &amp; Infrastructure</w:t>
            </w:r>
          </w:p>
        </w:tc>
        <w:tc>
          <w:tcPr>
            <w:tcW w:w="119" w:type="dxa"/>
            <w:noWrap/>
            <w:vAlign w:val="bottom"/>
          </w:tcPr>
          <w:p w14:paraId="3E43D132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ABD3318" w14:textId="77777777" w:rsidR="00417A57" w:rsidRDefault="00417A57" w:rsidP="00BE393B">
            <w:pPr>
              <w:pStyle w:val="TBodynormalNumber"/>
              <w:keepNext/>
            </w:pPr>
            <w:r>
              <w:t>8.711</w:t>
            </w:r>
          </w:p>
        </w:tc>
        <w:tc>
          <w:tcPr>
            <w:tcW w:w="119" w:type="dxa"/>
            <w:noWrap/>
            <w:vAlign w:val="bottom"/>
          </w:tcPr>
          <w:p w14:paraId="575E07F1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4D639BCA" w14:textId="77777777" w:rsidR="00417A57" w:rsidRDefault="00417A57" w:rsidP="00BE393B">
            <w:pPr>
              <w:pStyle w:val="TBodynormalNumber"/>
              <w:keepNext/>
            </w:pPr>
            <w:r>
              <w:t>8.413</w:t>
            </w:r>
          </w:p>
        </w:tc>
      </w:tr>
      <w:tr w:rsidR="00417A57" w14:paraId="7CBA6761" w14:textId="77777777" w:rsidTr="00BE393B">
        <w:tc>
          <w:tcPr>
            <w:tcW w:w="7472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413FA53" w14:textId="77777777" w:rsidR="00417A57" w:rsidRPr="009303F4" w:rsidRDefault="00417A57" w:rsidP="00BE393B">
            <w:pPr>
              <w:pStyle w:val="TBodynormalText"/>
              <w:rPr>
                <w:lang w:val="en-US"/>
              </w:rPr>
            </w:pPr>
            <w:r w:rsidRPr="003C003E">
              <w:rPr>
                <w:color w:val="auto"/>
                <w:lang w:val="en-US"/>
              </w:rPr>
              <w:t xml:space="preserve">Corporativo, Outras </w:t>
            </w:r>
            <w:r w:rsidRPr="00494E0A">
              <w:rPr>
                <w:color w:val="auto"/>
                <w:lang w:val="en-US"/>
              </w:rPr>
              <w:t>Operações</w:t>
            </w:r>
            <w:r w:rsidRPr="003C003E">
              <w:rPr>
                <w:color w:val="auto"/>
                <w:lang w:val="en-US"/>
              </w:rPr>
              <w:t>, Consolidação</w:t>
            </w:r>
          </w:p>
        </w:tc>
        <w:tc>
          <w:tcPr>
            <w:tcW w:w="119" w:type="dxa"/>
            <w:noWrap/>
            <w:vAlign w:val="bottom"/>
          </w:tcPr>
          <w:p w14:paraId="1D771C4B" w14:textId="77777777" w:rsidR="00417A57" w:rsidRPr="009303F4" w:rsidRDefault="00417A57" w:rsidP="00BE393B">
            <w:pPr>
              <w:pStyle w:val="TBodynormalNumber"/>
              <w:keepNext/>
              <w:rPr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7D853BE3" w14:textId="77777777" w:rsidR="00417A57" w:rsidRDefault="00417A57" w:rsidP="00BE393B">
            <w:pPr>
              <w:pStyle w:val="TBodynormalNumber"/>
              <w:keepNext/>
            </w:pPr>
            <w:r>
              <w:t>5.762</w:t>
            </w:r>
          </w:p>
        </w:tc>
        <w:tc>
          <w:tcPr>
            <w:tcW w:w="119" w:type="dxa"/>
            <w:noWrap/>
            <w:vAlign w:val="bottom"/>
          </w:tcPr>
          <w:p w14:paraId="7B578113" w14:textId="77777777" w:rsidR="00417A57" w:rsidRDefault="00417A57" w:rsidP="00BE393B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66FFC1CB" w14:textId="77777777" w:rsidR="00417A57" w:rsidRDefault="00417A57" w:rsidP="00BE393B">
            <w:pPr>
              <w:pStyle w:val="TBodynormalNumber"/>
              <w:keepNext/>
            </w:pPr>
            <w:r>
              <w:t>5.689</w:t>
            </w:r>
          </w:p>
        </w:tc>
      </w:tr>
      <w:tr w:rsidR="00417A57" w14:paraId="390FF52C" w14:textId="77777777" w:rsidTr="00BE393B">
        <w:tc>
          <w:tcPr>
            <w:tcW w:w="7472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161CDDE4" w14:textId="77777777" w:rsidR="00417A57" w:rsidRDefault="00417A57" w:rsidP="00BE393B">
            <w:pPr>
              <w:pStyle w:val="TBodytotalText"/>
            </w:pPr>
            <w:bookmarkStart w:id="23" w:name="RANGE!B60:F60"/>
            <w:bookmarkEnd w:id="23"/>
            <w:r>
              <w:t>Grupo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6C792BCC" w14:textId="77777777" w:rsidR="00417A57" w:rsidRDefault="00417A57" w:rsidP="00BE393B">
            <w:pPr>
              <w:pStyle w:val="TBodytotal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7F92253F" w14:textId="77777777" w:rsidR="00417A57" w:rsidRDefault="00417A57" w:rsidP="00BE393B">
            <w:pPr>
              <w:pStyle w:val="TBodytotalNumber"/>
            </w:pPr>
            <w:r>
              <w:t>33.106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24ABD0B5" w14:textId="77777777" w:rsidR="00417A57" w:rsidRDefault="00417A57" w:rsidP="00BE393B">
            <w:pPr>
              <w:pStyle w:val="TBodytotal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shd w:val="clear" w:color="000000" w:fill="DAD5C9"/>
            <w:noWrap/>
            <w:vAlign w:val="bottom"/>
          </w:tcPr>
          <w:p w14:paraId="6E727C1A" w14:textId="77777777" w:rsidR="00417A57" w:rsidRDefault="00417A57" w:rsidP="00BE393B">
            <w:pPr>
              <w:pStyle w:val="TBodytotalNumber"/>
            </w:pPr>
            <w:r>
              <w:t>32.661</w:t>
            </w:r>
          </w:p>
        </w:tc>
      </w:tr>
      <w:bookmarkEnd w:id="20"/>
    </w:tbl>
    <w:p w14:paraId="086DF47F" w14:textId="77777777" w:rsidR="004F11D2" w:rsidRPr="00C0391D" w:rsidRDefault="004F11D2" w:rsidP="000C7CBD">
      <w:pPr>
        <w:spacing w:line="240" w:lineRule="auto"/>
        <w:ind w:right="-2338"/>
        <w:rPr>
          <w:b/>
          <w:bCs/>
        </w:rPr>
      </w:pPr>
    </w:p>
    <w:p w14:paraId="26449758" w14:textId="77777777" w:rsidR="00E52EFF" w:rsidRPr="00C0391D" w:rsidRDefault="00E52EFF" w:rsidP="00E52EFF">
      <w:pPr>
        <w:spacing w:line="240" w:lineRule="auto"/>
        <w:ind w:right="-2338"/>
        <w:rPr>
          <w:b/>
          <w:bCs/>
        </w:rPr>
      </w:pPr>
    </w:p>
    <w:p w14:paraId="306EDB38" w14:textId="1CC7744A" w:rsidR="00E52EFF" w:rsidRPr="00C0391D" w:rsidRDefault="00E52EFF" w:rsidP="00E52EFF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C0391D">
        <w:rPr>
          <w:rFonts w:eastAsia="Lucida Sans Unicode" w:cs="Lucida Sans Unicode"/>
          <w:b/>
          <w:bCs/>
          <w:sz w:val="18"/>
          <w:szCs w:val="18"/>
          <w:bdr w:val="nil"/>
        </w:rPr>
        <w:t xml:space="preserve">Informações da Empresa </w:t>
      </w:r>
    </w:p>
    <w:p w14:paraId="27DCBB6D" w14:textId="73D47334" w:rsidR="00E52EFF" w:rsidRPr="00C0391D" w:rsidRDefault="00E52EFF" w:rsidP="00E52EFF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</w:rPr>
      </w:pPr>
      <w:bookmarkStart w:id="24" w:name="WfNextSeg"/>
      <w:r w:rsidRPr="00C0391D">
        <w:rPr>
          <w:rFonts w:eastAsia="Lucida Sans Unicode" w:cs="Lucida Sans Unicode"/>
          <w:sz w:val="18"/>
          <w:szCs w:val="18"/>
          <w:bdr w:val="nil"/>
        </w:rPr>
        <w:t>A Evonik é uma das líderes mundiais em especialidades químicas.</w:t>
      </w:r>
      <w:bookmarkEnd w:id="24"/>
      <w:r w:rsidRPr="00C0391D">
        <w:rPr>
          <w:rFonts w:eastAsia="Lucida Sans Unicode" w:cs="Lucida Sans Unicode"/>
          <w:sz w:val="18"/>
          <w:szCs w:val="18"/>
          <w:bdr w:val="nil"/>
        </w:rPr>
        <w:t xml:space="preserve"> A empresa atua em mais de 100 países em todo o mundo e gerou vendas de 12,2 bilhões de euros e um lucro operacional (EBITDA ajustado) de 1,91 bilhão de euros em 2020. A Evonik vai muito além da química para criar soluções inovadoras, rentáveis e sustentáveis para os clientes. </w:t>
      </w:r>
      <w:r w:rsidR="00176071">
        <w:rPr>
          <w:rFonts w:eastAsia="Lucida Sans Unicode" w:cs="Lucida Sans Unicode"/>
          <w:sz w:val="18"/>
          <w:szCs w:val="18"/>
          <w:bdr w:val="nil"/>
        </w:rPr>
        <w:t>Cerca</w:t>
      </w:r>
      <w:r w:rsidRPr="00C0391D">
        <w:rPr>
          <w:rFonts w:eastAsia="Lucida Sans Unicode" w:cs="Lucida Sans Unicode"/>
          <w:sz w:val="18"/>
          <w:szCs w:val="18"/>
          <w:bdr w:val="nil"/>
        </w:rPr>
        <w:t xml:space="preserve"> de 33.000 colaboradores trabalham juntos com um propósito em comum: queremos melhorar a vida das pessoas, todos os dias.</w:t>
      </w:r>
    </w:p>
    <w:p w14:paraId="7D0AE6C9" w14:textId="77777777" w:rsidR="00E52EFF" w:rsidRPr="00C0391D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7AF6BF57" w14:textId="77777777" w:rsidR="00E52EFF" w:rsidRPr="00C0391D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30E83B7" w14:textId="77777777" w:rsidR="00E5685D" w:rsidRPr="00C0391D" w:rsidRDefault="002B49D6" w:rsidP="00E5685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C0391D">
        <w:rPr>
          <w:rFonts w:eastAsia="Lucida Sans Unicode" w:cs="Lucida Sans Unicode"/>
          <w:b/>
          <w:bCs/>
          <w:sz w:val="18"/>
          <w:szCs w:val="18"/>
          <w:bdr w:val="nil"/>
        </w:rPr>
        <w:t>Nota legal</w:t>
      </w:r>
    </w:p>
    <w:p w14:paraId="5EDFC125" w14:textId="77777777" w:rsidR="00737945" w:rsidRPr="00C0391D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  <w:r w:rsidRPr="00C0391D">
        <w:rPr>
          <w:rFonts w:eastAsia="Lucida Sans Unicode" w:cs="Lucida Sans Unicode"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9019517" w14:textId="000647D8" w:rsidR="00737945" w:rsidRPr="00C0391D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69DCC669" w14:textId="77777777" w:rsidR="00C35687" w:rsidRPr="00C0391D" w:rsidRDefault="00C35687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36697E1E" w14:textId="77777777" w:rsidR="00C35687" w:rsidRPr="00C0391D" w:rsidRDefault="00C35687" w:rsidP="00C35687">
      <w:pPr>
        <w:spacing w:line="240" w:lineRule="auto"/>
        <w:rPr>
          <w:rFonts w:cs="Lucida Sans Unicode"/>
          <w:b/>
          <w:sz w:val="18"/>
          <w:szCs w:val="18"/>
        </w:rPr>
      </w:pPr>
      <w:r w:rsidRPr="00C0391D">
        <w:rPr>
          <w:rFonts w:cs="Lucida Sans Unicode"/>
          <w:b/>
          <w:sz w:val="18"/>
          <w:szCs w:val="18"/>
        </w:rPr>
        <w:t>Evonik Brasil Ltda.</w:t>
      </w:r>
    </w:p>
    <w:p w14:paraId="08181959" w14:textId="77777777" w:rsidR="00C35687" w:rsidRPr="00C0391D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C0391D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C0391D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C0391D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C0391D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C0391D">
        <w:rPr>
          <w:rFonts w:cs="Lucida Sans Unicode"/>
          <w:sz w:val="18"/>
          <w:szCs w:val="18"/>
        </w:rPr>
        <w:t>facebook.com/Evonik</w:t>
      </w:r>
    </w:p>
    <w:p w14:paraId="1AF9EEB2" w14:textId="77777777" w:rsidR="00C35687" w:rsidRPr="00C0391D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C0391D">
        <w:rPr>
          <w:rFonts w:cs="Lucida Sans Unicode"/>
          <w:sz w:val="18"/>
          <w:szCs w:val="18"/>
        </w:rPr>
        <w:t>instagram.com/</w:t>
      </w:r>
      <w:proofErr w:type="spellStart"/>
      <w:r w:rsidRPr="00C0391D">
        <w:rPr>
          <w:rFonts w:cs="Lucida Sans Unicode"/>
          <w:sz w:val="18"/>
          <w:szCs w:val="18"/>
        </w:rPr>
        <w:t>Evonik.Brasil</w:t>
      </w:r>
      <w:proofErr w:type="spellEnd"/>
    </w:p>
    <w:p w14:paraId="0146DF6F" w14:textId="77777777" w:rsidR="00C35687" w:rsidRPr="00C0391D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C0391D">
        <w:rPr>
          <w:rFonts w:cs="Lucida Sans Unicode"/>
          <w:sz w:val="18"/>
          <w:szCs w:val="18"/>
        </w:rPr>
        <w:t>youtube.com/</w:t>
      </w:r>
      <w:proofErr w:type="spellStart"/>
      <w:r w:rsidRPr="00C0391D">
        <w:rPr>
          <w:rFonts w:cs="Lucida Sans Unicode"/>
          <w:sz w:val="18"/>
          <w:szCs w:val="18"/>
        </w:rPr>
        <w:t>EvonikIndustries</w:t>
      </w:r>
      <w:proofErr w:type="spellEnd"/>
    </w:p>
    <w:p w14:paraId="16F664B7" w14:textId="77777777" w:rsidR="00C35687" w:rsidRPr="00C0391D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C0391D">
        <w:rPr>
          <w:rFonts w:cs="Lucida Sans Unicode"/>
          <w:sz w:val="18"/>
          <w:szCs w:val="18"/>
        </w:rPr>
        <w:t>linkedin.com/</w:t>
      </w:r>
      <w:proofErr w:type="spellStart"/>
      <w:r w:rsidRPr="00C0391D">
        <w:rPr>
          <w:rFonts w:cs="Lucida Sans Unicode"/>
          <w:sz w:val="18"/>
          <w:szCs w:val="18"/>
        </w:rPr>
        <w:t>company</w:t>
      </w:r>
      <w:proofErr w:type="spellEnd"/>
      <w:r w:rsidRPr="00C0391D">
        <w:rPr>
          <w:rFonts w:cs="Lucida Sans Unicode"/>
          <w:sz w:val="18"/>
          <w:szCs w:val="18"/>
        </w:rPr>
        <w:t>/Evonik</w:t>
      </w:r>
    </w:p>
    <w:p w14:paraId="05828D96" w14:textId="77777777" w:rsidR="00C35687" w:rsidRPr="00C0391D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C0391D">
        <w:rPr>
          <w:rFonts w:cs="Lucida Sans Unicode"/>
          <w:sz w:val="18"/>
          <w:szCs w:val="18"/>
        </w:rPr>
        <w:t>twitter.com/</w:t>
      </w:r>
      <w:proofErr w:type="spellStart"/>
      <w:r w:rsidRPr="00C0391D">
        <w:rPr>
          <w:rFonts w:cs="Lucida Sans Unicode"/>
          <w:sz w:val="18"/>
          <w:szCs w:val="18"/>
        </w:rPr>
        <w:t>Evonik</w:t>
      </w:r>
      <w:r w:rsidRPr="00C0391D">
        <w:rPr>
          <w:rStyle w:val="Hyperlink"/>
          <w:rFonts w:cs="Lucida Sans Unicode"/>
          <w:sz w:val="18"/>
          <w:szCs w:val="18"/>
        </w:rPr>
        <w:t>_BR</w:t>
      </w:r>
      <w:proofErr w:type="spellEnd"/>
    </w:p>
    <w:p w14:paraId="7C7E6EF2" w14:textId="77777777" w:rsidR="00C35687" w:rsidRPr="00C0391D" w:rsidRDefault="00C35687" w:rsidP="00C35687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594AA9F" w14:textId="77777777" w:rsidR="006D3293" w:rsidRPr="00C0391D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5CC16C5E" w14:textId="77777777" w:rsidR="00737945" w:rsidRPr="00C0391D" w:rsidRDefault="00737945" w:rsidP="00737945">
      <w:pPr>
        <w:spacing w:line="240" w:lineRule="auto"/>
        <w:rPr>
          <w:rFonts w:cs="Lucida Sans Unicode"/>
          <w:sz w:val="18"/>
          <w:szCs w:val="18"/>
        </w:rPr>
      </w:pPr>
      <w:r w:rsidRPr="00C0391D">
        <w:rPr>
          <w:rFonts w:cs="Lucida Sans Unicode"/>
          <w:b/>
          <w:sz w:val="18"/>
          <w:szCs w:val="18"/>
        </w:rPr>
        <w:t>Informações para imprensa</w:t>
      </w:r>
    </w:p>
    <w:p w14:paraId="03674A43" w14:textId="77777777" w:rsidR="00737945" w:rsidRPr="00C0391D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C0391D">
        <w:rPr>
          <w:rFonts w:cs="Lucida Sans Unicode"/>
          <w:sz w:val="18"/>
          <w:szCs w:val="18"/>
        </w:rPr>
        <w:t>Via Pública Comunicação - www.viapublicacomunicacao.com.br</w:t>
      </w:r>
    </w:p>
    <w:p w14:paraId="7731FB58" w14:textId="76790660" w:rsidR="00737945" w:rsidRPr="00C0391D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C0391D">
        <w:rPr>
          <w:rFonts w:cs="Lucida Sans Unicode"/>
          <w:sz w:val="18"/>
          <w:szCs w:val="18"/>
        </w:rPr>
        <w:t xml:space="preserve">Sheila </w:t>
      </w:r>
      <w:proofErr w:type="spellStart"/>
      <w:r w:rsidRPr="00C0391D">
        <w:rPr>
          <w:rFonts w:cs="Lucida Sans Unicode"/>
          <w:sz w:val="18"/>
          <w:szCs w:val="18"/>
        </w:rPr>
        <w:t>Diez</w:t>
      </w:r>
      <w:proofErr w:type="spellEnd"/>
      <w:r w:rsidRPr="00C0391D">
        <w:rPr>
          <w:rFonts w:cs="Lucida Sans Unicode"/>
          <w:sz w:val="18"/>
          <w:szCs w:val="18"/>
        </w:rPr>
        <w:t>: (11)</w:t>
      </w:r>
      <w:r w:rsidR="00ED1D9C" w:rsidRPr="00C0391D">
        <w:rPr>
          <w:rFonts w:cs="Lucida Sans Unicode"/>
          <w:sz w:val="18"/>
          <w:szCs w:val="18"/>
        </w:rPr>
        <w:t xml:space="preserve"> </w:t>
      </w:r>
      <w:r w:rsidRPr="00C0391D">
        <w:rPr>
          <w:rFonts w:cs="Lucida Sans Unicode"/>
          <w:sz w:val="18"/>
          <w:szCs w:val="18"/>
        </w:rPr>
        <w:t>3473.0255</w:t>
      </w:r>
      <w:r w:rsidR="00417A57">
        <w:rPr>
          <w:rFonts w:cs="Lucida Sans Unicode"/>
          <w:sz w:val="18"/>
          <w:szCs w:val="18"/>
        </w:rPr>
        <w:t xml:space="preserve"> </w:t>
      </w:r>
      <w:r w:rsidRPr="00C0391D">
        <w:rPr>
          <w:rFonts w:cs="Lucida Sans Unicode"/>
          <w:sz w:val="18"/>
          <w:szCs w:val="18"/>
        </w:rPr>
        <w:t>-</w:t>
      </w:r>
      <w:r w:rsidR="00417A57">
        <w:rPr>
          <w:rFonts w:cs="Lucida Sans Unicode"/>
          <w:sz w:val="18"/>
          <w:szCs w:val="18"/>
        </w:rPr>
        <w:t xml:space="preserve"> </w:t>
      </w:r>
      <w:r w:rsidRPr="00C0391D">
        <w:rPr>
          <w:rFonts w:cs="Lucida Sans Unicode"/>
          <w:sz w:val="18"/>
          <w:szCs w:val="18"/>
        </w:rPr>
        <w:t>sheila@viapublicacomunicacao.com.br</w:t>
      </w:r>
    </w:p>
    <w:p w14:paraId="53845175" w14:textId="40898C01" w:rsidR="00737945" w:rsidRPr="00C0391D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C0391D">
        <w:rPr>
          <w:rFonts w:cs="Lucida Sans Unicode"/>
          <w:sz w:val="18"/>
          <w:szCs w:val="18"/>
        </w:rPr>
        <w:t>Taís Augusto: (11) 3562.5555</w:t>
      </w:r>
      <w:r w:rsidR="00417A57">
        <w:rPr>
          <w:rFonts w:cs="Lucida Sans Unicode"/>
          <w:sz w:val="18"/>
          <w:szCs w:val="18"/>
        </w:rPr>
        <w:t xml:space="preserve"> </w:t>
      </w:r>
      <w:r w:rsidR="00ED1D9C" w:rsidRPr="00C0391D">
        <w:rPr>
          <w:rFonts w:cs="Lucida Sans Unicode"/>
          <w:sz w:val="18"/>
          <w:szCs w:val="18"/>
        </w:rPr>
        <w:t>-</w:t>
      </w:r>
      <w:r w:rsidR="00417A57">
        <w:rPr>
          <w:rFonts w:cs="Lucida Sans Unicode"/>
          <w:sz w:val="18"/>
          <w:szCs w:val="18"/>
        </w:rPr>
        <w:t xml:space="preserve"> </w:t>
      </w:r>
      <w:r w:rsidRPr="00C0391D">
        <w:rPr>
          <w:rFonts w:cs="Lucida Sans Unicode"/>
          <w:sz w:val="18"/>
          <w:szCs w:val="18"/>
        </w:rPr>
        <w:t>tais@viapublicacomunicacao.com.br</w:t>
      </w:r>
    </w:p>
    <w:p w14:paraId="76DE4968" w14:textId="77777777" w:rsidR="00DB2196" w:rsidRPr="00C0391D" w:rsidRDefault="00DB2196">
      <w:pPr>
        <w:spacing w:line="220" w:lineRule="exact"/>
        <w:rPr>
          <w:rFonts w:cs="Lucida Sans Unicode"/>
          <w:sz w:val="18"/>
          <w:szCs w:val="18"/>
        </w:rPr>
      </w:pPr>
    </w:p>
    <w:sectPr w:rsidR="00DB2196" w:rsidRPr="00C0391D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23BE6" w14:textId="77777777" w:rsidR="00636D16" w:rsidRDefault="00636D16">
      <w:pPr>
        <w:spacing w:line="240" w:lineRule="auto"/>
      </w:pPr>
      <w:r>
        <w:separator/>
      </w:r>
    </w:p>
  </w:endnote>
  <w:endnote w:type="continuationSeparator" w:id="0">
    <w:p w14:paraId="61D78068" w14:textId="77777777" w:rsidR="00636D16" w:rsidRDefault="00636D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vonik Prokyon Medium">
    <w:altName w:val="Calibri"/>
    <w:charset w:val="00"/>
    <w:family w:val="auto"/>
    <w:pitch w:val="variable"/>
    <w:sig w:usb0="20000007" w:usb1="00000001" w:usb2="00000000" w:usb3="00000000" w:csb0="00000193" w:csb1="00000000"/>
  </w:font>
  <w:font w:name="Evonik Prokyon">
    <w:altName w:val="Calibri"/>
    <w:charset w:val="00"/>
    <w:family w:val="auto"/>
    <w:pitch w:val="variable"/>
    <w:sig w:usb0="20000007" w:usb1="00000001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62992" w14:textId="77777777" w:rsidR="00D56417" w:rsidRDefault="00D564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Footer"/>
    </w:pP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Footer"/>
    </w:pP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46D5B" w14:textId="77777777" w:rsidR="00636D16" w:rsidRDefault="00636D16">
      <w:pPr>
        <w:spacing w:line="240" w:lineRule="auto"/>
      </w:pPr>
      <w:r>
        <w:separator/>
      </w:r>
    </w:p>
  </w:footnote>
  <w:footnote w:type="continuationSeparator" w:id="0">
    <w:p w14:paraId="4EFAFCD9" w14:textId="77777777" w:rsidR="00636D16" w:rsidRDefault="00636D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EA19" w14:textId="77777777" w:rsidR="00D56417" w:rsidRDefault="00D564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FD72AF1"/>
    <w:multiLevelType w:val="hybridMultilevel"/>
    <w:tmpl w:val="260046C4"/>
    <w:lvl w:ilvl="0" w:tplc="5394D8A6">
      <w:numFmt w:val="bullet"/>
      <w:lvlText w:val="•"/>
      <w:lvlJc w:val="left"/>
      <w:pPr>
        <w:ind w:left="460" w:hanging="320"/>
      </w:pPr>
      <w:rPr>
        <w:rFonts w:ascii="Lucida Sans Unicode" w:eastAsia="Lucida Sans Unicode" w:hAnsi="Lucida Sans Unicode" w:cs="Lucida Sans Unicode" w:hint="default"/>
        <w:w w:val="102"/>
        <w:sz w:val="22"/>
        <w:szCs w:val="22"/>
        <w:lang w:val="en-US" w:eastAsia="en-US" w:bidi="en-US"/>
      </w:rPr>
    </w:lvl>
    <w:lvl w:ilvl="1" w:tplc="02561620">
      <w:numFmt w:val="bullet"/>
      <w:lvlText w:val="•"/>
      <w:lvlJc w:val="left"/>
      <w:pPr>
        <w:ind w:left="1102" w:hanging="320"/>
      </w:pPr>
      <w:rPr>
        <w:rFonts w:hint="default"/>
        <w:lang w:val="en-US" w:eastAsia="en-US" w:bidi="en-US"/>
      </w:rPr>
    </w:lvl>
    <w:lvl w:ilvl="2" w:tplc="51882826">
      <w:numFmt w:val="bullet"/>
      <w:lvlText w:val="•"/>
      <w:lvlJc w:val="left"/>
      <w:pPr>
        <w:ind w:left="1745" w:hanging="320"/>
      </w:pPr>
      <w:rPr>
        <w:rFonts w:hint="default"/>
        <w:lang w:val="en-US" w:eastAsia="en-US" w:bidi="en-US"/>
      </w:rPr>
    </w:lvl>
    <w:lvl w:ilvl="3" w:tplc="C310D7B6">
      <w:numFmt w:val="bullet"/>
      <w:lvlText w:val="•"/>
      <w:lvlJc w:val="left"/>
      <w:pPr>
        <w:ind w:left="2388" w:hanging="320"/>
      </w:pPr>
      <w:rPr>
        <w:rFonts w:hint="default"/>
        <w:lang w:val="en-US" w:eastAsia="en-US" w:bidi="en-US"/>
      </w:rPr>
    </w:lvl>
    <w:lvl w:ilvl="4" w:tplc="2070C8C2">
      <w:numFmt w:val="bullet"/>
      <w:lvlText w:val="•"/>
      <w:lvlJc w:val="left"/>
      <w:pPr>
        <w:ind w:left="3031" w:hanging="320"/>
      </w:pPr>
      <w:rPr>
        <w:rFonts w:hint="default"/>
        <w:lang w:val="en-US" w:eastAsia="en-US" w:bidi="en-US"/>
      </w:rPr>
    </w:lvl>
    <w:lvl w:ilvl="5" w:tplc="36967444">
      <w:numFmt w:val="bullet"/>
      <w:lvlText w:val="•"/>
      <w:lvlJc w:val="left"/>
      <w:pPr>
        <w:ind w:left="3674" w:hanging="320"/>
      </w:pPr>
      <w:rPr>
        <w:rFonts w:hint="default"/>
        <w:lang w:val="en-US" w:eastAsia="en-US" w:bidi="en-US"/>
      </w:rPr>
    </w:lvl>
    <w:lvl w:ilvl="6" w:tplc="EA6A6474">
      <w:numFmt w:val="bullet"/>
      <w:lvlText w:val="•"/>
      <w:lvlJc w:val="left"/>
      <w:pPr>
        <w:ind w:left="4316" w:hanging="320"/>
      </w:pPr>
      <w:rPr>
        <w:rFonts w:hint="default"/>
        <w:lang w:val="en-US" w:eastAsia="en-US" w:bidi="en-US"/>
      </w:rPr>
    </w:lvl>
    <w:lvl w:ilvl="7" w:tplc="4052EEFC">
      <w:numFmt w:val="bullet"/>
      <w:lvlText w:val="•"/>
      <w:lvlJc w:val="left"/>
      <w:pPr>
        <w:ind w:left="4959" w:hanging="320"/>
      </w:pPr>
      <w:rPr>
        <w:rFonts w:hint="default"/>
        <w:lang w:val="en-US" w:eastAsia="en-US" w:bidi="en-US"/>
      </w:rPr>
    </w:lvl>
    <w:lvl w:ilvl="8" w:tplc="00C83C0C">
      <w:numFmt w:val="bullet"/>
      <w:lvlText w:val="•"/>
      <w:lvlJc w:val="left"/>
      <w:pPr>
        <w:ind w:left="5602" w:hanging="320"/>
      </w:pPr>
      <w:rPr>
        <w:rFonts w:hint="default"/>
        <w:lang w:val="en-US" w:eastAsia="en-US" w:bidi="en-US"/>
      </w:rPr>
    </w:lvl>
  </w:abstractNum>
  <w:abstractNum w:abstractNumId="16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97B1B"/>
    <w:multiLevelType w:val="hybridMultilevel"/>
    <w:tmpl w:val="08D05BB6"/>
    <w:lvl w:ilvl="0" w:tplc="0256162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44E93"/>
    <w:multiLevelType w:val="hybridMultilevel"/>
    <w:tmpl w:val="48FC51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F461EB"/>
    <w:multiLevelType w:val="hybridMultilevel"/>
    <w:tmpl w:val="783C1F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 w:eastAsia="en-US" w:bidi="en-U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8"/>
  </w:num>
  <w:num w:numId="13">
    <w:abstractNumId w:val="16"/>
  </w:num>
  <w:num w:numId="14">
    <w:abstractNumId w:val="10"/>
  </w:num>
  <w:num w:numId="15">
    <w:abstractNumId w:val="25"/>
  </w:num>
  <w:num w:numId="16">
    <w:abstractNumId w:val="24"/>
  </w:num>
  <w:num w:numId="17">
    <w:abstractNumId w:val="12"/>
  </w:num>
  <w:num w:numId="18">
    <w:abstractNumId w:val="14"/>
  </w:num>
  <w:num w:numId="19">
    <w:abstractNumId w:val="18"/>
  </w:num>
  <w:num w:numId="20">
    <w:abstractNumId w:val="16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9"/>
  </w:num>
  <w:num w:numId="33">
    <w:abstractNumId w:val="17"/>
  </w:num>
  <w:num w:numId="34">
    <w:abstractNumId w:val="11"/>
  </w:num>
  <w:num w:numId="35">
    <w:abstractNumId w:val="11"/>
  </w:num>
  <w:num w:numId="36">
    <w:abstractNumId w:val="19"/>
  </w:num>
  <w:num w:numId="37">
    <w:abstractNumId w:val="13"/>
  </w:num>
  <w:num w:numId="38">
    <w:abstractNumId w:val="23"/>
  </w:num>
  <w:num w:numId="39">
    <w:abstractNumId w:val="22"/>
  </w:num>
  <w:num w:numId="40">
    <w:abstractNumId w:val="20"/>
  </w:num>
  <w:num w:numId="41">
    <w:abstractNumId w:val="15"/>
  </w:num>
  <w:num w:numId="42">
    <w:abstractNumId w:val="26"/>
  </w:num>
  <w:num w:numId="43">
    <w:abstractNumId w:val="21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11182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3722"/>
    <w:rsid w:val="000145D3"/>
    <w:rsid w:val="00016DC9"/>
    <w:rsid w:val="00020EC3"/>
    <w:rsid w:val="000220FF"/>
    <w:rsid w:val="000268F6"/>
    <w:rsid w:val="00035360"/>
    <w:rsid w:val="00037F3D"/>
    <w:rsid w:val="000400C5"/>
    <w:rsid w:val="00046C72"/>
    <w:rsid w:val="00047E57"/>
    <w:rsid w:val="00081271"/>
    <w:rsid w:val="00084555"/>
    <w:rsid w:val="00086556"/>
    <w:rsid w:val="00092F83"/>
    <w:rsid w:val="000A0DDB"/>
    <w:rsid w:val="000A33EA"/>
    <w:rsid w:val="000A4EB6"/>
    <w:rsid w:val="000B1CC5"/>
    <w:rsid w:val="000B4D73"/>
    <w:rsid w:val="000C7CBD"/>
    <w:rsid w:val="000D081A"/>
    <w:rsid w:val="000D1DD8"/>
    <w:rsid w:val="000D7DF9"/>
    <w:rsid w:val="000E06AB"/>
    <w:rsid w:val="000E2184"/>
    <w:rsid w:val="000E26E8"/>
    <w:rsid w:val="000F70A3"/>
    <w:rsid w:val="000F7816"/>
    <w:rsid w:val="00103837"/>
    <w:rsid w:val="00124443"/>
    <w:rsid w:val="001268DB"/>
    <w:rsid w:val="00127653"/>
    <w:rsid w:val="0014346F"/>
    <w:rsid w:val="001435D4"/>
    <w:rsid w:val="00146ADE"/>
    <w:rsid w:val="00152126"/>
    <w:rsid w:val="00162B4B"/>
    <w:rsid w:val="001631E8"/>
    <w:rsid w:val="00165932"/>
    <w:rsid w:val="00166485"/>
    <w:rsid w:val="0017414F"/>
    <w:rsid w:val="00176071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A2964"/>
    <w:rsid w:val="001D0F3F"/>
    <w:rsid w:val="001F7C26"/>
    <w:rsid w:val="00215FA7"/>
    <w:rsid w:val="00221C32"/>
    <w:rsid w:val="00222345"/>
    <w:rsid w:val="002376F7"/>
    <w:rsid w:val="00241B78"/>
    <w:rsid w:val="002427AA"/>
    <w:rsid w:val="0024351A"/>
    <w:rsid w:val="0024351E"/>
    <w:rsid w:val="00243912"/>
    <w:rsid w:val="002527E3"/>
    <w:rsid w:val="00254229"/>
    <w:rsid w:val="00255D6A"/>
    <w:rsid w:val="0026696B"/>
    <w:rsid w:val="0027659F"/>
    <w:rsid w:val="0028445B"/>
    <w:rsid w:val="00287090"/>
    <w:rsid w:val="00290F07"/>
    <w:rsid w:val="002A02B8"/>
    <w:rsid w:val="002A0595"/>
    <w:rsid w:val="002A3233"/>
    <w:rsid w:val="002B1589"/>
    <w:rsid w:val="002B49D6"/>
    <w:rsid w:val="002B6293"/>
    <w:rsid w:val="002B645E"/>
    <w:rsid w:val="002B7AA4"/>
    <w:rsid w:val="002C10C6"/>
    <w:rsid w:val="002C12A0"/>
    <w:rsid w:val="002D206A"/>
    <w:rsid w:val="002D2996"/>
    <w:rsid w:val="002D4E6A"/>
    <w:rsid w:val="002D4EF0"/>
    <w:rsid w:val="002D5F0C"/>
    <w:rsid w:val="002E234E"/>
    <w:rsid w:val="002F235D"/>
    <w:rsid w:val="002F364E"/>
    <w:rsid w:val="002F49B3"/>
    <w:rsid w:val="002F567D"/>
    <w:rsid w:val="003004BF"/>
    <w:rsid w:val="0030174F"/>
    <w:rsid w:val="00301998"/>
    <w:rsid w:val="003067D4"/>
    <w:rsid w:val="0031020E"/>
    <w:rsid w:val="00310BD6"/>
    <w:rsid w:val="00316EC0"/>
    <w:rsid w:val="003217FB"/>
    <w:rsid w:val="0032793B"/>
    <w:rsid w:val="00327FAD"/>
    <w:rsid w:val="00345B60"/>
    <w:rsid w:val="003508E4"/>
    <w:rsid w:val="00356519"/>
    <w:rsid w:val="0036046D"/>
    <w:rsid w:val="00360DD4"/>
    <w:rsid w:val="00362743"/>
    <w:rsid w:val="00364D2E"/>
    <w:rsid w:val="00367974"/>
    <w:rsid w:val="00380845"/>
    <w:rsid w:val="003816AC"/>
    <w:rsid w:val="00384C52"/>
    <w:rsid w:val="00391FCB"/>
    <w:rsid w:val="003A023D"/>
    <w:rsid w:val="003A3DEB"/>
    <w:rsid w:val="003A711C"/>
    <w:rsid w:val="003B0614"/>
    <w:rsid w:val="003B5A2B"/>
    <w:rsid w:val="003C0198"/>
    <w:rsid w:val="003D50B7"/>
    <w:rsid w:val="003D68AE"/>
    <w:rsid w:val="003D6E84"/>
    <w:rsid w:val="003E4D56"/>
    <w:rsid w:val="003F1B7A"/>
    <w:rsid w:val="003F4CD0"/>
    <w:rsid w:val="003F72E3"/>
    <w:rsid w:val="004016F5"/>
    <w:rsid w:val="00403CD6"/>
    <w:rsid w:val="004146D3"/>
    <w:rsid w:val="0041752A"/>
    <w:rsid w:val="00417A57"/>
    <w:rsid w:val="00420303"/>
    <w:rsid w:val="00422338"/>
    <w:rsid w:val="00424F52"/>
    <w:rsid w:val="00427EFD"/>
    <w:rsid w:val="00443C28"/>
    <w:rsid w:val="00444065"/>
    <w:rsid w:val="004510EE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D2F15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6C49"/>
    <w:rsid w:val="005225EC"/>
    <w:rsid w:val="0052598D"/>
    <w:rsid w:val="00527E42"/>
    <w:rsid w:val="0053699C"/>
    <w:rsid w:val="00536E02"/>
    <w:rsid w:val="00537A93"/>
    <w:rsid w:val="00552ADA"/>
    <w:rsid w:val="00564C50"/>
    <w:rsid w:val="0057548A"/>
    <w:rsid w:val="00582643"/>
    <w:rsid w:val="00582C0E"/>
    <w:rsid w:val="00583E3E"/>
    <w:rsid w:val="00587C52"/>
    <w:rsid w:val="005A119C"/>
    <w:rsid w:val="005A20AE"/>
    <w:rsid w:val="005A4B9E"/>
    <w:rsid w:val="005A73EC"/>
    <w:rsid w:val="005A7D03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5F70"/>
    <w:rsid w:val="00636D16"/>
    <w:rsid w:val="00645F2F"/>
    <w:rsid w:val="00650E27"/>
    <w:rsid w:val="00652A75"/>
    <w:rsid w:val="00656399"/>
    <w:rsid w:val="00657675"/>
    <w:rsid w:val="006651E2"/>
    <w:rsid w:val="00665EC9"/>
    <w:rsid w:val="00672AFA"/>
    <w:rsid w:val="00685C14"/>
    <w:rsid w:val="00686BC7"/>
    <w:rsid w:val="006A1672"/>
    <w:rsid w:val="006A581A"/>
    <w:rsid w:val="006A5A6B"/>
    <w:rsid w:val="006B505B"/>
    <w:rsid w:val="006C6948"/>
    <w:rsid w:val="006C6EA8"/>
    <w:rsid w:val="006D3293"/>
    <w:rsid w:val="006D601A"/>
    <w:rsid w:val="006E2F15"/>
    <w:rsid w:val="006E434B"/>
    <w:rsid w:val="006F3AB9"/>
    <w:rsid w:val="006F48B3"/>
    <w:rsid w:val="006F60B3"/>
    <w:rsid w:val="00703A42"/>
    <w:rsid w:val="00704F98"/>
    <w:rsid w:val="00714DE0"/>
    <w:rsid w:val="00717EDA"/>
    <w:rsid w:val="0072366D"/>
    <w:rsid w:val="00723778"/>
    <w:rsid w:val="00723B85"/>
    <w:rsid w:val="00731495"/>
    <w:rsid w:val="00732B64"/>
    <w:rsid w:val="007341A2"/>
    <w:rsid w:val="00737945"/>
    <w:rsid w:val="00742651"/>
    <w:rsid w:val="00744FA6"/>
    <w:rsid w:val="007619E7"/>
    <w:rsid w:val="00763004"/>
    <w:rsid w:val="007676DC"/>
    <w:rsid w:val="00770879"/>
    <w:rsid w:val="007733D3"/>
    <w:rsid w:val="0077587D"/>
    <w:rsid w:val="00775D2E"/>
    <w:rsid w:val="007767AB"/>
    <w:rsid w:val="007817CA"/>
    <w:rsid w:val="00784360"/>
    <w:rsid w:val="007944DA"/>
    <w:rsid w:val="00794C1A"/>
    <w:rsid w:val="007956EC"/>
    <w:rsid w:val="007A2C47"/>
    <w:rsid w:val="007B2A58"/>
    <w:rsid w:val="007C1E2C"/>
    <w:rsid w:val="007C4857"/>
    <w:rsid w:val="007D02AA"/>
    <w:rsid w:val="007D0A09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7CB3"/>
    <w:rsid w:val="008101D6"/>
    <w:rsid w:val="0081515B"/>
    <w:rsid w:val="00816556"/>
    <w:rsid w:val="00816960"/>
    <w:rsid w:val="00816BD2"/>
    <w:rsid w:val="00825D88"/>
    <w:rsid w:val="00826438"/>
    <w:rsid w:val="008351F3"/>
    <w:rsid w:val="008352AA"/>
    <w:rsid w:val="00836B9A"/>
    <w:rsid w:val="00840CD4"/>
    <w:rsid w:val="0084389E"/>
    <w:rsid w:val="008462C3"/>
    <w:rsid w:val="00850B77"/>
    <w:rsid w:val="00850CEB"/>
    <w:rsid w:val="00860A6B"/>
    <w:rsid w:val="0086165E"/>
    <w:rsid w:val="0088508F"/>
    <w:rsid w:val="00885442"/>
    <w:rsid w:val="00897078"/>
    <w:rsid w:val="008A0D35"/>
    <w:rsid w:val="008A2AE8"/>
    <w:rsid w:val="008B03E0"/>
    <w:rsid w:val="008B1084"/>
    <w:rsid w:val="008B565B"/>
    <w:rsid w:val="008B7AFE"/>
    <w:rsid w:val="008C00D3"/>
    <w:rsid w:val="008C52EF"/>
    <w:rsid w:val="008D59A8"/>
    <w:rsid w:val="008D623B"/>
    <w:rsid w:val="008D6C5B"/>
    <w:rsid w:val="008E7921"/>
    <w:rsid w:val="008F1CB7"/>
    <w:rsid w:val="008F49C5"/>
    <w:rsid w:val="008F5C81"/>
    <w:rsid w:val="0090621C"/>
    <w:rsid w:val="009339D6"/>
    <w:rsid w:val="00935881"/>
    <w:rsid w:val="009454A0"/>
    <w:rsid w:val="00954060"/>
    <w:rsid w:val="009560C1"/>
    <w:rsid w:val="00960820"/>
    <w:rsid w:val="00966112"/>
    <w:rsid w:val="00971345"/>
    <w:rsid w:val="00972915"/>
    <w:rsid w:val="0097399F"/>
    <w:rsid w:val="009752DC"/>
    <w:rsid w:val="0097547F"/>
    <w:rsid w:val="00977987"/>
    <w:rsid w:val="009814C9"/>
    <w:rsid w:val="0098727A"/>
    <w:rsid w:val="009A16A5"/>
    <w:rsid w:val="009A37A3"/>
    <w:rsid w:val="009A7CDC"/>
    <w:rsid w:val="009B710C"/>
    <w:rsid w:val="009C0B75"/>
    <w:rsid w:val="009C0CD3"/>
    <w:rsid w:val="009C1699"/>
    <w:rsid w:val="009C2B65"/>
    <w:rsid w:val="009C40DA"/>
    <w:rsid w:val="009C5F4B"/>
    <w:rsid w:val="009D1F52"/>
    <w:rsid w:val="009D2BB4"/>
    <w:rsid w:val="009D5989"/>
    <w:rsid w:val="009E4892"/>
    <w:rsid w:val="009E709B"/>
    <w:rsid w:val="009F29FD"/>
    <w:rsid w:val="009F6AA2"/>
    <w:rsid w:val="00A13484"/>
    <w:rsid w:val="00A16154"/>
    <w:rsid w:val="00A24DF4"/>
    <w:rsid w:val="00A30BD0"/>
    <w:rsid w:val="00A333FB"/>
    <w:rsid w:val="00A34137"/>
    <w:rsid w:val="00A3644E"/>
    <w:rsid w:val="00A373D2"/>
    <w:rsid w:val="00A375B5"/>
    <w:rsid w:val="00A41C88"/>
    <w:rsid w:val="00A41D1A"/>
    <w:rsid w:val="00A525CB"/>
    <w:rsid w:val="00A54F2A"/>
    <w:rsid w:val="00A56426"/>
    <w:rsid w:val="00A60CE5"/>
    <w:rsid w:val="00A63DF5"/>
    <w:rsid w:val="00A64DD0"/>
    <w:rsid w:val="00A70C5E"/>
    <w:rsid w:val="00A712B8"/>
    <w:rsid w:val="00A804CC"/>
    <w:rsid w:val="00A81F2D"/>
    <w:rsid w:val="00A90CDB"/>
    <w:rsid w:val="00A94EC5"/>
    <w:rsid w:val="00A97CD7"/>
    <w:rsid w:val="00A97EAD"/>
    <w:rsid w:val="00AA15C6"/>
    <w:rsid w:val="00AB26DD"/>
    <w:rsid w:val="00AE3848"/>
    <w:rsid w:val="00AE601F"/>
    <w:rsid w:val="00AF0606"/>
    <w:rsid w:val="00AF4392"/>
    <w:rsid w:val="00AF6529"/>
    <w:rsid w:val="00AF7D27"/>
    <w:rsid w:val="00B175C1"/>
    <w:rsid w:val="00B2025B"/>
    <w:rsid w:val="00B31D5A"/>
    <w:rsid w:val="00B4686E"/>
    <w:rsid w:val="00B5137F"/>
    <w:rsid w:val="00B513BC"/>
    <w:rsid w:val="00B55880"/>
    <w:rsid w:val="00B5611F"/>
    <w:rsid w:val="00B56705"/>
    <w:rsid w:val="00B60308"/>
    <w:rsid w:val="00B64EAD"/>
    <w:rsid w:val="00B656C6"/>
    <w:rsid w:val="00B705E6"/>
    <w:rsid w:val="00B730DF"/>
    <w:rsid w:val="00B73500"/>
    <w:rsid w:val="00B75CA9"/>
    <w:rsid w:val="00B76103"/>
    <w:rsid w:val="00B811DE"/>
    <w:rsid w:val="00B8259D"/>
    <w:rsid w:val="00B83559"/>
    <w:rsid w:val="00B9317E"/>
    <w:rsid w:val="00BA41A7"/>
    <w:rsid w:val="00BA4C6A"/>
    <w:rsid w:val="00BA584D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B87"/>
    <w:rsid w:val="00BF7C77"/>
    <w:rsid w:val="00C0391D"/>
    <w:rsid w:val="00C0414C"/>
    <w:rsid w:val="00C100C6"/>
    <w:rsid w:val="00C122EB"/>
    <w:rsid w:val="00C12BA5"/>
    <w:rsid w:val="00C21FFE"/>
    <w:rsid w:val="00C2259A"/>
    <w:rsid w:val="00C242F2"/>
    <w:rsid w:val="00C251AD"/>
    <w:rsid w:val="00C30957"/>
    <w:rsid w:val="00C310A2"/>
    <w:rsid w:val="00C31302"/>
    <w:rsid w:val="00C33407"/>
    <w:rsid w:val="00C3403F"/>
    <w:rsid w:val="00C35687"/>
    <w:rsid w:val="00C4228E"/>
    <w:rsid w:val="00C4300F"/>
    <w:rsid w:val="00C44564"/>
    <w:rsid w:val="00C519DA"/>
    <w:rsid w:val="00C52AE5"/>
    <w:rsid w:val="00C60F15"/>
    <w:rsid w:val="00C7114A"/>
    <w:rsid w:val="00C930F0"/>
    <w:rsid w:val="00C94042"/>
    <w:rsid w:val="00C94C0D"/>
    <w:rsid w:val="00CA6F45"/>
    <w:rsid w:val="00CB3A53"/>
    <w:rsid w:val="00CB53E3"/>
    <w:rsid w:val="00CB7A42"/>
    <w:rsid w:val="00CD0E8F"/>
    <w:rsid w:val="00CD1EE7"/>
    <w:rsid w:val="00CD72B4"/>
    <w:rsid w:val="00CE2E92"/>
    <w:rsid w:val="00CE5516"/>
    <w:rsid w:val="00CF2E07"/>
    <w:rsid w:val="00CF3942"/>
    <w:rsid w:val="00D01E52"/>
    <w:rsid w:val="00D04B00"/>
    <w:rsid w:val="00D101C2"/>
    <w:rsid w:val="00D12103"/>
    <w:rsid w:val="00D17A9A"/>
    <w:rsid w:val="00D17C9E"/>
    <w:rsid w:val="00D37F3A"/>
    <w:rsid w:val="00D46695"/>
    <w:rsid w:val="00D46B4F"/>
    <w:rsid w:val="00D46DAB"/>
    <w:rsid w:val="00D50B3E"/>
    <w:rsid w:val="00D52194"/>
    <w:rsid w:val="00D5275A"/>
    <w:rsid w:val="00D56417"/>
    <w:rsid w:val="00D571CA"/>
    <w:rsid w:val="00D60C11"/>
    <w:rsid w:val="00D630D8"/>
    <w:rsid w:val="00D64F34"/>
    <w:rsid w:val="00D70539"/>
    <w:rsid w:val="00D72A07"/>
    <w:rsid w:val="00D81410"/>
    <w:rsid w:val="00D82481"/>
    <w:rsid w:val="00D83F4F"/>
    <w:rsid w:val="00D84239"/>
    <w:rsid w:val="00D901A7"/>
    <w:rsid w:val="00D90774"/>
    <w:rsid w:val="00D922FD"/>
    <w:rsid w:val="00D95388"/>
    <w:rsid w:val="00D96E04"/>
    <w:rsid w:val="00DB0215"/>
    <w:rsid w:val="00DB2196"/>
    <w:rsid w:val="00DB3E3C"/>
    <w:rsid w:val="00DC1267"/>
    <w:rsid w:val="00DC1494"/>
    <w:rsid w:val="00DD38B1"/>
    <w:rsid w:val="00DD4537"/>
    <w:rsid w:val="00DD45B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2950"/>
    <w:rsid w:val="00E2307F"/>
    <w:rsid w:val="00E27FDF"/>
    <w:rsid w:val="00E363F0"/>
    <w:rsid w:val="00E430EA"/>
    <w:rsid w:val="00E44B62"/>
    <w:rsid w:val="00E46D1E"/>
    <w:rsid w:val="00E52EFF"/>
    <w:rsid w:val="00E545FB"/>
    <w:rsid w:val="00E5685D"/>
    <w:rsid w:val="00E6418A"/>
    <w:rsid w:val="00E67EA2"/>
    <w:rsid w:val="00E72FBA"/>
    <w:rsid w:val="00E7781C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0FEA"/>
    <w:rsid w:val="00ED1D9C"/>
    <w:rsid w:val="00ED1DEA"/>
    <w:rsid w:val="00ED3808"/>
    <w:rsid w:val="00EE4A72"/>
    <w:rsid w:val="00EF40D2"/>
    <w:rsid w:val="00EF7EB3"/>
    <w:rsid w:val="00F018DC"/>
    <w:rsid w:val="00F16B56"/>
    <w:rsid w:val="00F31F7C"/>
    <w:rsid w:val="00F40271"/>
    <w:rsid w:val="00F40FFB"/>
    <w:rsid w:val="00F5203F"/>
    <w:rsid w:val="00F5602B"/>
    <w:rsid w:val="00F57C72"/>
    <w:rsid w:val="00F60B39"/>
    <w:rsid w:val="00F61E0A"/>
    <w:rsid w:val="00F6598A"/>
    <w:rsid w:val="00F65A70"/>
    <w:rsid w:val="00F65E2D"/>
    <w:rsid w:val="00F66FEE"/>
    <w:rsid w:val="00F70209"/>
    <w:rsid w:val="00F842FF"/>
    <w:rsid w:val="00F94E80"/>
    <w:rsid w:val="00F96B9B"/>
    <w:rsid w:val="00FA151A"/>
    <w:rsid w:val="00FA4AED"/>
    <w:rsid w:val="00FA5F5C"/>
    <w:rsid w:val="00FB316C"/>
    <w:rsid w:val="00FC0440"/>
    <w:rsid w:val="00FC641F"/>
    <w:rsid w:val="00FC7A2A"/>
    <w:rsid w:val="00FD0461"/>
    <w:rsid w:val="00FD1184"/>
    <w:rsid w:val="00FD1C68"/>
    <w:rsid w:val="00FD5DEA"/>
    <w:rsid w:val="00FE676A"/>
    <w:rsid w:val="00FE7C04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uiPriority w:val="9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uiPriority w:val="1"/>
    <w:qFormat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1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customStyle="1" w:styleId="TTitleText">
    <w:name w:val="T_Title_Text"/>
    <w:qFormat/>
    <w:rsid w:val="00417A57"/>
    <w:pPr>
      <w:keepNext/>
      <w:spacing w:after="40" w:line="220" w:lineRule="exact"/>
    </w:pPr>
    <w:rPr>
      <w:rFonts w:ascii="Evonik Prokyon Medium" w:eastAsia="Calibri" w:hAnsi="Evonik Prokyon Medium"/>
      <w:b/>
      <w:color w:val="000000"/>
      <w:sz w:val="18"/>
      <w:lang w:val="en-US" w:eastAsia="en-US"/>
    </w:rPr>
  </w:style>
  <w:style w:type="paragraph" w:customStyle="1" w:styleId="THeadfirstNumber">
    <w:name w:val="T_Head_first_Number"/>
    <w:qFormat/>
    <w:rsid w:val="00417A57"/>
    <w:pPr>
      <w:keepNext/>
      <w:spacing w:before="40" w:after="40" w:line="220" w:lineRule="exact"/>
      <w:jc w:val="center"/>
    </w:pPr>
    <w:rPr>
      <w:rFonts w:ascii="Evonik Prokyon" w:eastAsia="Calibri" w:hAnsi="Evonik Prokyon"/>
      <w:color w:val="000000"/>
      <w:sz w:val="14"/>
      <w:lang w:eastAsia="en-US"/>
    </w:rPr>
  </w:style>
  <w:style w:type="paragraph" w:customStyle="1" w:styleId="THeadlastText">
    <w:name w:val="T_Head_last_Text"/>
    <w:qFormat/>
    <w:rsid w:val="00417A57"/>
    <w:pPr>
      <w:keepNext/>
      <w:spacing w:before="40" w:after="40" w:line="220" w:lineRule="exact"/>
    </w:pPr>
    <w:rPr>
      <w:rFonts w:ascii="Evonik Prokyon" w:eastAsia="Calibri" w:hAnsi="Evonik Prokyon"/>
      <w:color w:val="000000"/>
      <w:sz w:val="12"/>
      <w:lang w:eastAsia="en-US"/>
    </w:rPr>
  </w:style>
  <w:style w:type="paragraph" w:customStyle="1" w:styleId="THeadlastNumber">
    <w:name w:val="T_Head_last_Number"/>
    <w:rsid w:val="00417A57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color w:val="991D85"/>
      <w:sz w:val="14"/>
      <w:lang w:eastAsia="en-US"/>
    </w:rPr>
  </w:style>
  <w:style w:type="paragraph" w:customStyle="1" w:styleId="THeadlastNumberbold">
    <w:name w:val="T_Head_last_Number_bold"/>
    <w:qFormat/>
    <w:rsid w:val="00417A57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b/>
      <w:color w:val="991D85"/>
      <w:sz w:val="14"/>
      <w:lang w:eastAsia="en-US"/>
    </w:rPr>
  </w:style>
  <w:style w:type="paragraph" w:customStyle="1" w:styleId="TBodysubtotalText">
    <w:name w:val="T_Body_subtotal_Text"/>
    <w:qFormat/>
    <w:rsid w:val="00417A57"/>
    <w:pPr>
      <w:spacing w:after="40" w:line="220" w:lineRule="exac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HeaddifferenceNumber">
    <w:name w:val="T_Head_difference_Number"/>
    <w:qFormat/>
    <w:rsid w:val="00417A57"/>
    <w:pPr>
      <w:spacing w:after="40"/>
      <w:ind w:right="57"/>
      <w:jc w:val="right"/>
    </w:pPr>
    <w:rPr>
      <w:rFonts w:ascii="Evonik Prokyon" w:hAnsi="Evonik Prokyon"/>
      <w:color w:val="000000"/>
      <w:sz w:val="14"/>
      <w:lang w:eastAsia="en-US"/>
    </w:rPr>
  </w:style>
  <w:style w:type="paragraph" w:customStyle="1" w:styleId="TBodysubtotalNumber">
    <w:name w:val="T_Body_subtotal_Number"/>
    <w:qFormat/>
    <w:rsid w:val="00417A57"/>
    <w:pPr>
      <w:spacing w:after="40" w:line="220" w:lineRule="exact"/>
      <w:ind w:right="57"/>
      <w:jc w:val="righ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BodynormalText">
    <w:name w:val="T_Body_normal_Text"/>
    <w:basedOn w:val="Normal"/>
    <w:qFormat/>
    <w:rsid w:val="00417A57"/>
    <w:pPr>
      <w:keepNext/>
      <w:keepLines/>
      <w:spacing w:after="40" w:line="220" w:lineRule="exact"/>
    </w:pPr>
    <w:rPr>
      <w:rFonts w:ascii="Evonik Prokyon" w:eastAsia="Calibri" w:hAnsi="Evonik Prokyon"/>
      <w:color w:val="000000"/>
      <w:sz w:val="14"/>
      <w:szCs w:val="20"/>
      <w:lang w:val="de-DE" w:eastAsia="en-US"/>
    </w:rPr>
  </w:style>
  <w:style w:type="paragraph" w:customStyle="1" w:styleId="TBodynormalNumber">
    <w:name w:val="T_Body_normal_Number"/>
    <w:qFormat/>
    <w:rsid w:val="00417A57"/>
    <w:pPr>
      <w:spacing w:after="40" w:line="220" w:lineRule="exact"/>
      <w:ind w:right="57"/>
      <w:jc w:val="right"/>
    </w:pPr>
    <w:rPr>
      <w:rFonts w:ascii="Evonik Prokyon" w:eastAsia="Calibri" w:hAnsi="Evonik Prokyon"/>
      <w:color w:val="000000"/>
      <w:sz w:val="14"/>
      <w:lang w:eastAsia="en-US"/>
    </w:rPr>
  </w:style>
  <w:style w:type="paragraph" w:customStyle="1" w:styleId="TDummy">
    <w:name w:val="T_Dummy"/>
    <w:rsid w:val="00417A57"/>
    <w:rPr>
      <w:rFonts w:ascii="Evonik Prokyon" w:eastAsia="Calibri" w:hAnsi="Evonik Prokyon"/>
      <w:color w:val="000000"/>
      <w:sz w:val="4"/>
      <w:lang w:val="en-US" w:eastAsia="en-US"/>
    </w:rPr>
  </w:style>
  <w:style w:type="paragraph" w:customStyle="1" w:styleId="TBodytotalText">
    <w:name w:val="T_Body_total_Text"/>
    <w:qFormat/>
    <w:rsid w:val="00417A57"/>
    <w:pPr>
      <w:keepNext/>
      <w:spacing w:after="40" w:line="220" w:lineRule="exac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BodytotalNumber">
    <w:name w:val="T_Body_total_Number"/>
    <w:qFormat/>
    <w:rsid w:val="00417A57"/>
    <w:pPr>
      <w:keepNext/>
      <w:spacing w:after="40" w:line="220" w:lineRule="exact"/>
      <w:ind w:right="57"/>
      <w:jc w:val="righ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HeadsingleText">
    <w:name w:val="T_Head_single_Text"/>
    <w:qFormat/>
    <w:rsid w:val="00417A57"/>
    <w:pPr>
      <w:keepNext/>
      <w:spacing w:before="40" w:after="40" w:line="220" w:lineRule="exact"/>
    </w:pPr>
    <w:rPr>
      <w:rFonts w:ascii="Evonik Prokyon" w:eastAsia="Calibri" w:hAnsi="Evonik Prokyon"/>
      <w:color w:val="000000"/>
      <w:sz w:val="12"/>
      <w:lang w:eastAsia="en-US"/>
    </w:rPr>
  </w:style>
  <w:style w:type="paragraph" w:customStyle="1" w:styleId="THeadsingleNumber">
    <w:name w:val="T_Head_single_Number"/>
    <w:qFormat/>
    <w:rsid w:val="00417A57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color w:val="991D85"/>
      <w:sz w:val="14"/>
      <w:lang w:eastAsia="en-US"/>
    </w:rPr>
  </w:style>
  <w:style w:type="paragraph" w:customStyle="1" w:styleId="THeadsingleNumberbold">
    <w:name w:val="T_Head_single_Number_bold"/>
    <w:qFormat/>
    <w:rsid w:val="00417A57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b/>
      <w:color w:val="991D85"/>
      <w:sz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Press releases</FirstCategoryGroup>
    <DocumentLanguage xmlns="15ce2d31-04c3-48cb-bf76-e52371868153">PT</DocumentLanguage>
    <Date xmlns="15ce2d31-04c3-48cb-bf76-e52371868153">2021-08-11T22:00:00+00:00</Date>
    <DocumentTitle xmlns="15ce2d31-04c3-48cb-bf76-e52371868153">Press Release Internacional - Resultados Financeiros 2Tri. 2021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98A61-14AD-43AC-A57F-46FB28198688}"/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1479</Words>
  <Characters>7989</Characters>
  <Application>Microsoft Office Word</Application>
  <DocSecurity>0</DocSecurity>
  <Lines>66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9450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Resultados Financeiros 2º Trimestre</dc:subject>
  <dc:creator>Taís Augusto</dc:creator>
  <cp:keywords/>
  <dc:description>Agosto 2021</dc:description>
  <cp:lastModifiedBy>Taís Augusto</cp:lastModifiedBy>
  <cp:revision>2</cp:revision>
  <cp:lastPrinted>2017-06-09T09:57:00Z</cp:lastPrinted>
  <dcterms:created xsi:type="dcterms:W3CDTF">2021-08-12T14:46:00Z</dcterms:created>
  <dcterms:modified xsi:type="dcterms:W3CDTF">2021-08-12T14:46:00Z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</Properties>
</file>