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43F7E27" w:rsidR="004F1918" w:rsidRPr="00DC1EB3" w:rsidRDefault="00B864E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02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maio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E39AC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DC1EB3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AD72C9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51809582" w14:textId="57F77927" w:rsidR="00584D73" w:rsidRPr="00584D73" w:rsidRDefault="00584D73" w:rsidP="00584D73">
      <w:pPr>
        <w:rPr>
          <w:b/>
          <w:bCs/>
          <w:sz w:val="28"/>
          <w:szCs w:val="28"/>
        </w:rPr>
      </w:pPr>
      <w:r w:rsidRPr="00584D73">
        <w:rPr>
          <w:b/>
          <w:bCs/>
          <w:sz w:val="28"/>
          <w:szCs w:val="28"/>
        </w:rPr>
        <w:t xml:space="preserve">Evonik marca presença na Feira Internacional da Agroindústria </w:t>
      </w:r>
      <w:r>
        <w:rPr>
          <w:b/>
          <w:bCs/>
          <w:sz w:val="28"/>
          <w:szCs w:val="28"/>
        </w:rPr>
        <w:t xml:space="preserve">- </w:t>
      </w:r>
      <w:r w:rsidRPr="00584D73">
        <w:rPr>
          <w:b/>
          <w:bCs/>
          <w:sz w:val="28"/>
          <w:szCs w:val="28"/>
        </w:rPr>
        <w:t>FENAGRA 2022</w:t>
      </w:r>
    </w:p>
    <w:p w14:paraId="4CF48341" w14:textId="77777777" w:rsidR="00584D73" w:rsidRPr="00584D73" w:rsidRDefault="00584D73" w:rsidP="00584D73">
      <w:pPr>
        <w:rPr>
          <w:b/>
          <w:bCs/>
          <w:sz w:val="28"/>
          <w:szCs w:val="28"/>
        </w:rPr>
      </w:pPr>
    </w:p>
    <w:p w14:paraId="7A3C88F5" w14:textId="11F8AA47" w:rsidR="00EB0105" w:rsidRPr="00584D73" w:rsidRDefault="00EB0105" w:rsidP="00584D73">
      <w:pPr>
        <w:rPr>
          <w:b/>
          <w:bCs/>
          <w:sz w:val="28"/>
          <w:szCs w:val="28"/>
        </w:rPr>
      </w:pPr>
    </w:p>
    <w:p w14:paraId="749F56AE" w14:textId="77777777" w:rsidR="00584D73" w:rsidRPr="00584D73" w:rsidRDefault="00584D73" w:rsidP="00584D73">
      <w:pPr>
        <w:tabs>
          <w:tab w:val="left" w:pos="990"/>
        </w:tabs>
        <w:rPr>
          <w:sz w:val="24"/>
        </w:rPr>
      </w:pPr>
      <w:r w:rsidRPr="00584D73">
        <w:rPr>
          <w:rFonts w:cs="Lucida Sans Unicode"/>
          <w:sz w:val="24"/>
        </w:rPr>
        <w:t>Como uma das maiores fornecedoras de catalisadores de hidrogenação de óleos e gorduras no mundo, a empresa destacará suas soluções para a agroindústria.</w:t>
      </w:r>
    </w:p>
    <w:p w14:paraId="1FCD4008" w14:textId="4BEFC1FB" w:rsidR="00584D73" w:rsidRPr="00584D73" w:rsidRDefault="00584D73" w:rsidP="00584D73">
      <w:pPr>
        <w:tabs>
          <w:tab w:val="left" w:pos="990"/>
        </w:tabs>
        <w:rPr>
          <w:sz w:val="24"/>
        </w:rPr>
      </w:pPr>
    </w:p>
    <w:p w14:paraId="47F19AD7" w14:textId="77777777" w:rsidR="00584D73" w:rsidRPr="00BB1426" w:rsidRDefault="00584D73" w:rsidP="00584D73">
      <w:pPr>
        <w:tabs>
          <w:tab w:val="left" w:pos="990"/>
        </w:tabs>
        <w:rPr>
          <w:sz w:val="24"/>
        </w:rPr>
      </w:pPr>
    </w:p>
    <w:p w14:paraId="48F580C8" w14:textId="77777777" w:rsidR="00584D73" w:rsidRPr="009073C0" w:rsidRDefault="00584D73" w:rsidP="00584D73">
      <w:pPr>
        <w:tabs>
          <w:tab w:val="left" w:pos="990"/>
        </w:tabs>
        <w:rPr>
          <w:rFonts w:cs="Lucida Sans Unicode"/>
          <w:szCs w:val="22"/>
        </w:rPr>
      </w:pPr>
      <w:r w:rsidRPr="009073C0">
        <w:rPr>
          <w:rFonts w:cs="Lucida Sans Unicode"/>
          <w:szCs w:val="22"/>
        </w:rPr>
        <w:t>A</w:t>
      </w:r>
      <w:r w:rsidRPr="009073C0">
        <w:rPr>
          <w:rStyle w:val="Forte"/>
          <w:rFonts w:cs="Lucida Sans Unicode"/>
          <w:szCs w:val="22"/>
          <w:lang w:val="pt-PT"/>
        </w:rPr>
        <w:t xml:space="preserve"> </w:t>
      </w:r>
      <w:r w:rsidRPr="00584D73">
        <w:rPr>
          <w:rStyle w:val="Forte"/>
          <w:rFonts w:cs="Lucida Sans Unicode"/>
          <w:szCs w:val="22"/>
          <w:lang w:val="pt-PT"/>
        </w:rPr>
        <w:t>Evonik participará pela segunda vez da</w:t>
      </w:r>
      <w:r w:rsidRPr="00584D73">
        <w:rPr>
          <w:rStyle w:val="Forte"/>
          <w:rFonts w:cs="Lucida Sans Unicode"/>
          <w:b w:val="0"/>
          <w:bCs w:val="0"/>
          <w:szCs w:val="22"/>
          <w:lang w:val="pt-PT"/>
        </w:rPr>
        <w:t xml:space="preserve"> </w:t>
      </w:r>
      <w:r w:rsidRPr="00584D73">
        <w:rPr>
          <w:rFonts w:cs="Lucida Sans Unicode"/>
          <w:b/>
          <w:bCs/>
          <w:szCs w:val="22"/>
        </w:rPr>
        <w:t>Feira Internacional da Agroindústria – FENAGRA</w:t>
      </w:r>
      <w:r w:rsidRPr="009073C0">
        <w:rPr>
          <w:rFonts w:cs="Lucida Sans Unicode"/>
          <w:szCs w:val="22"/>
        </w:rPr>
        <w:t>, que ocorrerá nos dias 1</w:t>
      </w:r>
      <w:r>
        <w:rPr>
          <w:rFonts w:cs="Lucida Sans Unicode"/>
          <w:szCs w:val="22"/>
        </w:rPr>
        <w:t>1</w:t>
      </w:r>
      <w:r w:rsidRPr="009073C0">
        <w:rPr>
          <w:rFonts w:cs="Lucida Sans Unicode"/>
          <w:szCs w:val="22"/>
        </w:rPr>
        <w:t xml:space="preserve"> e 1</w:t>
      </w:r>
      <w:r>
        <w:rPr>
          <w:rFonts w:cs="Lucida Sans Unicode"/>
          <w:szCs w:val="22"/>
        </w:rPr>
        <w:t>2</w:t>
      </w:r>
      <w:r w:rsidRPr="009073C0">
        <w:rPr>
          <w:rFonts w:cs="Lucida Sans Unicode"/>
          <w:szCs w:val="22"/>
        </w:rPr>
        <w:t xml:space="preserve"> de maio, no Pavilhão Expo Dom Pedro, em Campinas (SP).</w:t>
      </w:r>
    </w:p>
    <w:p w14:paraId="0D5A4D1B" w14:textId="77777777" w:rsidR="00584D73" w:rsidRPr="009073C0" w:rsidRDefault="00584D73" w:rsidP="00584D73">
      <w:pPr>
        <w:tabs>
          <w:tab w:val="left" w:pos="990"/>
        </w:tabs>
        <w:rPr>
          <w:rFonts w:cs="Lucida Sans Unicode"/>
          <w:szCs w:val="22"/>
        </w:rPr>
      </w:pPr>
    </w:p>
    <w:p w14:paraId="5C4CAD1E" w14:textId="77777777" w:rsidR="00584D73" w:rsidRDefault="00584D73" w:rsidP="00584D73">
      <w:pPr>
        <w:rPr>
          <w:rFonts w:cs="Lucida Sans Unicode"/>
          <w:szCs w:val="22"/>
        </w:rPr>
      </w:pPr>
      <w:r w:rsidRPr="009073C0">
        <w:rPr>
          <w:rFonts w:cs="Lucida Sans Unicode"/>
          <w:szCs w:val="22"/>
        </w:rPr>
        <w:t xml:space="preserve">Como uma das líderes mundiais em especialidades químicas, o objetivo é reforçar a presença local como única produtora de catalisadores de hidrogenação de óleos e gorduras com estoque próprio no país. Além disso, a Evonik aproveitará o evento para enfatizar um benefício exclusivo aos </w:t>
      </w:r>
      <w:r>
        <w:rPr>
          <w:rFonts w:cs="Lucida Sans Unicode"/>
          <w:szCs w:val="22"/>
        </w:rPr>
        <w:t>seus</w:t>
      </w:r>
      <w:r w:rsidRPr="009073C0">
        <w:rPr>
          <w:rFonts w:cs="Lucida Sans Unicode"/>
          <w:szCs w:val="22"/>
        </w:rPr>
        <w:t xml:space="preserve"> clientes: </w:t>
      </w:r>
      <w:r>
        <w:rPr>
          <w:rFonts w:cs="Lucida Sans Unicode"/>
          <w:szCs w:val="22"/>
        </w:rPr>
        <w:t xml:space="preserve">o </w:t>
      </w:r>
      <w:r w:rsidRPr="000C1DBB">
        <w:rPr>
          <w:rFonts w:cs="Lucida Sans Unicode"/>
          <w:szCs w:val="22"/>
        </w:rPr>
        <w:t xml:space="preserve">processo de recuperação de níquel, proveniente do catalisador exaurido, na planta fabril dedicada a esta atividade, </w:t>
      </w:r>
      <w:r>
        <w:rPr>
          <w:rFonts w:cs="Lucida Sans Unicode"/>
          <w:szCs w:val="22"/>
        </w:rPr>
        <w:t xml:space="preserve">Evonik </w:t>
      </w:r>
      <w:proofErr w:type="spellStart"/>
      <w:r w:rsidRPr="000C1DBB">
        <w:rPr>
          <w:rFonts w:cs="Lucida Sans Unicode"/>
          <w:szCs w:val="22"/>
        </w:rPr>
        <w:t>Catalyst</w:t>
      </w:r>
      <w:proofErr w:type="spellEnd"/>
      <w:r w:rsidRPr="000C1DBB">
        <w:rPr>
          <w:rFonts w:cs="Lucida Sans Unicode"/>
          <w:szCs w:val="22"/>
        </w:rPr>
        <w:t xml:space="preserve"> </w:t>
      </w:r>
      <w:proofErr w:type="spellStart"/>
      <w:r w:rsidRPr="000C1DBB">
        <w:rPr>
          <w:rFonts w:cs="Lucida Sans Unicode"/>
          <w:szCs w:val="22"/>
        </w:rPr>
        <w:t>India</w:t>
      </w:r>
      <w:proofErr w:type="spellEnd"/>
      <w:r w:rsidRPr="000C1DBB">
        <w:rPr>
          <w:rFonts w:cs="Lucida Sans Unicode"/>
          <w:szCs w:val="22"/>
        </w:rPr>
        <w:t xml:space="preserve"> (ECI).</w:t>
      </w:r>
    </w:p>
    <w:p w14:paraId="049A4D77" w14:textId="77777777" w:rsidR="00584D73" w:rsidRPr="002B3F98" w:rsidRDefault="00584D73" w:rsidP="00584D73">
      <w:pPr>
        <w:rPr>
          <w:rFonts w:cs="Lucida Sans Unicode"/>
          <w:szCs w:val="22"/>
        </w:rPr>
      </w:pPr>
    </w:p>
    <w:p w14:paraId="2E9A817C" w14:textId="364E08BE" w:rsidR="00584D73" w:rsidRPr="00B864EF" w:rsidRDefault="00584D73" w:rsidP="00584D73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A </w:t>
      </w:r>
      <w:r w:rsidRPr="00B864EF">
        <w:rPr>
          <w:rFonts w:cs="Lucida Sans Unicode"/>
          <w:szCs w:val="22"/>
        </w:rPr>
        <w:t xml:space="preserve">Evonik </w:t>
      </w:r>
      <w:proofErr w:type="spellStart"/>
      <w:r w:rsidRPr="00B864EF">
        <w:rPr>
          <w:rFonts w:cs="Lucida Sans Unicode"/>
          <w:szCs w:val="22"/>
        </w:rPr>
        <w:t>Catalyst</w:t>
      </w:r>
      <w:proofErr w:type="spellEnd"/>
      <w:r w:rsidRPr="00B864EF">
        <w:rPr>
          <w:rFonts w:cs="Lucida Sans Unicode"/>
          <w:szCs w:val="22"/>
        </w:rPr>
        <w:t xml:space="preserve"> </w:t>
      </w:r>
      <w:proofErr w:type="spellStart"/>
      <w:r w:rsidRPr="00B864EF">
        <w:rPr>
          <w:rFonts w:cs="Lucida Sans Unicode"/>
          <w:szCs w:val="22"/>
        </w:rPr>
        <w:t>India</w:t>
      </w:r>
      <w:proofErr w:type="spellEnd"/>
      <w:r w:rsidRPr="00B864EF">
        <w:rPr>
          <w:rFonts w:cs="Lucida Sans Unicode"/>
          <w:szCs w:val="22"/>
        </w:rPr>
        <w:t xml:space="preserve"> (ECI) possui uma fábrica dedicada </w:t>
      </w:r>
      <w:r w:rsidR="008342AF" w:rsidRPr="00B864EF">
        <w:rPr>
          <w:rFonts w:cs="Lucida Sans Unicode"/>
          <w:szCs w:val="22"/>
        </w:rPr>
        <w:t xml:space="preserve">à </w:t>
      </w:r>
      <w:r w:rsidRPr="00B864EF">
        <w:rPr>
          <w:rFonts w:cs="Lucida Sans Unicode"/>
          <w:szCs w:val="22"/>
        </w:rPr>
        <w:t xml:space="preserve">recuperação de níquel de catalisadores exauridos utilizados em processos de hidrogenação de óleos e gorduras. A Evonik Brasil compra o catalisador exaurido com base no percentual de </w:t>
      </w:r>
      <w:r w:rsidR="008B2244" w:rsidRPr="00B864EF">
        <w:rPr>
          <w:rFonts w:cs="Lucida Sans Unicode"/>
          <w:szCs w:val="22"/>
        </w:rPr>
        <w:t>n</w:t>
      </w:r>
      <w:r w:rsidRPr="00B864EF">
        <w:rPr>
          <w:rFonts w:cs="Lucida Sans Unicode"/>
          <w:szCs w:val="22"/>
        </w:rPr>
        <w:t xml:space="preserve">íquel do mesmo, onde concentrações maiores de níquel recebem um maior percentual do LME (London Metal Exchange). Os melhores resultados são alcançados quando o resíduo de catalisador exaurido contém mais de 10% de </w:t>
      </w:r>
      <w:r w:rsidR="008B2244" w:rsidRPr="00B864EF">
        <w:rPr>
          <w:rFonts w:cs="Lucida Sans Unicode"/>
          <w:szCs w:val="22"/>
        </w:rPr>
        <w:t>n</w:t>
      </w:r>
      <w:r w:rsidRPr="00B864EF">
        <w:rPr>
          <w:rFonts w:cs="Lucida Sans Unicode"/>
          <w:szCs w:val="22"/>
        </w:rPr>
        <w:t xml:space="preserve">íquel. “Este serviço é um diferencial da Evonik e permite </w:t>
      </w:r>
      <w:r w:rsidR="008B2244" w:rsidRPr="00B864EF">
        <w:rPr>
          <w:rFonts w:cs="Lucida Sans Unicode"/>
          <w:szCs w:val="22"/>
        </w:rPr>
        <w:t xml:space="preserve">aos </w:t>
      </w:r>
      <w:r w:rsidRPr="00B864EF">
        <w:rPr>
          <w:rFonts w:cs="Lucida Sans Unicode"/>
          <w:szCs w:val="22"/>
        </w:rPr>
        <w:t xml:space="preserve">nossos clientes proceder uma disposição efetiva apropriada de seus resíduos contendo níquel, além </w:t>
      </w:r>
      <w:r w:rsidR="008B2244" w:rsidRPr="00B864EF">
        <w:rPr>
          <w:rFonts w:cs="Lucida Sans Unicode"/>
          <w:szCs w:val="22"/>
        </w:rPr>
        <w:t xml:space="preserve">de </w:t>
      </w:r>
      <w:r w:rsidRPr="00B864EF">
        <w:rPr>
          <w:rFonts w:cs="Lucida Sans Unicode"/>
          <w:szCs w:val="22"/>
        </w:rPr>
        <w:t>monetizar parte do valor do metal”, explica Gustavo Castro, Gerente do Negócio de Catalisadores da Evonik na América do Sul.</w:t>
      </w:r>
    </w:p>
    <w:p w14:paraId="78662ED0" w14:textId="77777777" w:rsidR="00584D73" w:rsidRPr="002B3F98" w:rsidRDefault="00584D73" w:rsidP="00584D73">
      <w:pPr>
        <w:tabs>
          <w:tab w:val="left" w:pos="7371"/>
        </w:tabs>
        <w:rPr>
          <w:rFonts w:cs="Lucida Sans Unicode"/>
          <w:szCs w:val="22"/>
        </w:rPr>
      </w:pPr>
    </w:p>
    <w:p w14:paraId="7C537A9E" w14:textId="77777777" w:rsidR="008B2244" w:rsidRDefault="00584D73" w:rsidP="00584D73">
      <w:pPr>
        <w:tabs>
          <w:tab w:val="left" w:pos="7371"/>
        </w:tabs>
        <w:rPr>
          <w:rFonts w:cs="Lucida Sans Unicode"/>
          <w:szCs w:val="22"/>
        </w:rPr>
      </w:pPr>
      <w:r w:rsidRPr="002B3F98">
        <w:rPr>
          <w:rFonts w:cs="Lucida Sans Unicode"/>
          <w:szCs w:val="22"/>
        </w:rPr>
        <w:t>Durante a feira, a Evonik terá a oportunidade de apresentar aos visitantes o processo de recuperação de níquel e outras soluções voltadas à agroindústria:</w:t>
      </w:r>
    </w:p>
    <w:p w14:paraId="2F9613B0" w14:textId="77777777" w:rsidR="008B2244" w:rsidRDefault="008B2244" w:rsidP="00584D73">
      <w:pPr>
        <w:tabs>
          <w:tab w:val="left" w:pos="7371"/>
        </w:tabs>
        <w:rPr>
          <w:rFonts w:cs="Lucida Sans Unicode"/>
          <w:szCs w:val="22"/>
        </w:rPr>
      </w:pPr>
    </w:p>
    <w:p w14:paraId="4BEB401B" w14:textId="29940BD1" w:rsidR="00584D73" w:rsidRPr="002B3F98" w:rsidRDefault="00584D73" w:rsidP="00584D73">
      <w:pPr>
        <w:tabs>
          <w:tab w:val="left" w:pos="7371"/>
        </w:tabs>
        <w:rPr>
          <w:rFonts w:cs="Lucida Sans Unicode"/>
          <w:szCs w:val="22"/>
        </w:rPr>
      </w:pPr>
      <w:r w:rsidRPr="002B3F98">
        <w:rPr>
          <w:rFonts w:cs="Lucida Sans Unicode"/>
          <w:b/>
          <w:szCs w:val="22"/>
        </w:rPr>
        <w:lastRenderedPageBreak/>
        <w:t>MONCAT 2021:</w:t>
      </w:r>
      <w:r w:rsidRPr="002B3F98">
        <w:rPr>
          <w:rFonts w:cs="Lucida Sans Unicode"/>
          <w:szCs w:val="22"/>
        </w:rPr>
        <w:t xml:space="preserve"> Catalisador de Níquel para processos de hidrogenação total e parcial de triglicerídeos, principalmente para a indústria alimentícia.</w:t>
      </w:r>
    </w:p>
    <w:p w14:paraId="1B0717A3" w14:textId="77777777" w:rsidR="00584D73" w:rsidRPr="002B3F98" w:rsidRDefault="00584D73" w:rsidP="00584D73">
      <w:pPr>
        <w:tabs>
          <w:tab w:val="left" w:pos="7371"/>
        </w:tabs>
        <w:ind w:left="709"/>
        <w:rPr>
          <w:rFonts w:cs="Lucida Sans Unicode"/>
          <w:szCs w:val="22"/>
        </w:rPr>
      </w:pPr>
    </w:p>
    <w:p w14:paraId="7A229B28" w14:textId="77777777" w:rsidR="00584D73" w:rsidRDefault="00584D73" w:rsidP="00584D73">
      <w:pPr>
        <w:tabs>
          <w:tab w:val="left" w:pos="7371"/>
        </w:tabs>
        <w:rPr>
          <w:rFonts w:cs="Lucida Sans Unicode"/>
          <w:szCs w:val="22"/>
        </w:rPr>
      </w:pPr>
      <w:r w:rsidRPr="002B3F98">
        <w:rPr>
          <w:rFonts w:cs="Lucida Sans Unicode"/>
          <w:b/>
          <w:szCs w:val="22"/>
        </w:rPr>
        <w:t>MONCAT 1991:</w:t>
      </w:r>
      <w:r w:rsidRPr="002B3F98">
        <w:rPr>
          <w:rFonts w:cs="Lucida Sans Unicode"/>
          <w:szCs w:val="22"/>
        </w:rPr>
        <w:t xml:space="preserve"> Catalisador de Níquel para processos de hidrogenação total e parcial de ácidos graxos e/ou triglicerídeos com elevada acidez para a indústria </w:t>
      </w:r>
      <w:proofErr w:type="spellStart"/>
      <w:r w:rsidRPr="002B3F98">
        <w:rPr>
          <w:rFonts w:cs="Lucida Sans Unicode"/>
          <w:szCs w:val="22"/>
        </w:rPr>
        <w:t>oleoquímica</w:t>
      </w:r>
      <w:proofErr w:type="spellEnd"/>
      <w:r w:rsidRPr="002B3F98">
        <w:rPr>
          <w:rFonts w:cs="Lucida Sans Unicode"/>
          <w:szCs w:val="22"/>
        </w:rPr>
        <w:t>.</w:t>
      </w:r>
    </w:p>
    <w:p w14:paraId="1CA750A9" w14:textId="77777777" w:rsidR="00584D73" w:rsidRDefault="00584D73" w:rsidP="00584D73">
      <w:pPr>
        <w:tabs>
          <w:tab w:val="left" w:pos="7371"/>
        </w:tabs>
        <w:rPr>
          <w:rFonts w:cs="Lucida Sans Unicode"/>
          <w:szCs w:val="22"/>
        </w:rPr>
      </w:pPr>
    </w:p>
    <w:p w14:paraId="59CE1213" w14:textId="533504B3" w:rsidR="00584D73" w:rsidRPr="00B864EF" w:rsidRDefault="00584D73" w:rsidP="00584D73">
      <w:pPr>
        <w:tabs>
          <w:tab w:val="left" w:pos="7371"/>
        </w:tabs>
        <w:rPr>
          <w:rFonts w:cs="Lucida Sans Unicode"/>
          <w:szCs w:val="22"/>
        </w:rPr>
      </w:pPr>
      <w:r w:rsidRPr="002B3F98">
        <w:rPr>
          <w:rFonts w:cs="Lucida Sans Unicode"/>
          <w:szCs w:val="22"/>
        </w:rPr>
        <w:t xml:space="preserve">A Evonik atua no mercado de catalisadores para hidrogenação de </w:t>
      </w:r>
      <w:r w:rsidRPr="00B864EF">
        <w:rPr>
          <w:rFonts w:cs="Lucida Sans Unicode"/>
          <w:szCs w:val="22"/>
        </w:rPr>
        <w:t xml:space="preserve">óleos e gorduras desde 2016, quando adquiriu a </w:t>
      </w:r>
      <w:proofErr w:type="spellStart"/>
      <w:r w:rsidRPr="00B864EF">
        <w:rPr>
          <w:rFonts w:cs="Lucida Sans Unicode"/>
          <w:szCs w:val="22"/>
        </w:rPr>
        <w:t>Monarch</w:t>
      </w:r>
      <w:proofErr w:type="spellEnd"/>
      <w:r w:rsidRPr="00B864EF">
        <w:rPr>
          <w:rFonts w:cs="Lucida Sans Unicode"/>
          <w:szCs w:val="22"/>
        </w:rPr>
        <w:t xml:space="preserve"> </w:t>
      </w:r>
      <w:proofErr w:type="spellStart"/>
      <w:r w:rsidRPr="00B864EF">
        <w:rPr>
          <w:rFonts w:cs="Lucida Sans Unicode"/>
          <w:szCs w:val="22"/>
        </w:rPr>
        <w:t>Catalyst</w:t>
      </w:r>
      <w:proofErr w:type="spellEnd"/>
      <w:r w:rsidRPr="00B864EF">
        <w:rPr>
          <w:rFonts w:cs="Lucida Sans Unicode"/>
          <w:szCs w:val="22"/>
        </w:rPr>
        <w:t xml:space="preserve"> </w:t>
      </w:r>
      <w:proofErr w:type="spellStart"/>
      <w:r w:rsidRPr="00B864EF">
        <w:rPr>
          <w:rFonts w:cs="Lucida Sans Unicode"/>
          <w:szCs w:val="22"/>
        </w:rPr>
        <w:t>India</w:t>
      </w:r>
      <w:proofErr w:type="spellEnd"/>
      <w:r w:rsidRPr="00B864EF">
        <w:rPr>
          <w:rFonts w:cs="Lucida Sans Unicode"/>
          <w:szCs w:val="22"/>
        </w:rPr>
        <w:t>. A partir de então, estabeleceu o modelo de negócio na região via distribuição local, utilizando seu Centro de Distribuição localizado em Guarulhos (SP)</w:t>
      </w:r>
      <w:r w:rsidR="008B2244" w:rsidRPr="00B864EF">
        <w:rPr>
          <w:rFonts w:cs="Lucida Sans Unicode"/>
          <w:szCs w:val="22"/>
        </w:rPr>
        <w:t xml:space="preserve"> e armazéns em</w:t>
      </w:r>
      <w:r w:rsidRPr="00B864EF">
        <w:rPr>
          <w:rFonts w:cs="Lucida Sans Unicode"/>
          <w:szCs w:val="22"/>
        </w:rPr>
        <w:t xml:space="preserve"> Itajaí (SC) e Fortaleza (CE)</w:t>
      </w:r>
      <w:r w:rsidR="008B2244" w:rsidRPr="00B864EF">
        <w:rPr>
          <w:rFonts w:cs="Lucida Sans Unicode"/>
          <w:szCs w:val="22"/>
        </w:rPr>
        <w:t>.</w:t>
      </w:r>
    </w:p>
    <w:p w14:paraId="519842F6" w14:textId="77777777" w:rsidR="00584D73" w:rsidRPr="002B3F98" w:rsidRDefault="00584D73" w:rsidP="00584D73">
      <w:pPr>
        <w:tabs>
          <w:tab w:val="left" w:pos="7371"/>
        </w:tabs>
        <w:rPr>
          <w:rFonts w:cs="Lucida Sans Unicode"/>
          <w:szCs w:val="22"/>
        </w:rPr>
      </w:pPr>
    </w:p>
    <w:p w14:paraId="594DABF6" w14:textId="17E9576D" w:rsidR="00584D73" w:rsidRDefault="00584D73" w:rsidP="00584D73">
      <w:pPr>
        <w:tabs>
          <w:tab w:val="left" w:pos="7371"/>
        </w:tabs>
        <w:rPr>
          <w:rFonts w:cs="Lucida Sans Unicode"/>
          <w:szCs w:val="22"/>
        </w:rPr>
      </w:pPr>
      <w:r w:rsidRPr="002B3F98">
        <w:rPr>
          <w:rFonts w:cs="Lucida Sans Unicode"/>
          <w:szCs w:val="22"/>
        </w:rPr>
        <w:t xml:space="preserve">Desta forma, passou a ser única produtora de catalisadores de hidrogenação de óleos e gorduras com estoque próprio no país, o que possibilitou entregas em períodos mais curtos, </w:t>
      </w:r>
      <w:r>
        <w:rPr>
          <w:rFonts w:cs="Lucida Sans Unicode"/>
          <w:szCs w:val="22"/>
        </w:rPr>
        <w:t>em torno de 5</w:t>
      </w:r>
      <w:r w:rsidR="00170BE3">
        <w:rPr>
          <w:rFonts w:cs="Lucida Sans Unicode"/>
          <w:szCs w:val="22"/>
        </w:rPr>
        <w:t xml:space="preserve"> </w:t>
      </w:r>
      <w:r w:rsidR="00170BE3" w:rsidRPr="00B864EF">
        <w:rPr>
          <w:rFonts w:cs="Lucida Sans Unicode"/>
          <w:szCs w:val="22"/>
        </w:rPr>
        <w:t xml:space="preserve">a </w:t>
      </w:r>
      <w:r w:rsidRPr="00B864EF">
        <w:rPr>
          <w:rFonts w:cs="Lucida Sans Unicode"/>
          <w:szCs w:val="22"/>
        </w:rPr>
        <w:t>10</w:t>
      </w:r>
      <w:r w:rsidR="00170BE3" w:rsidRPr="00B864EF">
        <w:rPr>
          <w:rFonts w:cs="Lucida Sans Unicode"/>
          <w:szCs w:val="22"/>
        </w:rPr>
        <w:t xml:space="preserve"> </w:t>
      </w:r>
      <w:r w:rsidRPr="00B864EF">
        <w:rPr>
          <w:rFonts w:cs="Lucida Sans Unicode"/>
          <w:szCs w:val="22"/>
        </w:rPr>
        <w:t xml:space="preserve">dias úteis, otimizando o fluxo de caixa de seus clientes. Além </w:t>
      </w:r>
      <w:r>
        <w:rPr>
          <w:rFonts w:cs="Lucida Sans Unicode"/>
          <w:szCs w:val="22"/>
        </w:rPr>
        <w:t>disso, oferece</w:t>
      </w:r>
      <w:r w:rsidRPr="002B3F98">
        <w:rPr>
          <w:rFonts w:cs="Lucida Sans Unicode"/>
          <w:szCs w:val="22"/>
        </w:rPr>
        <w:t xml:space="preserve"> suporte técnico sob demanda aos principais clientes</w:t>
      </w:r>
      <w:r>
        <w:rPr>
          <w:rFonts w:cs="Lucida Sans Unicode"/>
          <w:szCs w:val="22"/>
        </w:rPr>
        <w:t xml:space="preserve"> dos</w:t>
      </w:r>
      <w:r w:rsidRPr="002B3F98">
        <w:rPr>
          <w:rFonts w:cs="Lucida Sans Unicode"/>
          <w:szCs w:val="22"/>
        </w:rPr>
        <w:t xml:space="preserve"> mercados alimentício e </w:t>
      </w:r>
      <w:proofErr w:type="spellStart"/>
      <w:r w:rsidRPr="002B3F98">
        <w:rPr>
          <w:rFonts w:cs="Lucida Sans Unicode"/>
          <w:szCs w:val="22"/>
        </w:rPr>
        <w:t>oleoquímico</w:t>
      </w:r>
      <w:proofErr w:type="spellEnd"/>
      <w:r w:rsidRPr="002B3F98">
        <w:rPr>
          <w:rFonts w:cs="Lucida Sans Unicode"/>
          <w:szCs w:val="22"/>
        </w:rPr>
        <w:t xml:space="preserve">. </w:t>
      </w:r>
    </w:p>
    <w:p w14:paraId="6DCBBA1A" w14:textId="77777777" w:rsidR="00170BE3" w:rsidRPr="002B3F98" w:rsidRDefault="00170BE3" w:rsidP="00584D73">
      <w:pPr>
        <w:tabs>
          <w:tab w:val="left" w:pos="7371"/>
        </w:tabs>
        <w:rPr>
          <w:rFonts w:cs="Lucida Sans Unicode"/>
          <w:szCs w:val="22"/>
        </w:rPr>
      </w:pPr>
    </w:p>
    <w:p w14:paraId="13CAD8FB" w14:textId="77777777" w:rsidR="00584D73" w:rsidRPr="002B3F98" w:rsidRDefault="00584D73" w:rsidP="00584D73">
      <w:pPr>
        <w:tabs>
          <w:tab w:val="left" w:pos="7371"/>
        </w:tabs>
        <w:rPr>
          <w:rFonts w:cs="Lucida Sans Unicode"/>
          <w:szCs w:val="22"/>
        </w:rPr>
      </w:pPr>
    </w:p>
    <w:p w14:paraId="67F2DC23" w14:textId="77777777" w:rsidR="00584D73" w:rsidRPr="002B3F98" w:rsidRDefault="00584D73" w:rsidP="00584D73">
      <w:pPr>
        <w:spacing w:line="225" w:lineRule="atLeast"/>
        <w:rPr>
          <w:rFonts w:cs="Lucida Sans Unicode"/>
          <w:szCs w:val="22"/>
        </w:rPr>
      </w:pPr>
      <w:proofErr w:type="spellStart"/>
      <w:r w:rsidRPr="002B3F98">
        <w:rPr>
          <w:rStyle w:val="Forte"/>
          <w:rFonts w:cs="Lucida Sans Unicode"/>
          <w:szCs w:val="22"/>
        </w:rPr>
        <w:t>Fenagra</w:t>
      </w:r>
      <w:proofErr w:type="spellEnd"/>
      <w:r w:rsidRPr="002B3F98">
        <w:rPr>
          <w:rStyle w:val="Forte"/>
          <w:rFonts w:cs="Lucida Sans Unicode"/>
          <w:szCs w:val="22"/>
        </w:rPr>
        <w:t xml:space="preserve"> – Feira Internacional da Agroindústria</w:t>
      </w:r>
    </w:p>
    <w:p w14:paraId="6AF42B70" w14:textId="763FB9C0" w:rsidR="00584D73" w:rsidRPr="00B864EF" w:rsidRDefault="00584D73" w:rsidP="00584D73">
      <w:pPr>
        <w:spacing w:line="225" w:lineRule="atLeast"/>
        <w:rPr>
          <w:rFonts w:cs="Lucida Sans Unicode"/>
          <w:szCs w:val="22"/>
        </w:rPr>
      </w:pPr>
      <w:r w:rsidRPr="002B3F98">
        <w:rPr>
          <w:rStyle w:val="Forte"/>
          <w:rFonts w:cs="Lucida Sans Unicode"/>
          <w:szCs w:val="22"/>
        </w:rPr>
        <w:t>Data:</w:t>
      </w:r>
      <w:r w:rsidRPr="002B3F98">
        <w:rPr>
          <w:rFonts w:cs="Lucida Sans Unicode"/>
          <w:szCs w:val="22"/>
        </w:rPr>
        <w:t xml:space="preserve"> 1</w:t>
      </w:r>
      <w:r>
        <w:rPr>
          <w:rFonts w:cs="Lucida Sans Unicode"/>
          <w:szCs w:val="22"/>
        </w:rPr>
        <w:t>1 e 12</w:t>
      </w:r>
      <w:r w:rsidRPr="002B3F98">
        <w:rPr>
          <w:rFonts w:cs="Lucida Sans Unicode"/>
          <w:szCs w:val="22"/>
        </w:rPr>
        <w:t xml:space="preserve"> de </w:t>
      </w:r>
      <w:r w:rsidRPr="00B864EF">
        <w:rPr>
          <w:rFonts w:cs="Lucida Sans Unicode"/>
          <w:szCs w:val="22"/>
        </w:rPr>
        <w:t>maio de 2022, das 10 às 19horas</w:t>
      </w:r>
    </w:p>
    <w:p w14:paraId="34336A24" w14:textId="77777777" w:rsidR="00584D73" w:rsidRPr="002B3F98" w:rsidRDefault="00584D73" w:rsidP="00584D73">
      <w:pPr>
        <w:spacing w:line="225" w:lineRule="atLeast"/>
        <w:rPr>
          <w:rStyle w:val="Forte"/>
          <w:rFonts w:cs="Lucida Sans Unicode"/>
          <w:szCs w:val="22"/>
        </w:rPr>
      </w:pPr>
      <w:r w:rsidRPr="002B3F98">
        <w:rPr>
          <w:rStyle w:val="Forte"/>
          <w:rFonts w:cs="Lucida Sans Unicode"/>
          <w:szCs w:val="22"/>
        </w:rPr>
        <w:t>Local:</w:t>
      </w:r>
      <w:r w:rsidRPr="002B3F98">
        <w:rPr>
          <w:rFonts w:cs="Lucida Sans Unicode"/>
          <w:szCs w:val="22"/>
        </w:rPr>
        <w:t xml:space="preserve"> Pavilhão Expo Dom Pedro</w:t>
      </w:r>
      <w:r w:rsidRPr="002B3F98">
        <w:rPr>
          <w:rStyle w:val="Forte"/>
          <w:rFonts w:cs="Lucida Sans Unicode"/>
          <w:szCs w:val="22"/>
        </w:rPr>
        <w:t xml:space="preserve"> </w:t>
      </w:r>
    </w:p>
    <w:p w14:paraId="337BA3B2" w14:textId="3F20523B" w:rsidR="00584D73" w:rsidRPr="002B3F98" w:rsidRDefault="00584D73" w:rsidP="00584D73">
      <w:pPr>
        <w:spacing w:line="225" w:lineRule="atLeast"/>
        <w:rPr>
          <w:rFonts w:cs="Lucida Sans Unicode"/>
          <w:szCs w:val="22"/>
          <w:shd w:val="clear" w:color="auto" w:fill="FFFFFF"/>
        </w:rPr>
      </w:pPr>
      <w:r w:rsidRPr="002B3F98">
        <w:rPr>
          <w:rStyle w:val="Forte"/>
          <w:rFonts w:cs="Lucida Sans Unicode"/>
          <w:szCs w:val="22"/>
        </w:rPr>
        <w:t>Endereço:</w:t>
      </w:r>
      <w:r w:rsidRPr="002B3F98">
        <w:rPr>
          <w:rFonts w:cs="Lucida Sans Unicode"/>
          <w:szCs w:val="22"/>
        </w:rPr>
        <w:t xml:space="preserve"> </w:t>
      </w:r>
      <w:r w:rsidRPr="002B3F98">
        <w:rPr>
          <w:rStyle w:val="ng-binding"/>
          <w:rFonts w:cs="Lucida Sans Unicode"/>
          <w:szCs w:val="22"/>
          <w:bdr w:val="none" w:sz="0" w:space="0" w:color="auto" w:frame="1"/>
          <w:shd w:val="clear" w:color="auto" w:fill="FFFFFF"/>
        </w:rPr>
        <w:t>Avenida Guilherme Campos, 500 - </w:t>
      </w:r>
      <w:r>
        <w:rPr>
          <w:rStyle w:val="ng-binding"/>
          <w:rFonts w:cs="Lucida Sans Unicode"/>
          <w:szCs w:val="22"/>
          <w:bdr w:val="none" w:sz="0" w:space="0" w:color="auto" w:frame="1"/>
          <w:shd w:val="clear" w:color="auto" w:fill="FFFFFF"/>
        </w:rPr>
        <w:t>Campinas (SP)</w:t>
      </w:r>
      <w:r w:rsidRPr="002B3F98">
        <w:rPr>
          <w:rStyle w:val="ng-binding"/>
          <w:rFonts w:cs="Lucida Sans Unicode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2943BB7B" w14:textId="1ADFFF6D" w:rsidR="00584D73" w:rsidRPr="00170BE3" w:rsidRDefault="00584D73" w:rsidP="00584D73">
      <w:pPr>
        <w:spacing w:line="225" w:lineRule="atLeast"/>
        <w:rPr>
          <w:rFonts w:cs="Lucida Sans Unicode"/>
          <w:b/>
          <w:bCs/>
          <w:szCs w:val="22"/>
        </w:rPr>
      </w:pPr>
      <w:r w:rsidRPr="002B3F98">
        <w:rPr>
          <w:rFonts w:cs="Lucida Sans Unicode"/>
          <w:b/>
          <w:bCs/>
          <w:szCs w:val="22"/>
        </w:rPr>
        <w:t xml:space="preserve">Estande da Evonik: </w:t>
      </w:r>
      <w:r w:rsidRPr="00B864EF">
        <w:rPr>
          <w:rFonts w:cs="Lucida Sans Unicode"/>
          <w:b/>
          <w:bCs/>
          <w:szCs w:val="22"/>
        </w:rPr>
        <w:t>A</w:t>
      </w:r>
      <w:r w:rsidR="00B864EF" w:rsidRPr="00B864EF">
        <w:rPr>
          <w:rFonts w:cs="Lucida Sans Unicode"/>
          <w:b/>
          <w:bCs/>
          <w:szCs w:val="22"/>
        </w:rPr>
        <w:t xml:space="preserve"> 0</w:t>
      </w:r>
      <w:r w:rsidR="00B864EF">
        <w:rPr>
          <w:rFonts w:cs="Lucida Sans Unicode"/>
          <w:b/>
          <w:bCs/>
          <w:szCs w:val="22"/>
        </w:rPr>
        <w:t>3</w:t>
      </w:r>
    </w:p>
    <w:p w14:paraId="0BA92FE7" w14:textId="1A260817" w:rsidR="00584D73" w:rsidRDefault="00584D73" w:rsidP="00584D73">
      <w:pPr>
        <w:spacing w:line="240" w:lineRule="auto"/>
        <w:rPr>
          <w:rStyle w:val="Hyperlink"/>
          <w:szCs w:val="22"/>
        </w:rPr>
      </w:pPr>
      <w:r w:rsidRPr="002B3F98">
        <w:rPr>
          <w:b/>
          <w:szCs w:val="22"/>
        </w:rPr>
        <w:t>Informações</w:t>
      </w:r>
      <w:r>
        <w:rPr>
          <w:b/>
          <w:szCs w:val="22"/>
        </w:rPr>
        <w:t xml:space="preserve">: </w:t>
      </w:r>
      <w:hyperlink r:id="rId12" w:history="1">
        <w:r w:rsidRPr="00C0081D">
          <w:rPr>
            <w:rStyle w:val="Hyperlink"/>
            <w:szCs w:val="22"/>
          </w:rPr>
          <w:t>www.fenagra.com.br</w:t>
        </w:r>
      </w:hyperlink>
    </w:p>
    <w:p w14:paraId="40110763" w14:textId="6855412C" w:rsidR="00584D73" w:rsidRDefault="00584D73" w:rsidP="00584D73">
      <w:pPr>
        <w:spacing w:line="240" w:lineRule="auto"/>
        <w:rPr>
          <w:rStyle w:val="Hyperlink"/>
          <w:szCs w:val="22"/>
        </w:rPr>
      </w:pPr>
    </w:p>
    <w:p w14:paraId="29B21784" w14:textId="303CF753" w:rsidR="00584D73" w:rsidRDefault="00584D73" w:rsidP="00584D73">
      <w:pPr>
        <w:spacing w:line="240" w:lineRule="auto"/>
        <w:rPr>
          <w:rStyle w:val="Hyperlink"/>
          <w:szCs w:val="22"/>
        </w:rPr>
      </w:pPr>
    </w:p>
    <w:p w14:paraId="5C3E7129" w14:textId="77777777" w:rsidR="00584D73" w:rsidRPr="00275952" w:rsidRDefault="00584D73" w:rsidP="00584D73"/>
    <w:p w14:paraId="628825E2" w14:textId="77777777" w:rsidR="00584D73" w:rsidRDefault="00584D73" w:rsidP="00584D73">
      <w:pPr>
        <w:spacing w:line="220" w:lineRule="exact"/>
        <w:ind w:left="142"/>
        <w:rPr>
          <w:rFonts w:eastAsia="Lucida Sans Unicode" w:cs="Lucida Sans Unicode"/>
          <w:b/>
          <w:sz w:val="18"/>
          <w:szCs w:val="18"/>
          <w:bdr w:val="nil"/>
        </w:rPr>
      </w:pPr>
      <w:r w:rsidRPr="003A3FB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r>
        <w:rPr>
          <w:rFonts w:eastAsia="Lucida Sans Unicode" w:cs="Lucida Sans Unicode"/>
          <w:b/>
          <w:sz w:val="18"/>
          <w:szCs w:val="18"/>
          <w:bdr w:val="nil"/>
        </w:rPr>
        <w:t>:</w:t>
      </w:r>
    </w:p>
    <w:p w14:paraId="1C222FD6" w14:textId="77777777" w:rsidR="00584D73" w:rsidRPr="003A3FBF" w:rsidRDefault="00584D73" w:rsidP="00584D73">
      <w:pPr>
        <w:spacing w:line="220" w:lineRule="exact"/>
        <w:ind w:left="142"/>
        <w:rPr>
          <w:sz w:val="18"/>
          <w:szCs w:val="18"/>
        </w:rPr>
      </w:pPr>
      <w:r w:rsidRPr="003A3FBF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691EB53" w14:textId="77777777" w:rsidR="00584D73" w:rsidRPr="00823F3B" w:rsidRDefault="00584D73" w:rsidP="00584D73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06FDAD0B" w14:textId="77777777" w:rsidR="00584D73" w:rsidRPr="00823F3B" w:rsidRDefault="00584D73" w:rsidP="00584D73">
      <w:pPr>
        <w:spacing w:line="220" w:lineRule="exact"/>
        <w:ind w:left="142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4CE422F6" w14:textId="77777777" w:rsidR="00584D73" w:rsidRPr="00547189" w:rsidRDefault="00584D73" w:rsidP="00584D73">
      <w:pPr>
        <w:spacing w:line="220" w:lineRule="exact"/>
        <w:ind w:left="142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lastRenderedPageBreak/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71E1866" w14:textId="77777777" w:rsidR="00584D73" w:rsidRPr="00547189" w:rsidRDefault="00584D73" w:rsidP="00584D73">
      <w:pPr>
        <w:spacing w:line="220" w:lineRule="exact"/>
        <w:ind w:left="142"/>
        <w:rPr>
          <w:rFonts w:eastAsia="Lucida Sans Unicode" w:cs="Lucida Sans Unicode"/>
          <w:bCs/>
          <w:sz w:val="18"/>
          <w:szCs w:val="18"/>
          <w:bdr w:val="nil"/>
        </w:rPr>
      </w:pPr>
    </w:p>
    <w:p w14:paraId="089AE384" w14:textId="77777777" w:rsidR="00584D73" w:rsidRPr="00547189" w:rsidRDefault="00584D73" w:rsidP="00584D7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916E5FE" w14:textId="77777777" w:rsidR="00584D73" w:rsidRPr="00547189" w:rsidRDefault="00584D73" w:rsidP="00584D7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E820D1A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1E3D7165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3633E617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000ED541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5417CA5F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FBB7B5A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677EED5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021231A2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0F06B593" w14:textId="77777777" w:rsidR="00584D73" w:rsidRPr="00547189" w:rsidRDefault="00584D73" w:rsidP="00584D73">
      <w:pPr>
        <w:spacing w:line="220" w:lineRule="exact"/>
        <w:ind w:left="142"/>
        <w:outlineLvl w:val="0"/>
        <w:rPr>
          <w:bCs/>
          <w:sz w:val="18"/>
          <w:szCs w:val="18"/>
        </w:rPr>
      </w:pPr>
    </w:p>
    <w:p w14:paraId="0F7071D8" w14:textId="77777777" w:rsidR="00584D73" w:rsidRPr="00547189" w:rsidRDefault="00584D73" w:rsidP="00584D73">
      <w:pPr>
        <w:spacing w:line="220" w:lineRule="exact"/>
        <w:ind w:left="142"/>
        <w:rPr>
          <w:rFonts w:eastAsia="Lucida Sans Unicode" w:cs="Lucida Sans Unicode"/>
          <w:bCs/>
          <w:sz w:val="18"/>
          <w:szCs w:val="18"/>
          <w:bdr w:val="nil"/>
        </w:rPr>
      </w:pPr>
    </w:p>
    <w:p w14:paraId="67CC20BE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1D10F87C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2F197042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547189">
        <w:rPr>
          <w:rFonts w:cs="Lucida Sans Unicode"/>
          <w:bCs/>
          <w:sz w:val="18"/>
          <w:szCs w:val="18"/>
        </w:rPr>
        <w:t>Diez</w:t>
      </w:r>
      <w:proofErr w:type="spellEnd"/>
      <w:r w:rsidRPr="00547189">
        <w:rPr>
          <w:rFonts w:cs="Lucida Sans Unicode"/>
          <w:bCs/>
          <w:sz w:val="18"/>
          <w:szCs w:val="18"/>
        </w:rPr>
        <w:t>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7DF46B31" w14:textId="77777777" w:rsidR="00584D73" w:rsidRPr="00547189" w:rsidRDefault="00584D73" w:rsidP="00584D73">
      <w:pPr>
        <w:spacing w:line="240" w:lineRule="auto"/>
        <w:ind w:left="142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24C12120" w14:textId="77777777" w:rsidR="00584D73" w:rsidRPr="00E52EFF" w:rsidRDefault="00584D73" w:rsidP="00584D73"/>
    <w:p w14:paraId="2DE8F2DC" w14:textId="77777777" w:rsidR="00584D73" w:rsidRPr="00EB0105" w:rsidRDefault="00584D73" w:rsidP="00584D73">
      <w:pPr>
        <w:spacing w:line="240" w:lineRule="auto"/>
        <w:jc w:val="center"/>
        <w:rPr>
          <w:rFonts w:cs="Lucida Sans Unicode"/>
          <w:color w:val="222222"/>
          <w:szCs w:val="22"/>
          <w:lang w:eastAsia="pt-BR"/>
        </w:rPr>
      </w:pPr>
    </w:p>
    <w:sectPr w:rsidR="00584D73" w:rsidRPr="00EB0105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30C4" w14:textId="77777777" w:rsidR="00AD72C9" w:rsidRDefault="00AD72C9">
      <w:pPr>
        <w:spacing w:line="240" w:lineRule="auto"/>
      </w:pPr>
      <w:r>
        <w:separator/>
      </w:r>
    </w:p>
  </w:endnote>
  <w:endnote w:type="continuationSeparator" w:id="0">
    <w:p w14:paraId="35EC3F12" w14:textId="77777777" w:rsidR="00AD72C9" w:rsidRDefault="00AD7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EC9C" w14:textId="77777777" w:rsidR="00DD341C" w:rsidRDefault="00DD3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9FE8" w14:textId="77777777" w:rsidR="00AD72C9" w:rsidRDefault="00AD72C9">
      <w:pPr>
        <w:spacing w:line="240" w:lineRule="auto"/>
      </w:pPr>
      <w:r>
        <w:separator/>
      </w:r>
    </w:p>
  </w:footnote>
  <w:footnote w:type="continuationSeparator" w:id="0">
    <w:p w14:paraId="5DAC507F" w14:textId="77777777" w:rsidR="00AD72C9" w:rsidRDefault="00AD7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6946">
    <w:abstractNumId w:val="11"/>
  </w:num>
  <w:num w:numId="2" w16cid:durableId="1467435208">
    <w:abstractNumId w:val="14"/>
  </w:num>
  <w:num w:numId="3" w16cid:durableId="509681163">
    <w:abstractNumId w:val="12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15"/>
  </w:num>
  <w:num w:numId="16" w16cid:durableId="36922983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E57"/>
    <w:rsid w:val="00060D07"/>
    <w:rsid w:val="00064BAA"/>
    <w:rsid w:val="00084555"/>
    <w:rsid w:val="00084EC8"/>
    <w:rsid w:val="00086556"/>
    <w:rsid w:val="00092F83"/>
    <w:rsid w:val="000A0DDB"/>
    <w:rsid w:val="000A4EB6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3837"/>
    <w:rsid w:val="00104C4F"/>
    <w:rsid w:val="001120D8"/>
    <w:rsid w:val="00117CF2"/>
    <w:rsid w:val="00124443"/>
    <w:rsid w:val="001254D3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0BE3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5CED"/>
    <w:rsid w:val="001F7C26"/>
    <w:rsid w:val="00203EFA"/>
    <w:rsid w:val="002070B3"/>
    <w:rsid w:val="00210BED"/>
    <w:rsid w:val="00221C32"/>
    <w:rsid w:val="002229D5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A736B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C26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4D73"/>
    <w:rsid w:val="00587C52"/>
    <w:rsid w:val="0059414C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5AD9"/>
    <w:rsid w:val="005E6AE3"/>
    <w:rsid w:val="005E799F"/>
    <w:rsid w:val="005F234C"/>
    <w:rsid w:val="005F50D9"/>
    <w:rsid w:val="005F7160"/>
    <w:rsid w:val="0060031A"/>
    <w:rsid w:val="00600E86"/>
    <w:rsid w:val="00605C02"/>
    <w:rsid w:val="00606A38"/>
    <w:rsid w:val="00607F71"/>
    <w:rsid w:val="00620238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6BC7"/>
    <w:rsid w:val="006A02F3"/>
    <w:rsid w:val="006A581A"/>
    <w:rsid w:val="006A5A6B"/>
    <w:rsid w:val="006A5F13"/>
    <w:rsid w:val="006B403E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63004"/>
    <w:rsid w:val="007676DC"/>
    <w:rsid w:val="00770879"/>
    <w:rsid w:val="007733D3"/>
    <w:rsid w:val="00775D2E"/>
    <w:rsid w:val="007767AB"/>
    <w:rsid w:val="00780408"/>
    <w:rsid w:val="00784360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5D88"/>
    <w:rsid w:val="008342AF"/>
    <w:rsid w:val="008352AA"/>
    <w:rsid w:val="00836B9A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7078"/>
    <w:rsid w:val="008A0D35"/>
    <w:rsid w:val="008A2AE8"/>
    <w:rsid w:val="008B03E0"/>
    <w:rsid w:val="008B1084"/>
    <w:rsid w:val="008B13C8"/>
    <w:rsid w:val="008B2244"/>
    <w:rsid w:val="008B3A20"/>
    <w:rsid w:val="008B7AFE"/>
    <w:rsid w:val="008B7D4F"/>
    <w:rsid w:val="008C00D3"/>
    <w:rsid w:val="008C461B"/>
    <w:rsid w:val="008C52EF"/>
    <w:rsid w:val="008D0E06"/>
    <w:rsid w:val="008D59A8"/>
    <w:rsid w:val="008D6C5B"/>
    <w:rsid w:val="008E7921"/>
    <w:rsid w:val="008F1CB7"/>
    <w:rsid w:val="008F45F9"/>
    <w:rsid w:val="008F49C5"/>
    <w:rsid w:val="008F5C81"/>
    <w:rsid w:val="0090621C"/>
    <w:rsid w:val="00910702"/>
    <w:rsid w:val="00913C5F"/>
    <w:rsid w:val="009339D6"/>
    <w:rsid w:val="00935881"/>
    <w:rsid w:val="0093774D"/>
    <w:rsid w:val="009406B3"/>
    <w:rsid w:val="009440D2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892"/>
    <w:rsid w:val="009E709B"/>
    <w:rsid w:val="009F29FD"/>
    <w:rsid w:val="009F57D1"/>
    <w:rsid w:val="009F6AA2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0A49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6C48"/>
    <w:rsid w:val="00AD72C9"/>
    <w:rsid w:val="00AE1FAA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864EF"/>
    <w:rsid w:val="00B919EF"/>
    <w:rsid w:val="00B92E20"/>
    <w:rsid w:val="00B9317E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81410"/>
    <w:rsid w:val="00D82E40"/>
    <w:rsid w:val="00D83F4F"/>
    <w:rsid w:val="00D84239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7FDF"/>
    <w:rsid w:val="00E351C5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A89"/>
    <w:rsid w:val="00EF7EB3"/>
    <w:rsid w:val="00F018DC"/>
    <w:rsid w:val="00F04685"/>
    <w:rsid w:val="00F12C8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g-binding">
    <w:name w:val="ng-binding"/>
    <w:basedOn w:val="Fontepargpadro"/>
    <w:rsid w:val="0058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enagra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2022-05-04T22:00:00+00:00</Date>
    <DocumentTitle xmlns="15ce2d31-04c3-48cb-bf76-e52371868153">Evonik Fenagra 2022 (PT)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0D9CF-AFD4-4FF6-A354-F0B1C7013E01}"/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4150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Fenagra 2022</dc:subject>
  <dc:creator>Taís Augusto</dc:creator>
  <cp:keywords/>
  <dc:description>Abril 2022</dc:description>
  <cp:lastModifiedBy>Taís Augusto</cp:lastModifiedBy>
  <cp:revision>2</cp:revision>
  <cp:lastPrinted>2017-06-09T09:57:00Z</cp:lastPrinted>
  <dcterms:created xsi:type="dcterms:W3CDTF">2022-05-02T14:02:00Z</dcterms:created>
  <dcterms:modified xsi:type="dcterms:W3CDTF">2022-05-02T14:02:00Z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