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C5C1D60" w:rsidR="004F1918" w:rsidRPr="008D6C5B" w:rsidRDefault="00F7009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02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maio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5871F4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5CDFFBC8" w14:textId="26106868" w:rsidR="005F4B6D" w:rsidRPr="00741E19" w:rsidRDefault="00DB7FA2" w:rsidP="00FC79D9">
      <w:pPr>
        <w:spacing w:before="100"/>
        <w:ind w:left="101"/>
        <w:jc w:val="center"/>
        <w:rPr>
          <w:b/>
          <w:bCs/>
          <w:sz w:val="28"/>
          <w:szCs w:val="28"/>
        </w:rPr>
      </w:pPr>
      <w:r w:rsidRPr="00741E19">
        <w:rPr>
          <w:b/>
          <w:bCs/>
          <w:sz w:val="28"/>
          <w:szCs w:val="28"/>
        </w:rPr>
        <w:t>Primeiro trimestre significativamente acima das expectativas</w:t>
      </w:r>
    </w:p>
    <w:p w14:paraId="17CB1BB9" w14:textId="6B750225" w:rsidR="005F4B6D" w:rsidRPr="00FC79D9" w:rsidRDefault="00DB7FA2" w:rsidP="00DB7FA2">
      <w:pPr>
        <w:pStyle w:val="PargrafodaLista"/>
        <w:widowControl w:val="0"/>
        <w:numPr>
          <w:ilvl w:val="0"/>
          <w:numId w:val="41"/>
        </w:numPr>
        <w:tabs>
          <w:tab w:val="left" w:pos="443"/>
        </w:tabs>
        <w:autoSpaceDE w:val="0"/>
        <w:autoSpaceDN w:val="0"/>
        <w:spacing w:before="240" w:line="340" w:lineRule="exact"/>
        <w:ind w:hanging="342"/>
        <w:contextualSpacing w:val="0"/>
        <w:rPr>
          <w:b/>
          <w:bCs/>
          <w:i/>
          <w:iCs/>
          <w:sz w:val="24"/>
        </w:rPr>
      </w:pPr>
      <w:r w:rsidRPr="00FC79D9">
        <w:rPr>
          <w:b/>
          <w:bCs/>
          <w:i/>
          <w:iCs/>
          <w:sz w:val="24"/>
        </w:rPr>
        <w:t xml:space="preserve">O EBITDA ajustado aumentou 25% para 735 milhões de euros. </w:t>
      </w:r>
    </w:p>
    <w:p w14:paraId="65F3498B" w14:textId="5519B78E" w:rsidR="005F4B6D" w:rsidRPr="00FC79D9" w:rsidRDefault="00345E5E" w:rsidP="00345E5E">
      <w:pPr>
        <w:pStyle w:val="PargrafodaLista"/>
        <w:widowControl w:val="0"/>
        <w:numPr>
          <w:ilvl w:val="0"/>
          <w:numId w:val="41"/>
        </w:numPr>
        <w:tabs>
          <w:tab w:val="left" w:pos="443"/>
        </w:tabs>
        <w:autoSpaceDE w:val="0"/>
        <w:autoSpaceDN w:val="0"/>
        <w:ind w:hanging="342"/>
        <w:contextualSpacing w:val="0"/>
        <w:rPr>
          <w:b/>
          <w:bCs/>
          <w:i/>
          <w:iCs/>
          <w:sz w:val="24"/>
        </w:rPr>
      </w:pPr>
      <w:r w:rsidRPr="00FC79D9">
        <w:rPr>
          <w:b/>
          <w:bCs/>
          <w:i/>
          <w:iCs/>
          <w:sz w:val="24"/>
        </w:rPr>
        <w:t xml:space="preserve">Alta </w:t>
      </w:r>
      <w:r w:rsidR="00C17023" w:rsidRPr="00FC79D9">
        <w:rPr>
          <w:b/>
          <w:bCs/>
          <w:i/>
          <w:iCs/>
          <w:sz w:val="24"/>
        </w:rPr>
        <w:t>n</w:t>
      </w:r>
      <w:r w:rsidRPr="00FC79D9">
        <w:rPr>
          <w:b/>
          <w:bCs/>
          <w:i/>
          <w:iCs/>
          <w:sz w:val="24"/>
        </w:rPr>
        <w:t>os custos compensada com sucesso</w:t>
      </w:r>
    </w:p>
    <w:p w14:paraId="41594252" w14:textId="70F5D06E" w:rsidR="005F4B6D" w:rsidRPr="00FC79D9" w:rsidRDefault="00345E5E" w:rsidP="00345E5E">
      <w:pPr>
        <w:pStyle w:val="PargrafodaLista"/>
        <w:widowControl w:val="0"/>
        <w:numPr>
          <w:ilvl w:val="0"/>
          <w:numId w:val="41"/>
        </w:numPr>
        <w:tabs>
          <w:tab w:val="left" w:pos="443"/>
        </w:tabs>
        <w:autoSpaceDE w:val="0"/>
        <w:autoSpaceDN w:val="0"/>
        <w:spacing w:line="340" w:lineRule="exact"/>
        <w:ind w:hanging="342"/>
        <w:contextualSpacing w:val="0"/>
        <w:rPr>
          <w:b/>
          <w:bCs/>
          <w:i/>
          <w:iCs/>
          <w:sz w:val="24"/>
        </w:rPr>
      </w:pPr>
      <w:r w:rsidRPr="00FC79D9">
        <w:rPr>
          <w:b/>
          <w:bCs/>
          <w:i/>
          <w:iCs/>
          <w:sz w:val="24"/>
        </w:rPr>
        <w:t>Estoques aumentados por medida de precaução</w:t>
      </w:r>
    </w:p>
    <w:p w14:paraId="21F11388" w14:textId="1C13BB6E" w:rsidR="005F4B6D" w:rsidRDefault="00741E19" w:rsidP="00FC79D9">
      <w:pPr>
        <w:pStyle w:val="Corpodetexto"/>
        <w:spacing w:before="280" w:line="213" w:lineRule="auto"/>
        <w:ind w:left="101" w:right="72"/>
        <w:jc w:val="both"/>
      </w:pPr>
      <w:r>
        <w:br/>
      </w:r>
      <w:r w:rsidR="00437C41">
        <w:t>O início de sucesso da Evonik em 2022 excedeu as expectativas do mercado de capitais.</w:t>
      </w:r>
      <w:r w:rsidR="005F4B6D">
        <w:t xml:space="preserve"> </w:t>
      </w:r>
      <w:r w:rsidR="00437C41">
        <w:t xml:space="preserve">Tendo por base os resultados </w:t>
      </w:r>
      <w:r w:rsidR="00437C41" w:rsidRPr="00FC3A8C">
        <w:t xml:space="preserve">preliminares, que a Evonik </w:t>
      </w:r>
      <w:r w:rsidR="00D97B6B" w:rsidRPr="00FC3A8C">
        <w:t>acaba de divulgar</w:t>
      </w:r>
      <w:r w:rsidR="00437C41" w:rsidRPr="00FC3A8C">
        <w:t xml:space="preserve">, o resultado </w:t>
      </w:r>
      <w:r w:rsidR="00437C41">
        <w:t xml:space="preserve">ajustado antes </w:t>
      </w:r>
      <w:r w:rsidR="004D7681">
        <w:t>de juros, impostos, depreciação e amortização (EBITDA ajustado) subiu para 735 milhões de euros no primeiro trimestre.</w:t>
      </w:r>
      <w:r w:rsidR="005F4B6D">
        <w:rPr>
          <w:spacing w:val="-1"/>
        </w:rPr>
        <w:t xml:space="preserve"> </w:t>
      </w:r>
      <w:r w:rsidR="000652B3">
        <w:t>O consenso dos analistas era de</w:t>
      </w:r>
      <w:r w:rsidR="001576FD">
        <w:t xml:space="preserve"> que ficaria em cerca de 6</w:t>
      </w:r>
      <w:r w:rsidR="000652B3">
        <w:t xml:space="preserve">52 milhões de euros. </w:t>
      </w:r>
    </w:p>
    <w:p w14:paraId="63230A89" w14:textId="76AFFA46" w:rsidR="005F4B6D" w:rsidRDefault="000652B3" w:rsidP="00FC79D9">
      <w:pPr>
        <w:pStyle w:val="Corpodetexto"/>
        <w:spacing w:before="260" w:line="320" w:lineRule="exact"/>
        <w:ind w:left="101"/>
        <w:jc w:val="both"/>
      </w:pPr>
      <w:r>
        <w:t>“Conseguimos ajustar os preços de venda em todas as divisões</w:t>
      </w:r>
      <w:r w:rsidR="00E72DEC">
        <w:t xml:space="preserve"> e, dessa maneira, compensamos o aumento </w:t>
      </w:r>
      <w:r w:rsidR="009E0698">
        <w:t>nos</w:t>
      </w:r>
      <w:r w:rsidR="00E72DEC">
        <w:t xml:space="preserve"> custos variados”, contou </w:t>
      </w:r>
      <w:r w:rsidR="00E72DEC" w:rsidRPr="00E72DEC">
        <w:t>Christian Kullmann</w:t>
      </w:r>
      <w:r w:rsidR="00E72DEC">
        <w:t xml:space="preserve">, Presidente da </w:t>
      </w:r>
      <w:r w:rsidR="00E72DEC" w:rsidRPr="00E72DEC">
        <w:t>Diretoria Executiva</w:t>
      </w:r>
      <w:r w:rsidR="00E72DEC">
        <w:t>.</w:t>
      </w:r>
      <w:r w:rsidR="007F1379">
        <w:t xml:space="preserve"> </w:t>
      </w:r>
      <w:r w:rsidR="00E72DEC">
        <w:t xml:space="preserve">“Embora </w:t>
      </w:r>
      <w:r w:rsidR="00422E7F">
        <w:t>as</w:t>
      </w:r>
      <w:r w:rsidR="005A13F5">
        <w:t xml:space="preserve"> condições comerciais estivessem dominadas por</w:t>
      </w:r>
      <w:r w:rsidR="00422E7F">
        <w:t xml:space="preserve"> incertezas e gargalos, a Evonik </w:t>
      </w:r>
      <w:r w:rsidR="009E0698">
        <w:t xml:space="preserve">começou </w:t>
      </w:r>
      <w:r w:rsidR="00BF51E1">
        <w:t>o ano em boa posição</w:t>
      </w:r>
      <w:r w:rsidR="00422E7F">
        <w:t xml:space="preserve">. </w:t>
      </w:r>
    </w:p>
    <w:p w14:paraId="52580615" w14:textId="75335902" w:rsidR="005F4B6D" w:rsidRDefault="00D25746" w:rsidP="00FC79D9">
      <w:pPr>
        <w:pStyle w:val="Corpodetexto"/>
        <w:spacing w:before="300" w:line="213" w:lineRule="auto"/>
        <w:ind w:left="101" w:right="182"/>
        <w:jc w:val="both"/>
      </w:pPr>
      <w:r w:rsidRPr="00275952">
        <w:t>Os principais impulsores do crescimento</w:t>
      </w:r>
      <w:r w:rsidR="00E70231" w:rsidRPr="00275952">
        <w:t xml:space="preserve"> até aqui foram as divisões Nutrition &amp; Care e Performance Materials.</w:t>
      </w:r>
      <w:r w:rsidR="005F4B6D" w:rsidRPr="00275952">
        <w:t xml:space="preserve"> </w:t>
      </w:r>
      <w:r w:rsidR="00E70231" w:rsidRPr="00275952">
        <w:t>Os aminoácidos essenciais para nutrição animal se beneficiaram do incremento da demanda e de preços de venda mais altos.</w:t>
      </w:r>
      <w:r w:rsidR="005F4B6D" w:rsidRPr="00275952">
        <w:t xml:space="preserve"> </w:t>
      </w:r>
      <w:r w:rsidR="002A2F22" w:rsidRPr="00275952">
        <w:t xml:space="preserve">O fato de operar unidades de produção </w:t>
      </w:r>
      <w:r w:rsidR="004F66B3" w:rsidRPr="00275952">
        <w:t xml:space="preserve">em </w:t>
      </w:r>
      <w:r w:rsidR="002A2F22" w:rsidRPr="00275952">
        <w:t xml:space="preserve">escala </w:t>
      </w:r>
      <w:r w:rsidR="008D5430" w:rsidRPr="00275952">
        <w:t>mundial</w:t>
      </w:r>
      <w:r w:rsidR="002A2F22" w:rsidRPr="00275952">
        <w:t xml:space="preserve"> em </w:t>
      </w:r>
      <w:r w:rsidR="002A2F22">
        <w:t xml:space="preserve">Singapura, Antuérpia e Alabama </w:t>
      </w:r>
      <w:r w:rsidR="001C1C43">
        <w:t>está compensando</w:t>
      </w:r>
      <w:r w:rsidR="008D5430">
        <w:t xml:space="preserve"> na medida em que a Evonik pode assegurar entregas confiáveis e mais econômicas para a Ásia, a Europa e as Américas</w:t>
      </w:r>
      <w:r w:rsidR="001C1C43">
        <w:t>.</w:t>
      </w:r>
      <w:r w:rsidR="005F4B6D">
        <w:t xml:space="preserve"> </w:t>
      </w:r>
      <w:r w:rsidR="00AD1ECF">
        <w:t xml:space="preserve">Um crescimento significativo nas receitas também </w:t>
      </w:r>
      <w:r w:rsidR="00DD5EF6">
        <w:t>foi registrado no</w:t>
      </w:r>
      <w:r w:rsidR="00BF51E1">
        <w:t>s</w:t>
      </w:r>
      <w:r w:rsidR="00DD5EF6">
        <w:t xml:space="preserve"> segmento</w:t>
      </w:r>
      <w:r w:rsidR="00BF51E1">
        <w:t>s</w:t>
      </w:r>
      <w:r w:rsidR="00DD5EF6">
        <w:t xml:space="preserve"> de </w:t>
      </w:r>
      <w:r w:rsidR="007E5FE4">
        <w:t xml:space="preserve">liberação de fármacos e ingredientes ativos para cosméticos. </w:t>
      </w:r>
    </w:p>
    <w:p w14:paraId="15EE2514" w14:textId="698FC6D5" w:rsidR="005F4B6D" w:rsidRDefault="007E5FE4" w:rsidP="00FC79D9">
      <w:pPr>
        <w:pStyle w:val="Corpodetexto"/>
        <w:spacing w:before="300" w:line="213" w:lineRule="auto"/>
        <w:ind w:left="101" w:right="33"/>
        <w:jc w:val="both"/>
      </w:pPr>
      <w:r>
        <w:t xml:space="preserve">A divisão </w:t>
      </w:r>
      <w:r w:rsidRPr="007E5FE4">
        <w:t>Performance Materials</w:t>
      </w:r>
      <w:r>
        <w:t xml:space="preserve"> se beneficiou do aumento da demanda e </w:t>
      </w:r>
      <w:r w:rsidR="00BF51E1">
        <w:t>d</w:t>
      </w:r>
      <w:r w:rsidR="00C96446">
        <w:t xml:space="preserve">os preços de venda </w:t>
      </w:r>
      <w:r w:rsidR="00FB2230">
        <w:t>n</w:t>
      </w:r>
      <w:r w:rsidR="00C96446">
        <w:t xml:space="preserve">os produtos </w:t>
      </w:r>
      <w:r w:rsidR="00C96446" w:rsidRPr="00C96446">
        <w:t>C</w:t>
      </w:r>
      <w:r w:rsidR="00C96446" w:rsidRPr="00C96446">
        <w:rPr>
          <w:vertAlign w:val="subscript"/>
        </w:rPr>
        <w:t>4</w:t>
      </w:r>
      <w:r w:rsidR="00C96446">
        <w:t>.</w:t>
      </w:r>
      <w:r w:rsidR="005F4B6D">
        <w:rPr>
          <w:position w:val="2"/>
        </w:rPr>
        <w:t xml:space="preserve"> </w:t>
      </w:r>
      <w:r w:rsidR="004B530E" w:rsidRPr="004B530E">
        <w:rPr>
          <w:position w:val="2"/>
        </w:rPr>
        <w:t xml:space="preserve">Na situação atual, suas cláusulas de preços </w:t>
      </w:r>
      <w:r w:rsidR="004B530E">
        <w:rPr>
          <w:position w:val="2"/>
        </w:rPr>
        <w:t xml:space="preserve">tendo como base a </w:t>
      </w:r>
      <w:r w:rsidR="004B530E" w:rsidRPr="004B530E">
        <w:rPr>
          <w:position w:val="2"/>
        </w:rPr>
        <w:t xml:space="preserve">nafta </w:t>
      </w:r>
      <w:r w:rsidR="00FB2230">
        <w:rPr>
          <w:position w:val="2"/>
        </w:rPr>
        <w:t>atuaram</w:t>
      </w:r>
      <w:r w:rsidR="004B530E" w:rsidRPr="004B530E">
        <w:rPr>
          <w:position w:val="2"/>
        </w:rPr>
        <w:t xml:space="preserve"> como uma proteção natural contra </w:t>
      </w:r>
      <w:r w:rsidR="00FB2230">
        <w:rPr>
          <w:position w:val="2"/>
        </w:rPr>
        <w:t xml:space="preserve">as </w:t>
      </w:r>
      <w:r w:rsidR="004B530E" w:rsidRPr="004B530E">
        <w:rPr>
          <w:position w:val="2"/>
        </w:rPr>
        <w:t>alta</w:t>
      </w:r>
      <w:r w:rsidR="00FA498B">
        <w:rPr>
          <w:position w:val="2"/>
        </w:rPr>
        <w:t>s</w:t>
      </w:r>
      <w:r w:rsidR="004B530E" w:rsidRPr="004B530E">
        <w:rPr>
          <w:position w:val="2"/>
        </w:rPr>
        <w:t xml:space="preserve"> </w:t>
      </w:r>
      <w:r w:rsidR="00FA498B">
        <w:rPr>
          <w:position w:val="2"/>
        </w:rPr>
        <w:t>n</w:t>
      </w:r>
      <w:r w:rsidR="004B530E" w:rsidRPr="004B530E">
        <w:rPr>
          <w:position w:val="2"/>
        </w:rPr>
        <w:t>o preço do petróleo</w:t>
      </w:r>
      <w:r w:rsidR="00FD396C">
        <w:rPr>
          <w:position w:val="2"/>
        </w:rPr>
        <w:t>.</w:t>
      </w:r>
    </w:p>
    <w:p w14:paraId="1566E23C" w14:textId="2D6432D2" w:rsidR="00B55A8E" w:rsidRPr="005B3732" w:rsidRDefault="001E1DC1" w:rsidP="00FC79D9">
      <w:pPr>
        <w:pStyle w:val="Corpodetexto"/>
        <w:spacing w:before="300" w:line="213" w:lineRule="auto"/>
        <w:ind w:left="101" w:right="317"/>
        <w:jc w:val="both"/>
      </w:pPr>
      <w:r w:rsidRPr="00275952">
        <w:lastRenderedPageBreak/>
        <w:t>Essas evoluções também se refletem nas vendas da empresa, que cresceram 34% para 4,5 bilhões de euros nos primeiros três meses de 2022</w:t>
      </w:r>
      <w:r w:rsidR="00F813AB" w:rsidRPr="00275952">
        <w:t>,</w:t>
      </w:r>
      <w:r w:rsidR="00705810" w:rsidRPr="00275952">
        <w:t xml:space="preserve"> na comparação ano a ano</w:t>
      </w:r>
      <w:r w:rsidRPr="00275952">
        <w:t>.</w:t>
      </w:r>
      <w:r w:rsidR="00275952">
        <w:t xml:space="preserve"> </w:t>
      </w:r>
      <w:r w:rsidR="00705810" w:rsidRPr="00275952">
        <w:t xml:space="preserve">O </w:t>
      </w:r>
      <w:r w:rsidR="00F813AB" w:rsidRPr="00275952">
        <w:t>resultado</w:t>
      </w:r>
      <w:r w:rsidR="00705810" w:rsidRPr="00275952">
        <w:t xml:space="preserve"> líquido ajustado </w:t>
      </w:r>
      <w:r w:rsidR="00B0569D" w:rsidRPr="00275952">
        <w:t>subiu</w:t>
      </w:r>
      <w:r w:rsidR="00705810" w:rsidRPr="00275952">
        <w:t xml:space="preserve"> </w:t>
      </w:r>
      <w:r w:rsidR="00B0569D" w:rsidRPr="00275952">
        <w:t>49</w:t>
      </w:r>
      <w:r w:rsidR="00705810" w:rsidRPr="00275952">
        <w:t xml:space="preserve">% para </w:t>
      </w:r>
      <w:r w:rsidR="00DA42E5" w:rsidRPr="00275952">
        <w:t>356</w:t>
      </w:r>
      <w:r w:rsidR="00705810" w:rsidRPr="00275952">
        <w:t xml:space="preserve"> milhões de euros.  </w:t>
      </w:r>
      <w:r w:rsidR="00B55A8E">
        <w:br/>
      </w:r>
      <w:r w:rsidR="00B55A8E">
        <w:br/>
      </w:r>
      <w:r w:rsidR="00B55A8E" w:rsidRPr="00FE5B55">
        <w:t>O fluxo de caixa livre somou 133 milhões de euros no primeiro trimestre, em comparação aos 312 milhões de euros no mesmo período do exercício anterior. “</w:t>
      </w:r>
      <w:r w:rsidR="00B55A8E" w:rsidRPr="005B3732">
        <w:t xml:space="preserve">A inflação de custos e, sobretudo, o aumento dos custos da matéria-prima elevaram o valor dos nossos estoques”, disse Ute Wolf, CFO da Evonik. “Além disso, aumentamos os estoques como precaução, para estar preparados em caso de interrupções na cadeia de fornecimento”. </w:t>
      </w:r>
    </w:p>
    <w:p w14:paraId="2701CCA0" w14:textId="77777777" w:rsidR="00B55A8E" w:rsidRPr="005B3732" w:rsidRDefault="00B55A8E" w:rsidP="00FC79D9">
      <w:pPr>
        <w:pStyle w:val="Corpodetexto"/>
        <w:spacing w:before="300" w:line="213" w:lineRule="auto"/>
        <w:ind w:left="101" w:right="317"/>
        <w:jc w:val="both"/>
      </w:pPr>
      <w:r w:rsidRPr="005B3732">
        <w:t xml:space="preserve">Em vista das projeções mais baixas para o crescimento econômico global, a Evonik revisou as suas expectativas para 2022. “Estamos enfrentando um período de incerteza econômica </w:t>
      </w:r>
      <w:r>
        <w:t>incomum</w:t>
      </w:r>
      <w:r w:rsidRPr="005B3732">
        <w:t xml:space="preserve">”, disse </w:t>
      </w:r>
      <w:proofErr w:type="spellStart"/>
      <w:r w:rsidRPr="005B3732">
        <w:t>Kullmann</w:t>
      </w:r>
      <w:proofErr w:type="spellEnd"/>
      <w:r w:rsidRPr="005B3732">
        <w:t>. “Os aumentos nos preços da energia e as incertezas consideráveis em relação ao fornecimento de matérias-primas estão pressionando a indústria e a economia como um todo”.</w:t>
      </w:r>
    </w:p>
    <w:p w14:paraId="0B13CBC7" w14:textId="77777777" w:rsidR="00B55A8E" w:rsidRPr="005B3732" w:rsidRDefault="00B55A8E" w:rsidP="00FC79D9">
      <w:pPr>
        <w:pStyle w:val="Corpodetexto"/>
        <w:spacing w:before="300" w:line="213" w:lineRule="auto"/>
        <w:ind w:left="101" w:right="317"/>
        <w:jc w:val="both"/>
      </w:pPr>
      <w:r w:rsidRPr="005B3732">
        <w:t xml:space="preserve">A Evonik agora prevê um crescimento global de 3,3%. “Tendo como base o nosso </w:t>
      </w:r>
      <w:r>
        <w:t>sólido</w:t>
      </w:r>
      <w:r w:rsidRPr="005B3732">
        <w:t xml:space="preserve"> início de ano e </w:t>
      </w:r>
      <w:r>
        <w:t>supondo</w:t>
      </w:r>
      <w:r w:rsidRPr="005B3732">
        <w:t xml:space="preserve"> que não haverá nenhum escalada adicional na situação geopolítica, estamos confirmando as nossas perspectivas para o ano inteiro”, disse </w:t>
      </w:r>
      <w:proofErr w:type="spellStart"/>
      <w:r w:rsidRPr="005B3732">
        <w:t>Kullmann</w:t>
      </w:r>
      <w:proofErr w:type="spellEnd"/>
      <w:r w:rsidRPr="005B3732">
        <w:t>.</w:t>
      </w:r>
    </w:p>
    <w:p w14:paraId="117D46DF" w14:textId="77777777" w:rsidR="00B55A8E" w:rsidRPr="0045691E" w:rsidRDefault="00B55A8E" w:rsidP="00FC79D9">
      <w:pPr>
        <w:pStyle w:val="Corpodetexto"/>
        <w:spacing w:before="300" w:line="213" w:lineRule="auto"/>
        <w:ind w:left="101" w:right="317"/>
        <w:jc w:val="both"/>
      </w:pPr>
      <w:r w:rsidRPr="0045691E">
        <w:t xml:space="preserve">A empresa espera notificar um EBITDA ajustado entre 2,5 e 2,6 bilhões de euros e vendas entre 15,5 e 16,5 bilhões de euros. Em 2021, o EBITDA ajustado da Evonik foi de 2,38 bilhões de euros, com vendas valendo 15 bilhões de euros.  </w:t>
      </w:r>
    </w:p>
    <w:p w14:paraId="0E14879F" w14:textId="77777777" w:rsidR="00B55A8E" w:rsidRPr="005B3732" w:rsidRDefault="00B55A8E" w:rsidP="00FC79D9">
      <w:pPr>
        <w:pStyle w:val="Corpodetexto"/>
        <w:spacing w:before="300" w:line="213" w:lineRule="auto"/>
        <w:ind w:left="101" w:right="317"/>
        <w:jc w:val="both"/>
      </w:pPr>
      <w:r w:rsidRPr="005B3732">
        <w:t xml:space="preserve">A Evonik publicará os resultados detalhados do primeiro trimestre em 6 de maio de 2022, conforme planejado. </w:t>
      </w:r>
    </w:p>
    <w:p w14:paraId="250396C0" w14:textId="15BB15B9" w:rsidR="00B55A8E" w:rsidRDefault="00B55A8E" w:rsidP="00DA42E5">
      <w:pPr>
        <w:pStyle w:val="Corpodetexto"/>
        <w:spacing w:before="300" w:line="213" w:lineRule="auto"/>
        <w:ind w:left="101" w:right="317"/>
        <w:jc w:val="both"/>
      </w:pPr>
    </w:p>
    <w:p w14:paraId="453D291B" w14:textId="565ED4E9" w:rsidR="00B55A8E" w:rsidRDefault="00B55A8E" w:rsidP="00DA42E5">
      <w:pPr>
        <w:pStyle w:val="Corpodetexto"/>
        <w:spacing w:before="300" w:line="213" w:lineRule="auto"/>
        <w:ind w:left="101" w:right="317"/>
        <w:jc w:val="both"/>
      </w:pPr>
    </w:p>
    <w:p w14:paraId="0F1AE243" w14:textId="77777777" w:rsidR="00B55A8E" w:rsidRPr="00275952" w:rsidRDefault="00B55A8E" w:rsidP="00DA42E5">
      <w:pPr>
        <w:pStyle w:val="Corpodetexto"/>
        <w:spacing w:before="300" w:line="213" w:lineRule="auto"/>
        <w:ind w:left="101" w:right="317"/>
        <w:jc w:val="both"/>
      </w:pPr>
    </w:p>
    <w:p w14:paraId="75B81EA4" w14:textId="7C648005" w:rsidR="00F5203F" w:rsidRDefault="00F5203F" w:rsidP="0032793B"/>
    <w:p w14:paraId="369041AB" w14:textId="57340EB8" w:rsidR="001E03EB" w:rsidRDefault="001E03EB" w:rsidP="0032793B"/>
    <w:p w14:paraId="03257B45" w14:textId="4FF6B20C" w:rsidR="001E03EB" w:rsidRDefault="001E03EB" w:rsidP="0032793B"/>
    <w:p w14:paraId="4619681A" w14:textId="77777777" w:rsidR="001E03EB" w:rsidRDefault="001E03EB" w:rsidP="0032793B"/>
    <w:p w14:paraId="0EF362E1" w14:textId="77777777" w:rsidR="001E03EB" w:rsidRPr="00275952" w:rsidRDefault="001E03EB" w:rsidP="0032793B"/>
    <w:p w14:paraId="72E4CF6B" w14:textId="77777777" w:rsidR="003A3FBF" w:rsidRDefault="00DA42E5" w:rsidP="001E03EB">
      <w:pPr>
        <w:spacing w:line="220" w:lineRule="exact"/>
        <w:ind w:left="142"/>
        <w:rPr>
          <w:rFonts w:eastAsia="Lucida Sans Unicode" w:cs="Lucida Sans Unicode"/>
          <w:b/>
          <w:sz w:val="18"/>
          <w:szCs w:val="18"/>
          <w:bdr w:val="nil"/>
        </w:rPr>
      </w:pPr>
      <w:r w:rsidRPr="003A3FBF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r w:rsidR="003A3FBF">
        <w:rPr>
          <w:rFonts w:eastAsia="Lucida Sans Unicode" w:cs="Lucida Sans Unicode"/>
          <w:b/>
          <w:sz w:val="18"/>
          <w:szCs w:val="18"/>
          <w:bdr w:val="nil"/>
        </w:rPr>
        <w:t>:</w:t>
      </w:r>
    </w:p>
    <w:p w14:paraId="67776916" w14:textId="6D29AD28" w:rsidR="001B2244" w:rsidRPr="003A3FBF" w:rsidRDefault="001B2244" w:rsidP="001E03EB">
      <w:pPr>
        <w:spacing w:line="220" w:lineRule="exact"/>
        <w:ind w:left="142"/>
        <w:rPr>
          <w:sz w:val="18"/>
          <w:szCs w:val="18"/>
        </w:rPr>
      </w:pPr>
      <w:r w:rsidRPr="003A3FBF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E03EB">
      <w:pPr>
        <w:spacing w:line="220" w:lineRule="exact"/>
        <w:ind w:left="142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E03EB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E03EB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proofErr w:type="spellEnd"/>
    </w:p>
    <w:p w14:paraId="6D83EF15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E03EB">
      <w:pPr>
        <w:spacing w:line="220" w:lineRule="exact"/>
        <w:ind w:left="142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E03EB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E03EB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8D22" w14:textId="77777777" w:rsidR="005871F4" w:rsidRDefault="005871F4">
      <w:pPr>
        <w:spacing w:line="240" w:lineRule="auto"/>
      </w:pPr>
      <w:r>
        <w:separator/>
      </w:r>
    </w:p>
  </w:endnote>
  <w:endnote w:type="continuationSeparator" w:id="0">
    <w:p w14:paraId="3237E775" w14:textId="77777777" w:rsidR="005871F4" w:rsidRDefault="00587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E3E" w14:textId="77777777" w:rsidR="0042155B" w:rsidRDefault="004215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FC78" w14:textId="77777777" w:rsidR="005871F4" w:rsidRDefault="005871F4">
      <w:pPr>
        <w:spacing w:line="240" w:lineRule="auto"/>
      </w:pPr>
      <w:r>
        <w:separator/>
      </w:r>
    </w:p>
  </w:footnote>
  <w:footnote w:type="continuationSeparator" w:id="0">
    <w:p w14:paraId="72AA90EC" w14:textId="77777777" w:rsidR="005871F4" w:rsidRDefault="00587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948" w14:textId="77777777" w:rsidR="0042155B" w:rsidRDefault="004215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9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77658D5"/>
    <w:multiLevelType w:val="hybridMultilevel"/>
    <w:tmpl w:val="55D427DC"/>
    <w:lvl w:ilvl="0" w:tplc="77A8CFEC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4C54A930">
      <w:numFmt w:val="bullet"/>
      <w:lvlText w:val="•"/>
      <w:lvlJc w:val="left"/>
      <w:pPr>
        <w:ind w:left="1120" w:hanging="341"/>
      </w:pPr>
      <w:rPr>
        <w:rFonts w:hint="default"/>
        <w:lang w:val="en-US" w:eastAsia="en-US" w:bidi="ar-SA"/>
      </w:rPr>
    </w:lvl>
    <w:lvl w:ilvl="2" w:tplc="027E0F14">
      <w:numFmt w:val="bullet"/>
      <w:lvlText w:val="•"/>
      <w:lvlJc w:val="left"/>
      <w:pPr>
        <w:ind w:left="1800" w:hanging="341"/>
      </w:pPr>
      <w:rPr>
        <w:rFonts w:hint="default"/>
        <w:lang w:val="en-US" w:eastAsia="en-US" w:bidi="ar-SA"/>
      </w:rPr>
    </w:lvl>
    <w:lvl w:ilvl="3" w:tplc="EC7011CE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4" w:tplc="5370575E">
      <w:numFmt w:val="bullet"/>
      <w:lvlText w:val="•"/>
      <w:lvlJc w:val="left"/>
      <w:pPr>
        <w:ind w:left="3160" w:hanging="341"/>
      </w:pPr>
      <w:rPr>
        <w:rFonts w:hint="default"/>
        <w:lang w:val="en-US" w:eastAsia="en-US" w:bidi="ar-SA"/>
      </w:rPr>
    </w:lvl>
    <w:lvl w:ilvl="5" w:tplc="0EFE7D2C">
      <w:numFmt w:val="bullet"/>
      <w:lvlText w:val="•"/>
      <w:lvlJc w:val="left"/>
      <w:pPr>
        <w:ind w:left="3840" w:hanging="341"/>
      </w:pPr>
      <w:rPr>
        <w:rFonts w:hint="default"/>
        <w:lang w:val="en-US" w:eastAsia="en-US" w:bidi="ar-SA"/>
      </w:rPr>
    </w:lvl>
    <w:lvl w:ilvl="6" w:tplc="6F9C48BE">
      <w:numFmt w:val="bullet"/>
      <w:lvlText w:val="•"/>
      <w:lvlJc w:val="left"/>
      <w:pPr>
        <w:ind w:left="4520" w:hanging="341"/>
      </w:pPr>
      <w:rPr>
        <w:rFonts w:hint="default"/>
        <w:lang w:val="en-US" w:eastAsia="en-US" w:bidi="ar-SA"/>
      </w:rPr>
    </w:lvl>
    <w:lvl w:ilvl="7" w:tplc="090447AE">
      <w:numFmt w:val="bullet"/>
      <w:lvlText w:val="•"/>
      <w:lvlJc w:val="left"/>
      <w:pPr>
        <w:ind w:left="5200" w:hanging="341"/>
      </w:pPr>
      <w:rPr>
        <w:rFonts w:hint="default"/>
        <w:lang w:val="en-US" w:eastAsia="en-US" w:bidi="ar-SA"/>
      </w:rPr>
    </w:lvl>
    <w:lvl w:ilvl="8" w:tplc="4E5C7D50">
      <w:numFmt w:val="bullet"/>
      <w:lvlText w:val="•"/>
      <w:lvlJc w:val="left"/>
      <w:pPr>
        <w:ind w:left="5880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8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4"/>
  </w:num>
  <w:num w:numId="16" w16cid:durableId="203517812">
    <w:abstractNumId w:val="23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8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9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9"/>
  </w:num>
  <w:num w:numId="37" w16cid:durableId="876501625">
    <w:abstractNumId w:val="13"/>
  </w:num>
  <w:num w:numId="38" w16cid:durableId="589312420">
    <w:abstractNumId w:val="22"/>
  </w:num>
  <w:num w:numId="39" w16cid:durableId="42675483">
    <w:abstractNumId w:val="21"/>
  </w:num>
  <w:num w:numId="40" w16cid:durableId="336929355">
    <w:abstractNumId w:val="20"/>
  </w:num>
  <w:num w:numId="41" w16cid:durableId="2535610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652B3"/>
    <w:rsid w:val="00084555"/>
    <w:rsid w:val="00086273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576FD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1C43"/>
    <w:rsid w:val="001D0F3F"/>
    <w:rsid w:val="001E03EB"/>
    <w:rsid w:val="001E1DC1"/>
    <w:rsid w:val="001F7C26"/>
    <w:rsid w:val="002122C4"/>
    <w:rsid w:val="00221C32"/>
    <w:rsid w:val="002376F7"/>
    <w:rsid w:val="00241B78"/>
    <w:rsid w:val="002427AA"/>
    <w:rsid w:val="0024351A"/>
    <w:rsid w:val="0024351E"/>
    <w:rsid w:val="00243912"/>
    <w:rsid w:val="002527E3"/>
    <w:rsid w:val="00275952"/>
    <w:rsid w:val="0027659F"/>
    <w:rsid w:val="00287090"/>
    <w:rsid w:val="00290F07"/>
    <w:rsid w:val="002A0595"/>
    <w:rsid w:val="002A2F22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45E5E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3FBF"/>
    <w:rsid w:val="003A711C"/>
    <w:rsid w:val="003B72EF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155B"/>
    <w:rsid w:val="00422338"/>
    <w:rsid w:val="00422E7F"/>
    <w:rsid w:val="00424F52"/>
    <w:rsid w:val="00437C41"/>
    <w:rsid w:val="004566C0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530E"/>
    <w:rsid w:val="004B7C16"/>
    <w:rsid w:val="004C04DB"/>
    <w:rsid w:val="004C520C"/>
    <w:rsid w:val="004C5E53"/>
    <w:rsid w:val="004C672E"/>
    <w:rsid w:val="004C7B9F"/>
    <w:rsid w:val="004D7681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66B3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1F4"/>
    <w:rsid w:val="00587C52"/>
    <w:rsid w:val="005A119C"/>
    <w:rsid w:val="005A13F5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4B6D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05810"/>
    <w:rsid w:val="007145A8"/>
    <w:rsid w:val="00717EDA"/>
    <w:rsid w:val="0072366D"/>
    <w:rsid w:val="00723778"/>
    <w:rsid w:val="00723B85"/>
    <w:rsid w:val="00731495"/>
    <w:rsid w:val="00737945"/>
    <w:rsid w:val="00741E19"/>
    <w:rsid w:val="00742651"/>
    <w:rsid w:val="00744FA6"/>
    <w:rsid w:val="0074625F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5FE4"/>
    <w:rsid w:val="007E7C76"/>
    <w:rsid w:val="007F1379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430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C7487"/>
    <w:rsid w:val="009D2BB4"/>
    <w:rsid w:val="009E0698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D1ECF"/>
    <w:rsid w:val="00AE3848"/>
    <w:rsid w:val="00AE601F"/>
    <w:rsid w:val="00AF0606"/>
    <w:rsid w:val="00AF6529"/>
    <w:rsid w:val="00AF7D27"/>
    <w:rsid w:val="00B0569D"/>
    <w:rsid w:val="00B175C1"/>
    <w:rsid w:val="00B2025B"/>
    <w:rsid w:val="00B31D5A"/>
    <w:rsid w:val="00B5137F"/>
    <w:rsid w:val="00B513BC"/>
    <w:rsid w:val="00B55A8E"/>
    <w:rsid w:val="00B56705"/>
    <w:rsid w:val="00B60308"/>
    <w:rsid w:val="00B64EAD"/>
    <w:rsid w:val="00B656C6"/>
    <w:rsid w:val="00B73500"/>
    <w:rsid w:val="00B75CA9"/>
    <w:rsid w:val="00B811DE"/>
    <w:rsid w:val="00B81411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51E1"/>
    <w:rsid w:val="00BF70B0"/>
    <w:rsid w:val="00BF7733"/>
    <w:rsid w:val="00BF7C77"/>
    <w:rsid w:val="00C100C6"/>
    <w:rsid w:val="00C17023"/>
    <w:rsid w:val="00C174FF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96446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5746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97B6B"/>
    <w:rsid w:val="00DA42E5"/>
    <w:rsid w:val="00DB3E3C"/>
    <w:rsid w:val="00DB7FA2"/>
    <w:rsid w:val="00DC1267"/>
    <w:rsid w:val="00DC1494"/>
    <w:rsid w:val="00DD4537"/>
    <w:rsid w:val="00DD5EF6"/>
    <w:rsid w:val="00DD77CD"/>
    <w:rsid w:val="00DE534A"/>
    <w:rsid w:val="00DF6503"/>
    <w:rsid w:val="00DF6DE7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70231"/>
    <w:rsid w:val="00E72DEC"/>
    <w:rsid w:val="00E83FF0"/>
    <w:rsid w:val="00E86454"/>
    <w:rsid w:val="00E8737C"/>
    <w:rsid w:val="00E87FF3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09C"/>
    <w:rsid w:val="00F70209"/>
    <w:rsid w:val="00F721F5"/>
    <w:rsid w:val="00F813AB"/>
    <w:rsid w:val="00F94E80"/>
    <w:rsid w:val="00F96B9B"/>
    <w:rsid w:val="00FA151A"/>
    <w:rsid w:val="00FA498B"/>
    <w:rsid w:val="00FA5F5C"/>
    <w:rsid w:val="00FB2230"/>
    <w:rsid w:val="00FB316C"/>
    <w:rsid w:val="00FC3A8C"/>
    <w:rsid w:val="00FC641F"/>
    <w:rsid w:val="00FC79D9"/>
    <w:rsid w:val="00FC7A2A"/>
    <w:rsid w:val="00FD0461"/>
    <w:rsid w:val="00FD1184"/>
    <w:rsid w:val="00FD396C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2022-05-02T22:00:00+00:00</Date>
    <DocumentTitle xmlns="15ce2d31-04c3-48cb-bf76-e52371868153">Evonik Release Internacional Resultados Financeiros 1Trim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87EC-8861-4F64-B8A7-2AB8E3D8FF54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816</Words>
  <Characters>4410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 Press Release</dc:subject>
  <dc:creator>Taís Augusto</dc:creator>
  <cp:keywords/>
  <dc:description>Abril 2022</dc:description>
  <cp:lastModifiedBy>Sheila</cp:lastModifiedBy>
  <cp:revision>4</cp:revision>
  <cp:lastPrinted>2017-06-09T09:57:00Z</cp:lastPrinted>
  <dcterms:created xsi:type="dcterms:W3CDTF">2022-05-02T13:28:00Z</dcterms:created>
  <dcterms:modified xsi:type="dcterms:W3CDTF">2022-05-02T17:36:00Z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