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8D6C5B" w14:paraId="2613034A" w14:textId="77777777" w:rsidTr="00D81410">
        <w:trPr>
          <w:trHeight w:val="851"/>
        </w:trPr>
        <w:tc>
          <w:tcPr>
            <w:tcW w:w="2552" w:type="dxa"/>
            <w:shd w:val="clear" w:color="auto" w:fill="auto"/>
          </w:tcPr>
          <w:p w14:paraId="17B3A864" w14:textId="08C5EE91" w:rsidR="004F1918" w:rsidRPr="008D6C5B" w:rsidRDefault="002213C0" w:rsidP="004F1918">
            <w:pPr>
              <w:pStyle w:val="M7"/>
              <w:framePr w:wrap="auto" w:vAnchor="margin" w:hAnchor="text" w:xAlign="left" w:yAlign="inline"/>
              <w:suppressOverlap w:val="0"/>
              <w:rPr>
                <w:b w:val="0"/>
                <w:sz w:val="18"/>
                <w:szCs w:val="18"/>
                <w:lang w:val="pt-BR"/>
              </w:rPr>
            </w:pPr>
            <w:r>
              <w:rPr>
                <w:b w:val="0"/>
                <w:sz w:val="18"/>
                <w:szCs w:val="18"/>
                <w:lang w:val="pt-BR"/>
              </w:rPr>
              <w:t>11</w:t>
            </w:r>
            <w:r w:rsidR="009C0B75" w:rsidRPr="008D6C5B">
              <w:rPr>
                <w:b w:val="0"/>
                <w:sz w:val="18"/>
                <w:szCs w:val="18"/>
                <w:lang w:val="pt-BR"/>
              </w:rPr>
              <w:t xml:space="preserve"> de </w:t>
            </w:r>
            <w:r>
              <w:rPr>
                <w:b w:val="0"/>
                <w:sz w:val="18"/>
                <w:szCs w:val="18"/>
                <w:lang w:val="pt-BR"/>
              </w:rPr>
              <w:t>novembro</w:t>
            </w:r>
            <w:r w:rsidR="00E52EFF">
              <w:rPr>
                <w:b w:val="0"/>
                <w:sz w:val="18"/>
                <w:szCs w:val="18"/>
                <w:lang w:val="pt-BR"/>
              </w:rPr>
              <w:t xml:space="preserve"> </w:t>
            </w:r>
            <w:r w:rsidR="009C0B75" w:rsidRPr="008D6C5B">
              <w:rPr>
                <w:b w:val="0"/>
                <w:sz w:val="18"/>
                <w:szCs w:val="18"/>
                <w:lang w:val="pt-BR"/>
              </w:rPr>
              <w:t>de 202</w:t>
            </w:r>
            <w:r w:rsidR="001B2244">
              <w:rPr>
                <w:b w:val="0"/>
                <w:sz w:val="18"/>
                <w:szCs w:val="18"/>
                <w:lang w:val="pt-BR"/>
              </w:rPr>
              <w:t>2</w:t>
            </w:r>
          </w:p>
          <w:p w14:paraId="624FC4EA" w14:textId="77777777" w:rsidR="004F1918" w:rsidRPr="008D6C5B" w:rsidRDefault="004F1918" w:rsidP="004F1918">
            <w:pPr>
              <w:pStyle w:val="M7"/>
              <w:framePr w:wrap="auto" w:vAnchor="margin" w:hAnchor="text" w:xAlign="left" w:yAlign="inline"/>
              <w:suppressOverlap w:val="0"/>
              <w:rPr>
                <w:lang w:val="pt-BR"/>
              </w:rPr>
            </w:pPr>
          </w:p>
          <w:p w14:paraId="294234E1" w14:textId="77777777" w:rsidR="004F1918" w:rsidRPr="008D6C5B" w:rsidRDefault="004F1918" w:rsidP="004F1918">
            <w:pPr>
              <w:pStyle w:val="M7"/>
              <w:framePr w:wrap="auto" w:vAnchor="margin" w:hAnchor="text" w:xAlign="left" w:yAlign="inline"/>
              <w:suppressOverlap w:val="0"/>
              <w:rPr>
                <w:lang w:val="pt-BR"/>
              </w:rPr>
            </w:pPr>
          </w:p>
          <w:p w14:paraId="6BF3567B" w14:textId="77777777" w:rsidR="00840CD4" w:rsidRPr="008D6C5B" w:rsidRDefault="002B49D6" w:rsidP="004F1918">
            <w:pPr>
              <w:pStyle w:val="M7"/>
              <w:framePr w:wrap="auto" w:vAnchor="margin" w:hAnchor="text" w:xAlign="left" w:yAlign="inline"/>
              <w:suppressOverlap w:val="0"/>
              <w:rPr>
                <w:lang w:val="pt-BR"/>
              </w:rPr>
            </w:pPr>
            <w:r w:rsidRPr="008D6C5B">
              <w:rPr>
                <w:rFonts w:eastAsia="Lucida Sans Unicode" w:cs="Lucida Sans Unicode"/>
                <w:szCs w:val="13"/>
                <w:bdr w:val="nil"/>
                <w:lang w:val="pt-BR"/>
              </w:rPr>
              <w:t>Regina Bárbara</w:t>
            </w:r>
          </w:p>
          <w:p w14:paraId="7149961B" w14:textId="77777777" w:rsidR="004F1918" w:rsidRPr="008D6C5B" w:rsidRDefault="002B49D6" w:rsidP="00840CD4">
            <w:pPr>
              <w:pStyle w:val="M7"/>
              <w:framePr w:wrap="auto" w:vAnchor="margin" w:hAnchor="text" w:xAlign="left" w:yAlign="inline"/>
              <w:suppressOverlap w:val="0"/>
              <w:rPr>
                <w:b w:val="0"/>
                <w:lang w:val="pt-BR"/>
              </w:rPr>
            </w:pPr>
            <w:r w:rsidRPr="008D6C5B">
              <w:rPr>
                <w:rFonts w:eastAsia="Lucida Sans Unicode" w:cs="Lucida Sans Unicode"/>
                <w:b w:val="0"/>
                <w:bCs w:val="0"/>
                <w:szCs w:val="13"/>
                <w:bdr w:val="nil"/>
                <w:lang w:val="pt-BR"/>
              </w:rPr>
              <w:t>Comunicação &amp; Eventos</w:t>
            </w:r>
            <w:r w:rsidRPr="008D6C5B">
              <w:rPr>
                <w:rFonts w:eastAsia="Lucida Sans Unicode" w:cs="Lucida Sans Unicode"/>
                <w:b w:val="0"/>
                <w:bCs w:val="0"/>
                <w:szCs w:val="13"/>
                <w:bdr w:val="nil"/>
                <w:lang w:val="pt-BR"/>
              </w:rPr>
              <w:br/>
              <w:t>América Central e do Sul</w:t>
            </w:r>
            <w:r w:rsidRPr="008D6C5B">
              <w:rPr>
                <w:rFonts w:eastAsia="Lucida Sans Unicode" w:cs="Lucida Sans Unicode"/>
                <w:szCs w:val="13"/>
                <w:bdr w:val="nil"/>
                <w:lang w:val="pt-BR"/>
              </w:rPr>
              <w:t xml:space="preserve"> </w:t>
            </w:r>
            <w:r w:rsidRPr="008D6C5B">
              <w:rPr>
                <w:rFonts w:eastAsia="Lucida Sans Unicode" w:cs="Lucida Sans Unicode"/>
                <w:szCs w:val="13"/>
                <w:bdr w:val="nil"/>
                <w:lang w:val="pt-BR"/>
              </w:rPr>
              <w:br/>
            </w:r>
            <w:r w:rsidRPr="008D6C5B">
              <w:rPr>
                <w:rFonts w:eastAsia="Lucida Sans Unicode" w:cs="Lucida Sans Unicode"/>
                <w:b w:val="0"/>
                <w:bCs w:val="0"/>
                <w:szCs w:val="13"/>
                <w:bdr w:val="nil"/>
                <w:lang w:val="pt-BR"/>
              </w:rPr>
              <w:t>Phone +55 11 3146-4170</w:t>
            </w:r>
          </w:p>
          <w:p w14:paraId="2F107987" w14:textId="77777777" w:rsidR="004F1918" w:rsidRPr="008D6C5B" w:rsidRDefault="002B49D6" w:rsidP="004F1918">
            <w:pPr>
              <w:pStyle w:val="M10"/>
              <w:framePr w:wrap="auto" w:vAnchor="margin" w:hAnchor="text" w:xAlign="left" w:yAlign="inline"/>
              <w:suppressOverlap w:val="0"/>
            </w:pPr>
            <w:r w:rsidRPr="008D6C5B">
              <w:rPr>
                <w:rFonts w:eastAsia="Lucida Sans Unicode" w:cs="Lucida Sans Unicode"/>
                <w:szCs w:val="13"/>
                <w:bdr w:val="nil"/>
                <w:lang w:val="pt-BR"/>
              </w:rPr>
              <w:t xml:space="preserve">regina.barbara@evonik.com </w:t>
            </w:r>
          </w:p>
        </w:tc>
      </w:tr>
      <w:tr w:rsidR="008D6C5B" w:rsidRPr="008D6C5B" w14:paraId="2A7CC2F1" w14:textId="77777777" w:rsidTr="00D81410">
        <w:trPr>
          <w:trHeight w:val="851"/>
        </w:trPr>
        <w:tc>
          <w:tcPr>
            <w:tcW w:w="2552" w:type="dxa"/>
            <w:shd w:val="clear" w:color="auto" w:fill="auto"/>
          </w:tcPr>
          <w:p w14:paraId="42720027" w14:textId="77777777" w:rsidR="004F1918" w:rsidRPr="008D6C5B" w:rsidRDefault="004F1918" w:rsidP="008F5C81">
            <w:pPr>
              <w:pStyle w:val="M10"/>
              <w:framePr w:wrap="auto" w:vAnchor="margin" w:hAnchor="text" w:xAlign="left" w:yAlign="inline"/>
              <w:suppressOverlap w:val="0"/>
              <w:rPr>
                <w:lang w:val="pt-BR"/>
              </w:rPr>
            </w:pPr>
          </w:p>
        </w:tc>
      </w:tr>
    </w:tbl>
    <w:p w14:paraId="0F4F6B2D" w14:textId="77777777" w:rsidR="00D04B00" w:rsidRPr="008D6C5B" w:rsidRDefault="002B49D6" w:rsidP="00D04B00">
      <w:pPr>
        <w:framePr w:w="2659" w:wrap="around" w:hAnchor="page" w:x="8971" w:yAlign="bottom" w:anchorLock="1"/>
        <w:tabs>
          <w:tab w:val="left" w:pos="518"/>
        </w:tabs>
        <w:spacing w:line="180" w:lineRule="exact"/>
        <w:rPr>
          <w:sz w:val="13"/>
        </w:rPr>
      </w:pPr>
      <w:r w:rsidRPr="008D6C5B">
        <w:rPr>
          <w:rFonts w:eastAsia="Lucida Sans Unicode" w:cs="Lucida Sans Unicode"/>
          <w:b/>
          <w:bCs/>
          <w:sz w:val="13"/>
          <w:szCs w:val="13"/>
          <w:bdr w:val="nil"/>
        </w:rPr>
        <w:t>Evonik Brasil Ltda.</w:t>
      </w:r>
    </w:p>
    <w:p w14:paraId="74CF45BB"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Rua Arq. Olavo Redig de Campos, 105</w:t>
      </w:r>
    </w:p>
    <w:p w14:paraId="4EB31377"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Torre A – 04711-904 - São Paulo – SP Brasil</w:t>
      </w:r>
    </w:p>
    <w:p w14:paraId="46FE91E0"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8D6C5B"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8D6C5B">
          <w:rPr>
            <w:rFonts w:eastAsia="Lucida Sans Unicode" w:cs="Lucida Sans Unicode"/>
            <w:sz w:val="13"/>
            <w:szCs w:val="13"/>
            <w:bdr w:val="nil"/>
          </w:rPr>
          <w:t>www.evonik.com.br</w:t>
        </w:r>
      </w:hyperlink>
    </w:p>
    <w:p w14:paraId="3A8A8121"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facebook.com/Evonik</w:t>
      </w:r>
    </w:p>
    <w:p w14:paraId="491F78FC"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instagram.com/</w:t>
      </w:r>
      <w:proofErr w:type="spellStart"/>
      <w:r w:rsidRPr="008D6C5B">
        <w:rPr>
          <w:rFonts w:eastAsia="Lucida Sans Unicode" w:cs="Lucida Sans Unicode"/>
          <w:sz w:val="13"/>
          <w:szCs w:val="13"/>
          <w:bdr w:val="nil"/>
        </w:rPr>
        <w:t>Evonik.Brasil</w:t>
      </w:r>
      <w:proofErr w:type="spellEnd"/>
    </w:p>
    <w:p w14:paraId="57712739"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youtube.com/</w:t>
      </w:r>
      <w:proofErr w:type="spellStart"/>
      <w:r w:rsidRPr="008D6C5B">
        <w:rPr>
          <w:rFonts w:eastAsia="Lucida Sans Unicode" w:cs="Lucida Sans Unicode"/>
          <w:sz w:val="13"/>
          <w:szCs w:val="13"/>
          <w:bdr w:val="nil"/>
        </w:rPr>
        <w:t>EvonikIndustries</w:t>
      </w:r>
      <w:proofErr w:type="spellEnd"/>
    </w:p>
    <w:p w14:paraId="2AFAA115"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8D6C5B">
        <w:rPr>
          <w:rFonts w:eastAsia="Lucida Sans Unicode" w:cs="Lucida Sans Unicode"/>
          <w:sz w:val="13"/>
          <w:szCs w:val="13"/>
          <w:bdr w:val="nil"/>
          <w:lang w:val="en-US"/>
        </w:rPr>
        <w:t>linkedin.com/company/Evonik</w:t>
      </w:r>
    </w:p>
    <w:p w14:paraId="6C026144"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8D6C5B">
        <w:rPr>
          <w:rFonts w:eastAsia="Lucida Sans Unicode" w:cs="Lucida Sans Unicode"/>
          <w:sz w:val="13"/>
          <w:szCs w:val="13"/>
          <w:bdr w:val="nil"/>
          <w:lang w:val="en-US"/>
        </w:rPr>
        <w:t>twitter.com/</w:t>
      </w:r>
      <w:proofErr w:type="spellStart"/>
      <w:r w:rsidRPr="008D6C5B">
        <w:rPr>
          <w:rFonts w:eastAsia="Lucida Sans Unicode" w:cs="Lucida Sans Unicode"/>
          <w:sz w:val="13"/>
          <w:szCs w:val="13"/>
          <w:bdr w:val="nil"/>
          <w:lang w:val="en-US"/>
        </w:rPr>
        <w:t>Evonik_BR</w:t>
      </w:r>
      <w:proofErr w:type="spellEnd"/>
    </w:p>
    <w:p w14:paraId="187E11D0" w14:textId="22CE64EF" w:rsidR="00846733" w:rsidRPr="00E111F8" w:rsidRDefault="00846733" w:rsidP="00846733">
      <w:pPr>
        <w:pStyle w:val="Ttulo"/>
        <w:rPr>
          <w:szCs w:val="24"/>
        </w:rPr>
      </w:pPr>
      <w:r w:rsidRPr="00E111F8">
        <w:rPr>
          <w:rFonts w:ascii="Lucida Sans" w:hAnsi="Lucida Sans"/>
        </w:rPr>
        <w:t xml:space="preserve">Evonik mostra desempenho sólido em um ambiente desafiador  </w:t>
      </w:r>
    </w:p>
    <w:p w14:paraId="377E116F" w14:textId="77777777" w:rsidR="00846733" w:rsidRPr="00E111F8" w:rsidRDefault="00846733" w:rsidP="00846733">
      <w:pPr>
        <w:pStyle w:val="Ttulo"/>
        <w:rPr>
          <w:sz w:val="22"/>
          <w:szCs w:val="22"/>
        </w:rPr>
      </w:pPr>
    </w:p>
    <w:p w14:paraId="7A6FA3FD" w14:textId="77777777" w:rsidR="00846733" w:rsidRPr="005068E2" w:rsidRDefault="00846733" w:rsidP="00846733">
      <w:pPr>
        <w:numPr>
          <w:ilvl w:val="0"/>
          <w:numId w:val="32"/>
        </w:numPr>
        <w:ind w:right="85"/>
        <w:rPr>
          <w:rFonts w:ascii="Lucida Sans" w:hAnsi="Lucida Sans" w:cs="Lucida Sans Unicode"/>
          <w:szCs w:val="22"/>
        </w:rPr>
      </w:pPr>
      <w:r w:rsidRPr="005068E2">
        <w:rPr>
          <w:rFonts w:ascii="Lucida Sans" w:hAnsi="Lucida Sans" w:cs="Lucida Sans Unicode"/>
          <w:szCs w:val="22"/>
        </w:rPr>
        <w:t>Receita sobe graças a preços mais altos</w:t>
      </w:r>
    </w:p>
    <w:p w14:paraId="27F32ADB" w14:textId="77777777" w:rsidR="00846733" w:rsidRPr="005068E2" w:rsidRDefault="00846733" w:rsidP="00846733">
      <w:pPr>
        <w:numPr>
          <w:ilvl w:val="0"/>
          <w:numId w:val="32"/>
        </w:numPr>
        <w:ind w:right="85"/>
        <w:rPr>
          <w:rFonts w:ascii="Lucida Sans" w:hAnsi="Lucida Sans" w:cs="Lucida Sans Unicode"/>
          <w:szCs w:val="22"/>
        </w:rPr>
      </w:pPr>
      <w:r w:rsidRPr="005068E2">
        <w:rPr>
          <w:rFonts w:ascii="Lucida Sans" w:hAnsi="Lucida Sans" w:cs="Lucida Sans Unicode"/>
          <w:szCs w:val="22"/>
        </w:rPr>
        <w:t>Perspectivas para resultados de 2022 confirmadas</w:t>
      </w:r>
    </w:p>
    <w:p w14:paraId="36BFD678" w14:textId="77777777" w:rsidR="00846733" w:rsidRPr="005068E2" w:rsidRDefault="00846733" w:rsidP="00846733">
      <w:pPr>
        <w:numPr>
          <w:ilvl w:val="0"/>
          <w:numId w:val="32"/>
        </w:numPr>
        <w:ind w:left="340" w:right="85"/>
        <w:rPr>
          <w:rFonts w:cs="Lucida Sans Unicode"/>
          <w:sz w:val="24"/>
        </w:rPr>
      </w:pPr>
      <w:r w:rsidRPr="005068E2">
        <w:rPr>
          <w:rFonts w:ascii="Lucida Sans" w:hAnsi="Lucida Sans" w:cs="Lucida Sans Unicode"/>
          <w:szCs w:val="22"/>
        </w:rPr>
        <w:t xml:space="preserve">Medidas de redução de para 2023 </w:t>
      </w:r>
    </w:p>
    <w:p w14:paraId="78939B4C" w14:textId="77777777" w:rsidR="00846733" w:rsidRPr="005068E2" w:rsidRDefault="00846733" w:rsidP="00846733">
      <w:pPr>
        <w:ind w:left="340" w:right="85"/>
        <w:rPr>
          <w:rFonts w:cs="Lucida Sans Unicode"/>
          <w:sz w:val="24"/>
        </w:rPr>
      </w:pPr>
    </w:p>
    <w:p w14:paraId="51B9AD6B" w14:textId="77777777" w:rsidR="00846733" w:rsidRPr="005068E2" w:rsidRDefault="00846733" w:rsidP="00846733">
      <w:pPr>
        <w:spacing w:after="240"/>
        <w:rPr>
          <w:rFonts w:ascii="Lucida Sans" w:hAnsi="Lucida Sans"/>
          <w:szCs w:val="22"/>
        </w:rPr>
      </w:pPr>
      <w:r w:rsidRPr="005068E2">
        <w:rPr>
          <w:rFonts w:ascii="Lucida Sans" w:hAnsi="Lucida Sans"/>
          <w:szCs w:val="22"/>
        </w:rPr>
        <w:t xml:space="preserve">Diante do cenário de uma economia claramente enfraquecida, a Evonik apresentou um desempenho sólido no terceiro trimestre. Embora os volumes de venda tenham sido menores, os resultados foram 26% superiores na comparação ano a ano, fechando em 4,88 bilhões de euros, em razão de aumentos nos preços. Dessa maneira, os aumentos nos custos variáveis puderam ser repassados com sucesso. Os resultados ajustados antes dos juros, impostos, depreciação e amortização (EBITDA ajustado) foram só 5% inferiores, ficando em 615 milhões de euros. </w:t>
      </w:r>
    </w:p>
    <w:p w14:paraId="5B3EB09F" w14:textId="77777777" w:rsidR="00846733" w:rsidRPr="00E111F8" w:rsidRDefault="00846733" w:rsidP="00846733">
      <w:pPr>
        <w:spacing w:after="240"/>
        <w:rPr>
          <w:rFonts w:ascii="Lucida Sans" w:hAnsi="Lucida Sans"/>
          <w:szCs w:val="22"/>
        </w:rPr>
      </w:pPr>
      <w:r w:rsidRPr="00E111F8">
        <w:rPr>
          <w:rFonts w:ascii="Lucida Sans" w:hAnsi="Lucida Sans"/>
          <w:szCs w:val="22"/>
        </w:rPr>
        <w:t>“Apesar do ambiente cada vez mais difícil, continuamos confiantes na confirmação das nossas previsões para o ano inteiro”, disse Christian Kullmann, Presidente da Diretoria Executiva.</w:t>
      </w:r>
      <w:r>
        <w:rPr>
          <w:rFonts w:ascii="Lucida Sans" w:hAnsi="Lucida Sans"/>
          <w:szCs w:val="22"/>
        </w:rPr>
        <w:t xml:space="preserve"> </w:t>
      </w:r>
      <w:r w:rsidRPr="00E111F8">
        <w:rPr>
          <w:rFonts w:ascii="Lucida Sans" w:hAnsi="Lucida Sans"/>
          <w:szCs w:val="22"/>
        </w:rPr>
        <w:t xml:space="preserve">“Ao mesmo tempo, estamos nos preparando para enfrentar uma recessão no próximo ano”. As medidas correspondentes, como restrições a viagens comerciais e feiras de negócios, cortes </w:t>
      </w:r>
      <w:r>
        <w:rPr>
          <w:rFonts w:ascii="Lucida Sans" w:hAnsi="Lucida Sans"/>
          <w:szCs w:val="22"/>
        </w:rPr>
        <w:t xml:space="preserve">no emprego de </w:t>
      </w:r>
      <w:r w:rsidRPr="00E111F8">
        <w:rPr>
          <w:rFonts w:ascii="Lucida Sans" w:hAnsi="Lucida Sans"/>
          <w:szCs w:val="22"/>
        </w:rPr>
        <w:t xml:space="preserve">consultorias externas e contratações disciplinadas, devem ajudar a reduzir os custos na faixa de três dígitos de milhões de euros no próximo ano. A implementação foi deliberadamente concebida para ser descentralizada e flexível, para que a empresa possa reagir rapidamente à volatilidade da situação econômica. </w:t>
      </w:r>
      <w:r w:rsidRPr="00E111F8">
        <w:rPr>
          <w:rStyle w:val="tw4winMark"/>
          <w:noProof w:val="0"/>
          <w:specVanish w:val="0"/>
        </w:rPr>
        <w:t>&lt;0}</w:t>
      </w:r>
      <w:r w:rsidRPr="00E111F8">
        <w:rPr>
          <w:rFonts w:ascii="Lucida Sans" w:hAnsi="Lucida Sans"/>
          <w:szCs w:val="22"/>
        </w:rPr>
        <w:t xml:space="preserve"> </w:t>
      </w:r>
    </w:p>
    <w:p w14:paraId="0F0A99EF" w14:textId="77777777" w:rsidR="00846733" w:rsidRPr="00E111F8" w:rsidRDefault="00846733" w:rsidP="00846733">
      <w:pPr>
        <w:spacing w:after="240"/>
        <w:rPr>
          <w:rFonts w:ascii="Lucida Sans" w:hAnsi="Lucida Sans"/>
          <w:szCs w:val="22"/>
        </w:rPr>
      </w:pPr>
      <w:r w:rsidRPr="00E111F8">
        <w:rPr>
          <w:rFonts w:ascii="Lucida Sans" w:hAnsi="Lucida Sans"/>
          <w:szCs w:val="22"/>
        </w:rPr>
        <w:t>A Evonik confirma a perspectiva de EBITDA ajustado na faixa de 2,5 a 2,6 bilhões de euros. A</w:t>
      </w:r>
      <w:r>
        <w:rPr>
          <w:rFonts w:ascii="Lucida Sans" w:hAnsi="Lucida Sans"/>
          <w:szCs w:val="22"/>
        </w:rPr>
        <w:t xml:space="preserve">s vendas no ano em curso agora são estimadas em </w:t>
      </w:r>
      <w:r w:rsidRPr="00E111F8">
        <w:rPr>
          <w:rFonts w:ascii="Lucida Sans" w:hAnsi="Lucida Sans"/>
          <w:szCs w:val="22"/>
        </w:rPr>
        <w:t>18,5 bilhões de euros</w:t>
      </w:r>
      <w:r>
        <w:rPr>
          <w:rFonts w:ascii="Lucida Sans" w:hAnsi="Lucida Sans"/>
          <w:szCs w:val="22"/>
        </w:rPr>
        <w:t>.</w:t>
      </w:r>
      <w:r w:rsidRPr="00E111F8">
        <w:rPr>
          <w:rFonts w:ascii="Lucida Sans" w:hAnsi="Lucida Sans"/>
          <w:szCs w:val="22"/>
        </w:rPr>
        <w:t xml:space="preserve"> </w:t>
      </w:r>
    </w:p>
    <w:p w14:paraId="24C014F5" w14:textId="77777777" w:rsidR="00846733" w:rsidRPr="00E111F8" w:rsidRDefault="00846733" w:rsidP="00846733">
      <w:pPr>
        <w:spacing w:after="240"/>
        <w:rPr>
          <w:rFonts w:ascii="Lucida Sans" w:hAnsi="Lucida Sans"/>
          <w:szCs w:val="22"/>
        </w:rPr>
      </w:pPr>
      <w:r w:rsidRPr="00E111F8">
        <w:rPr>
          <w:rFonts w:ascii="Lucida Sans" w:hAnsi="Lucida Sans"/>
          <w:szCs w:val="22"/>
        </w:rPr>
        <w:t xml:space="preserve">O fluxo de caixa livre, situado em 288 milhões de euros no terceiro trimestre, representa uma melhora significativa na comparação com o registrado no primeiro semestre do ano, de 106 milhões de euros negativos. “Esse é um bom resultado, e o quarto trimestre deve ser ainda melhor”, diz a CFO Ute Wolf.  “Estamos nos esforçando ao máximo para atingir a nossa meta de uma taxa de conversão de fluxo de caixa livre de cerca de 30%. </w:t>
      </w:r>
    </w:p>
    <w:p w14:paraId="77F0B824" w14:textId="77777777" w:rsidR="00846733" w:rsidRPr="00E111F8" w:rsidRDefault="00846733" w:rsidP="00846733">
      <w:pPr>
        <w:spacing w:after="240"/>
        <w:rPr>
          <w:rFonts w:ascii="Lucida Sans" w:hAnsi="Lucida Sans"/>
          <w:szCs w:val="22"/>
        </w:rPr>
      </w:pPr>
      <w:r w:rsidRPr="00E111F8">
        <w:rPr>
          <w:rFonts w:ascii="Lucida Sans" w:hAnsi="Lucida Sans"/>
          <w:szCs w:val="22"/>
        </w:rPr>
        <w:lastRenderedPageBreak/>
        <w:t>A Evonik conseguiu deixar o seu mix de energia menos dependente do gás natural. Em seu maior parque químico da Alemanha, em Marl, a nova usina movida a gás agora pode ser operada com g</w:t>
      </w:r>
      <w:r>
        <w:rPr>
          <w:rFonts w:ascii="Lucida Sans" w:hAnsi="Lucida Sans"/>
          <w:szCs w:val="22"/>
        </w:rPr>
        <w:t>á</w:t>
      </w:r>
      <w:r w:rsidRPr="00E111F8">
        <w:rPr>
          <w:rFonts w:ascii="Lucida Sans" w:hAnsi="Lucida Sans"/>
          <w:szCs w:val="22"/>
        </w:rPr>
        <w:t xml:space="preserve">s liquefeito de petróleo. Ao mesmo tempo, a prorrogação da autorização de funcionamento da usina movida a carvão </w:t>
      </w:r>
      <w:r>
        <w:rPr>
          <w:rFonts w:ascii="Lucida Sans" w:hAnsi="Lucida Sans"/>
          <w:szCs w:val="22"/>
        </w:rPr>
        <w:t xml:space="preserve">que existe </w:t>
      </w:r>
      <w:r w:rsidRPr="00E111F8">
        <w:rPr>
          <w:rFonts w:ascii="Lucida Sans" w:hAnsi="Lucida Sans"/>
          <w:szCs w:val="22"/>
        </w:rPr>
        <w:t>no local assegura o fornecimento de energia elétrica.</w:t>
      </w:r>
      <w:r w:rsidRPr="00E111F8">
        <w:rPr>
          <w:rStyle w:val="tw4winMark"/>
          <w:noProof w:val="0"/>
          <w:color w:val="FFFFFF"/>
          <w:sz w:val="6"/>
          <w:specVanish w:val="0"/>
        </w:rPr>
        <w:t>0}</w:t>
      </w:r>
      <w:r w:rsidRPr="00E111F8">
        <w:rPr>
          <w:rFonts w:ascii="Lucida Sans" w:hAnsi="Lucida Sans"/>
          <w:szCs w:val="22"/>
        </w:rPr>
        <w:t xml:space="preserve"> Outras unidades produtivas também estão reduzindo o </w:t>
      </w:r>
      <w:r>
        <w:rPr>
          <w:rFonts w:ascii="Lucida Sans" w:hAnsi="Lucida Sans"/>
          <w:szCs w:val="22"/>
        </w:rPr>
        <w:t xml:space="preserve">seu </w:t>
      </w:r>
      <w:r w:rsidRPr="00E111F8">
        <w:rPr>
          <w:rFonts w:ascii="Lucida Sans" w:hAnsi="Lucida Sans"/>
          <w:szCs w:val="22"/>
        </w:rPr>
        <w:t>consum</w:t>
      </w:r>
      <w:r>
        <w:rPr>
          <w:rFonts w:ascii="Lucida Sans" w:hAnsi="Lucida Sans"/>
          <w:szCs w:val="22"/>
        </w:rPr>
        <w:t>o</w:t>
      </w:r>
      <w:r w:rsidRPr="00E111F8">
        <w:rPr>
          <w:rFonts w:ascii="Lucida Sans" w:hAnsi="Lucida Sans"/>
          <w:szCs w:val="22"/>
        </w:rPr>
        <w:t xml:space="preserve"> de gás. </w:t>
      </w:r>
    </w:p>
    <w:p w14:paraId="68D545AC" w14:textId="573C7BDA" w:rsidR="00846733" w:rsidRPr="00E111F8" w:rsidRDefault="00846733" w:rsidP="00846733">
      <w:pPr>
        <w:spacing w:after="240"/>
        <w:rPr>
          <w:rFonts w:ascii="Lucida Sans" w:hAnsi="Lucida Sans"/>
          <w:szCs w:val="22"/>
        </w:rPr>
      </w:pPr>
      <w:r w:rsidRPr="00E111F8">
        <w:rPr>
          <w:rFonts w:ascii="Lucida Sans" w:hAnsi="Lucida Sans"/>
          <w:szCs w:val="22"/>
        </w:rPr>
        <w:t xml:space="preserve">A Evonik também está se tornando menos dependente de combustíveis fósseis: </w:t>
      </w:r>
      <w:r w:rsidR="000F6BBC">
        <w:rPr>
          <w:rFonts w:ascii="Lucida Sans" w:hAnsi="Lucida Sans"/>
          <w:szCs w:val="22"/>
        </w:rPr>
        <w:t>a</w:t>
      </w:r>
      <w:r w:rsidRPr="00E111F8">
        <w:rPr>
          <w:rFonts w:ascii="Lucida Sans" w:hAnsi="Lucida Sans"/>
          <w:szCs w:val="22"/>
        </w:rPr>
        <w:t xml:space="preserve"> empresa de especialidades químicas firmou recentemente um contrato de longo prazo com a empresa alemã </w:t>
      </w:r>
      <w:proofErr w:type="spellStart"/>
      <w:r w:rsidRPr="00E111F8">
        <w:rPr>
          <w:rFonts w:ascii="Lucida Sans" w:hAnsi="Lucida Sans"/>
          <w:szCs w:val="22"/>
        </w:rPr>
        <w:t>E</w:t>
      </w:r>
      <w:r>
        <w:rPr>
          <w:rFonts w:ascii="Lucida Sans" w:hAnsi="Lucida Sans"/>
          <w:szCs w:val="22"/>
        </w:rPr>
        <w:t>nB</w:t>
      </w:r>
      <w:r w:rsidRPr="00E111F8">
        <w:rPr>
          <w:rFonts w:ascii="Lucida Sans" w:hAnsi="Lucida Sans"/>
          <w:szCs w:val="22"/>
        </w:rPr>
        <w:t>W</w:t>
      </w:r>
      <w:proofErr w:type="spellEnd"/>
      <w:r w:rsidRPr="00E111F8">
        <w:rPr>
          <w:rFonts w:ascii="Lucida Sans" w:hAnsi="Lucida Sans"/>
          <w:szCs w:val="22"/>
        </w:rPr>
        <w:t xml:space="preserve"> para a compra de energia eólica proveniente do parque offshore He </w:t>
      </w:r>
      <w:proofErr w:type="spellStart"/>
      <w:r w:rsidRPr="00E111F8">
        <w:rPr>
          <w:rFonts w:ascii="Lucida Sans" w:hAnsi="Lucida Sans"/>
          <w:szCs w:val="22"/>
        </w:rPr>
        <w:t>Dreiht</w:t>
      </w:r>
      <w:proofErr w:type="spellEnd"/>
      <w:r w:rsidRPr="00E111F8">
        <w:rPr>
          <w:rFonts w:ascii="Lucida Sans" w:hAnsi="Lucida Sans"/>
          <w:szCs w:val="22"/>
        </w:rPr>
        <w:t xml:space="preserve">. A Evonik vai adquirir </w:t>
      </w:r>
      <w:r w:rsidRPr="00F862E2">
        <w:rPr>
          <w:rFonts w:ascii="Lucida Sans" w:hAnsi="Lucida Sans"/>
          <w:szCs w:val="22"/>
        </w:rPr>
        <w:t>100 MW de energia verde da nova planta eólica situada no Mar do Norte por um período de 15 anos. Em consequência, a partir de 2026</w:t>
      </w:r>
      <w:r w:rsidRPr="00E111F8">
        <w:rPr>
          <w:rFonts w:ascii="Lucida Sans" w:hAnsi="Lucida Sans"/>
          <w:szCs w:val="22"/>
        </w:rPr>
        <w:t xml:space="preserve">, cerca de um quarto da necessidade de eletricidade da Evonik na Europa será suprida por energia eólica. As partes assinaram os contratos correspondentes na última semana. </w:t>
      </w:r>
    </w:p>
    <w:p w14:paraId="58DEB66B" w14:textId="77777777" w:rsidR="00846733" w:rsidRPr="00E111F8" w:rsidRDefault="00846733" w:rsidP="00846733">
      <w:pPr>
        <w:spacing w:after="240"/>
        <w:rPr>
          <w:rFonts w:ascii="Lucida Sans" w:hAnsi="Lucida Sans"/>
          <w:szCs w:val="22"/>
        </w:rPr>
      </w:pPr>
      <w:r w:rsidRPr="00E111F8">
        <w:rPr>
          <w:rFonts w:ascii="Lucida Sans" w:hAnsi="Lucida Sans"/>
          <w:szCs w:val="22"/>
        </w:rPr>
        <w:t xml:space="preserve">A Evonik também está avançando com a renovação de seu portfólio, </w:t>
      </w:r>
      <w:r>
        <w:rPr>
          <w:rFonts w:ascii="Lucida Sans" w:hAnsi="Lucida Sans"/>
          <w:szCs w:val="22"/>
        </w:rPr>
        <w:t xml:space="preserve">que favorece a concentração em </w:t>
      </w:r>
      <w:r w:rsidRPr="00E111F8">
        <w:rPr>
          <w:rFonts w:ascii="Lucida Sans" w:hAnsi="Lucida Sans"/>
          <w:szCs w:val="22"/>
        </w:rPr>
        <w:t xml:space="preserve">especialidades químicas. Em </w:t>
      </w:r>
      <w:r>
        <w:rPr>
          <w:rFonts w:ascii="Lucida Sans" w:hAnsi="Lucida Sans"/>
          <w:szCs w:val="22"/>
        </w:rPr>
        <w:t>a</w:t>
      </w:r>
      <w:r w:rsidRPr="00E111F8">
        <w:rPr>
          <w:rFonts w:ascii="Lucida Sans" w:hAnsi="Lucida Sans"/>
          <w:szCs w:val="22"/>
        </w:rPr>
        <w:t xml:space="preserve">gosto, a empresa vendeu </w:t>
      </w:r>
      <w:r>
        <w:rPr>
          <w:rFonts w:ascii="Lucida Sans" w:hAnsi="Lucida Sans"/>
          <w:szCs w:val="22"/>
        </w:rPr>
        <w:t xml:space="preserve">o seu negócio de </w:t>
      </w:r>
      <w:proofErr w:type="spellStart"/>
      <w:r w:rsidRPr="00E111F8">
        <w:rPr>
          <w:rFonts w:ascii="Lucida Sans" w:hAnsi="Lucida Sans"/>
          <w:szCs w:val="22"/>
        </w:rPr>
        <w:t>betaína</w:t>
      </w:r>
      <w:proofErr w:type="spellEnd"/>
      <w:r w:rsidRPr="00E111F8">
        <w:rPr>
          <w:rFonts w:ascii="Lucida Sans" w:hAnsi="Lucida Sans"/>
          <w:szCs w:val="22"/>
        </w:rPr>
        <w:t xml:space="preserve"> nos Estados Unidos e, recentemente, </w:t>
      </w:r>
      <w:r>
        <w:rPr>
          <w:rFonts w:ascii="Lucida Sans" w:hAnsi="Lucida Sans"/>
          <w:szCs w:val="22"/>
        </w:rPr>
        <w:t xml:space="preserve">alienou a sua atividade com </w:t>
      </w:r>
      <w:r w:rsidRPr="007464B0">
        <w:rPr>
          <w:rFonts w:ascii="Lucida Sans" w:hAnsi="Lucida Sans"/>
          <w:szCs w:val="22"/>
        </w:rPr>
        <w:t>derivados de TAA.</w:t>
      </w:r>
      <w:r w:rsidRPr="00E111F8">
        <w:rPr>
          <w:rFonts w:ascii="Lucida Sans" w:hAnsi="Lucida Sans"/>
          <w:szCs w:val="22"/>
        </w:rPr>
        <w:t xml:space="preserve">  </w:t>
      </w:r>
    </w:p>
    <w:p w14:paraId="73090607" w14:textId="078C70AB" w:rsidR="00846733" w:rsidRPr="00E111F8" w:rsidRDefault="00846733" w:rsidP="00846733">
      <w:pPr>
        <w:spacing w:after="240"/>
        <w:rPr>
          <w:rFonts w:ascii="Lucida Sans" w:hAnsi="Lucida Sans"/>
          <w:szCs w:val="22"/>
        </w:rPr>
      </w:pPr>
      <w:r w:rsidRPr="00E111F8">
        <w:rPr>
          <w:rFonts w:ascii="Lucida Sans" w:hAnsi="Lucida Sans"/>
          <w:szCs w:val="22"/>
        </w:rPr>
        <w:t xml:space="preserve">A Evonik também continua </w:t>
      </w:r>
      <w:r w:rsidR="000F6BBC">
        <w:rPr>
          <w:rFonts w:ascii="Lucida Sans" w:hAnsi="Lucida Sans"/>
          <w:szCs w:val="22"/>
        </w:rPr>
        <w:t>impulsionando o</w:t>
      </w:r>
      <w:r w:rsidRPr="00E111F8">
        <w:rPr>
          <w:rFonts w:ascii="Lucida Sans" w:hAnsi="Lucida Sans"/>
          <w:szCs w:val="22"/>
        </w:rPr>
        <w:t xml:space="preserve"> crescimento orgânico: </w:t>
      </w:r>
      <w:r w:rsidR="000F6BBC">
        <w:rPr>
          <w:rFonts w:ascii="Lucida Sans" w:hAnsi="Lucida Sans"/>
          <w:szCs w:val="22"/>
        </w:rPr>
        <w:t>e</w:t>
      </w:r>
      <w:r w:rsidRPr="00E111F8">
        <w:rPr>
          <w:rFonts w:ascii="Lucida Sans" w:hAnsi="Lucida Sans"/>
          <w:szCs w:val="22"/>
        </w:rPr>
        <w:t xml:space="preserve">m Mobile, Alabama, a empresa está </w:t>
      </w:r>
      <w:r w:rsidR="00642C35">
        <w:rPr>
          <w:rFonts w:ascii="Lucida Sans" w:hAnsi="Lucida Sans"/>
          <w:szCs w:val="22"/>
        </w:rPr>
        <w:t>investindo</w:t>
      </w:r>
      <w:r w:rsidR="00FA3451">
        <w:rPr>
          <w:rFonts w:ascii="Lucida Sans" w:hAnsi="Lucida Sans"/>
          <w:szCs w:val="22"/>
        </w:rPr>
        <w:t xml:space="preserve"> </w:t>
      </w:r>
      <w:r w:rsidRPr="00E111F8">
        <w:rPr>
          <w:rFonts w:ascii="Lucida Sans" w:hAnsi="Lucida Sans"/>
          <w:szCs w:val="22"/>
        </w:rPr>
        <w:t xml:space="preserve">150 milhões de euros em uma nova planta de metilmercaptano, um importante intermediário na produção de metionina. Em Lafayette, Indiana, a construção de uma nova planta para lipídios farmacêuticos, em sua maioria para aplicações médicas </w:t>
      </w:r>
      <w:r>
        <w:rPr>
          <w:rFonts w:ascii="Lucida Sans" w:hAnsi="Lucida Sans"/>
          <w:szCs w:val="22"/>
        </w:rPr>
        <w:t xml:space="preserve">na área de </w:t>
      </w:r>
      <w:r w:rsidRPr="00E111F8">
        <w:rPr>
          <w:rFonts w:ascii="Lucida Sans" w:hAnsi="Lucida Sans"/>
          <w:szCs w:val="22"/>
        </w:rPr>
        <w:t>mRNA, terá início em breve. Na Eslováquia, está sendo erguida uma nova unidade de produção de biossurfactantes ramnolipídios.</w:t>
      </w:r>
    </w:p>
    <w:p w14:paraId="3C392E9C" w14:textId="77777777" w:rsidR="00846733" w:rsidRPr="005068E2" w:rsidRDefault="00846733" w:rsidP="00846733">
      <w:pPr>
        <w:rPr>
          <w:rFonts w:ascii="Lucida Sans" w:hAnsi="Lucida Sans"/>
          <w:b/>
          <w:bCs/>
          <w:szCs w:val="22"/>
        </w:rPr>
      </w:pPr>
      <w:r w:rsidRPr="005068E2">
        <w:rPr>
          <w:rFonts w:ascii="Lucida Sans" w:hAnsi="Lucida Sans"/>
          <w:b/>
          <w:bCs/>
          <w:szCs w:val="22"/>
        </w:rPr>
        <w:t xml:space="preserve">Desenvolvimento nas divisões </w:t>
      </w:r>
    </w:p>
    <w:p w14:paraId="78BDD815" w14:textId="77777777" w:rsidR="00846733" w:rsidRPr="005068E2" w:rsidRDefault="00846733" w:rsidP="00846733">
      <w:pPr>
        <w:rPr>
          <w:rFonts w:ascii="Lucida Sans" w:hAnsi="Lucida Sans"/>
          <w:szCs w:val="22"/>
        </w:rPr>
      </w:pPr>
    </w:p>
    <w:p w14:paraId="26178D6C" w14:textId="4C81D9F2" w:rsidR="00846733" w:rsidRPr="000B5988" w:rsidRDefault="00846733" w:rsidP="00846733">
      <w:pPr>
        <w:spacing w:after="240"/>
        <w:rPr>
          <w:rFonts w:ascii="Lucida Sans" w:hAnsi="Lucida Sans"/>
          <w:szCs w:val="22"/>
        </w:rPr>
      </w:pPr>
      <w:proofErr w:type="spellStart"/>
      <w:r w:rsidRPr="005068E2">
        <w:rPr>
          <w:rFonts w:ascii="Lucida Sans" w:hAnsi="Lucida Sans"/>
          <w:b/>
          <w:bCs/>
          <w:szCs w:val="22"/>
        </w:rPr>
        <w:t>Specialty</w:t>
      </w:r>
      <w:proofErr w:type="spellEnd"/>
      <w:r w:rsidRPr="005068E2">
        <w:rPr>
          <w:rFonts w:ascii="Lucida Sans" w:hAnsi="Lucida Sans"/>
          <w:b/>
          <w:bCs/>
          <w:szCs w:val="22"/>
        </w:rPr>
        <w:t xml:space="preserve"> </w:t>
      </w:r>
      <w:proofErr w:type="spellStart"/>
      <w:r w:rsidRPr="005068E2">
        <w:rPr>
          <w:rFonts w:ascii="Lucida Sans" w:hAnsi="Lucida Sans"/>
          <w:b/>
          <w:bCs/>
          <w:szCs w:val="22"/>
        </w:rPr>
        <w:t>Additives</w:t>
      </w:r>
      <w:proofErr w:type="spellEnd"/>
      <w:r w:rsidRPr="005068E2">
        <w:rPr>
          <w:rFonts w:ascii="Lucida Sans" w:hAnsi="Lucida Sans"/>
          <w:b/>
          <w:bCs/>
          <w:szCs w:val="22"/>
        </w:rPr>
        <w:t>:</w:t>
      </w:r>
      <w:r w:rsidRPr="005068E2">
        <w:rPr>
          <w:rFonts w:ascii="Lucida Sans" w:hAnsi="Lucida Sans"/>
          <w:szCs w:val="22"/>
        </w:rPr>
        <w:br/>
      </w:r>
      <w:r w:rsidR="00BA2ED6">
        <w:rPr>
          <w:rFonts w:ascii="Lucida Sans" w:hAnsi="Lucida Sans"/>
          <w:szCs w:val="22"/>
        </w:rPr>
        <w:t xml:space="preserve">As vendas da </w:t>
      </w:r>
      <w:r w:rsidRPr="005068E2">
        <w:rPr>
          <w:rFonts w:ascii="Lucida Sans" w:hAnsi="Lucida Sans"/>
          <w:szCs w:val="22"/>
        </w:rPr>
        <w:t xml:space="preserve">divisão </w:t>
      </w:r>
      <w:proofErr w:type="spellStart"/>
      <w:r w:rsidRPr="005068E2">
        <w:rPr>
          <w:rFonts w:ascii="Lucida Sans" w:hAnsi="Lucida Sans"/>
          <w:szCs w:val="22"/>
        </w:rPr>
        <w:t>Specialty</w:t>
      </w:r>
      <w:proofErr w:type="spellEnd"/>
      <w:r w:rsidRPr="005068E2">
        <w:rPr>
          <w:rFonts w:ascii="Lucida Sans" w:hAnsi="Lucida Sans"/>
          <w:szCs w:val="22"/>
        </w:rPr>
        <w:t xml:space="preserve"> </w:t>
      </w:r>
      <w:proofErr w:type="spellStart"/>
      <w:r w:rsidRPr="005068E2">
        <w:rPr>
          <w:rFonts w:ascii="Lucida Sans" w:hAnsi="Lucida Sans"/>
          <w:szCs w:val="22"/>
        </w:rPr>
        <w:t>Additives</w:t>
      </w:r>
      <w:proofErr w:type="spellEnd"/>
      <w:r w:rsidR="00BA2ED6">
        <w:rPr>
          <w:rFonts w:ascii="Lucida Sans" w:hAnsi="Lucida Sans"/>
          <w:szCs w:val="22"/>
        </w:rPr>
        <w:t xml:space="preserve"> cresceram </w:t>
      </w:r>
      <w:r w:rsidRPr="005068E2">
        <w:rPr>
          <w:rFonts w:ascii="Lucida Sans" w:hAnsi="Lucida Sans"/>
          <w:szCs w:val="22"/>
        </w:rPr>
        <w:t xml:space="preserve">19% para </w:t>
      </w:r>
      <w:r w:rsidRPr="00E111F8">
        <w:rPr>
          <w:rFonts w:ascii="Lucida Sans" w:hAnsi="Lucida Sans"/>
          <w:szCs w:val="22"/>
        </w:rPr>
        <w:t>1,11bilh</w:t>
      </w:r>
      <w:r w:rsidR="00AE27C1">
        <w:rPr>
          <w:rFonts w:ascii="Lucida Sans" w:hAnsi="Lucida Sans"/>
          <w:szCs w:val="22"/>
        </w:rPr>
        <w:t>ão</w:t>
      </w:r>
      <w:r w:rsidRPr="00E111F8">
        <w:rPr>
          <w:rFonts w:ascii="Lucida Sans" w:hAnsi="Lucida Sans"/>
          <w:szCs w:val="22"/>
        </w:rPr>
        <w:t xml:space="preserve"> de euros no terceiro trimestre em razão da alta nos preços de venda resultante do repasse do aumento nos custos </w:t>
      </w:r>
      <w:r w:rsidRPr="00E111F8">
        <w:rPr>
          <w:rFonts w:ascii="Lucida Sans" w:hAnsi="Lucida Sans"/>
          <w:szCs w:val="22"/>
        </w:rPr>
        <w:lastRenderedPageBreak/>
        <w:t>variáve</w:t>
      </w:r>
      <w:r>
        <w:rPr>
          <w:rFonts w:ascii="Lucida Sans" w:hAnsi="Lucida Sans"/>
          <w:szCs w:val="22"/>
        </w:rPr>
        <w:t>i</w:t>
      </w:r>
      <w:r w:rsidRPr="00E111F8">
        <w:rPr>
          <w:rFonts w:ascii="Lucida Sans" w:hAnsi="Lucida Sans"/>
          <w:szCs w:val="22"/>
        </w:rPr>
        <w:t xml:space="preserve">s e de efeitos favoráveis do câmbio. O volume de vendas </w:t>
      </w:r>
      <w:r w:rsidR="00F37ED5">
        <w:rPr>
          <w:rFonts w:ascii="Lucida Sans" w:hAnsi="Lucida Sans"/>
          <w:szCs w:val="22"/>
        </w:rPr>
        <w:t>recuou</w:t>
      </w:r>
      <w:r w:rsidRPr="00E111F8">
        <w:rPr>
          <w:rFonts w:ascii="Lucida Sans" w:hAnsi="Lucida Sans"/>
          <w:szCs w:val="22"/>
        </w:rPr>
        <w:t xml:space="preserve">. Os produtos para as indústrias da construção e de coatings, mas também para energias renováveis, registraram vendas notadamente mais altas em razão </w:t>
      </w:r>
      <w:r w:rsidR="00BE28FC">
        <w:rPr>
          <w:rFonts w:ascii="Lucida Sans" w:hAnsi="Lucida Sans"/>
          <w:szCs w:val="22"/>
        </w:rPr>
        <w:t>da</w:t>
      </w:r>
      <w:r w:rsidR="004E041A">
        <w:rPr>
          <w:rFonts w:ascii="Lucida Sans" w:hAnsi="Lucida Sans"/>
          <w:szCs w:val="22"/>
        </w:rPr>
        <w:t xml:space="preserve"> elevação</w:t>
      </w:r>
      <w:r w:rsidRPr="00E111F8">
        <w:rPr>
          <w:rFonts w:ascii="Lucida Sans" w:hAnsi="Lucida Sans"/>
          <w:szCs w:val="22"/>
        </w:rPr>
        <w:t xml:space="preserve"> dos preços para compensar a alta nos custos. As vendas de aditivos para espumas de poliuretano e bens de consumo duráveis também </w:t>
      </w:r>
      <w:r w:rsidR="004E041A">
        <w:rPr>
          <w:rFonts w:ascii="Lucida Sans" w:hAnsi="Lucida Sans"/>
          <w:szCs w:val="22"/>
        </w:rPr>
        <w:t>subiram</w:t>
      </w:r>
      <w:r w:rsidRPr="00E111F8">
        <w:rPr>
          <w:rFonts w:ascii="Lucida Sans" w:hAnsi="Lucida Sans"/>
          <w:szCs w:val="22"/>
        </w:rPr>
        <w:t xml:space="preserve">, </w:t>
      </w:r>
      <w:r w:rsidR="00B97E25">
        <w:rPr>
          <w:rFonts w:ascii="Lucida Sans" w:hAnsi="Lucida Sans"/>
          <w:szCs w:val="22"/>
        </w:rPr>
        <w:t>basicamente pelo mesmo motivo.</w:t>
      </w:r>
      <w:r w:rsidRPr="00E111F8">
        <w:rPr>
          <w:rFonts w:ascii="Lucida Sans" w:hAnsi="Lucida Sans"/>
          <w:szCs w:val="22"/>
        </w:rPr>
        <w:t xml:space="preserve"> </w:t>
      </w:r>
      <w:r w:rsidRPr="000B5988">
        <w:rPr>
          <w:rFonts w:ascii="Lucida Sans" w:hAnsi="Lucida Sans"/>
          <w:szCs w:val="22"/>
        </w:rPr>
        <w:t xml:space="preserve">Os volumes de vendas de aditivos para o setor automotivo </w:t>
      </w:r>
      <w:r w:rsidR="00E45A25">
        <w:rPr>
          <w:rFonts w:ascii="Lucida Sans" w:hAnsi="Lucida Sans"/>
          <w:szCs w:val="22"/>
        </w:rPr>
        <w:t>registraram ligeira elevação</w:t>
      </w:r>
      <w:r w:rsidRPr="000B5988">
        <w:rPr>
          <w:rFonts w:ascii="Lucida Sans" w:hAnsi="Lucida Sans"/>
          <w:szCs w:val="22"/>
        </w:rPr>
        <w:t xml:space="preserve">. O EBITDA ajustado subiu 8% para 243 milhões de euros, um desempenho robusto nesses tempos desafiadores. </w:t>
      </w:r>
    </w:p>
    <w:p w14:paraId="7099425F" w14:textId="77777777" w:rsidR="00846733" w:rsidRPr="00E111F8" w:rsidRDefault="00846733" w:rsidP="00846733">
      <w:pPr>
        <w:pStyle w:val="SNEvonikStandard"/>
        <w:spacing w:line="300" w:lineRule="exact"/>
        <w:rPr>
          <w:rFonts w:ascii="Lucida Sans" w:hAnsi="Lucida Sans"/>
          <w:sz w:val="22"/>
          <w:szCs w:val="22"/>
          <w:lang w:val="pt-BR"/>
        </w:rPr>
      </w:pPr>
    </w:p>
    <w:p w14:paraId="4294240F" w14:textId="062F1CC3" w:rsidR="00846733" w:rsidRPr="000B5988" w:rsidRDefault="00846733" w:rsidP="00846733">
      <w:pPr>
        <w:spacing w:after="240"/>
        <w:rPr>
          <w:rFonts w:ascii="Lucida Sans" w:hAnsi="Lucida Sans"/>
          <w:szCs w:val="22"/>
        </w:rPr>
      </w:pPr>
      <w:r w:rsidRPr="000B5988">
        <w:rPr>
          <w:rFonts w:ascii="Lucida Sans" w:hAnsi="Lucida Sans"/>
          <w:b/>
          <w:bCs/>
          <w:szCs w:val="22"/>
        </w:rPr>
        <w:t xml:space="preserve">Nutrition &amp; Care: </w:t>
      </w:r>
      <w:r w:rsidRPr="000B5988">
        <w:rPr>
          <w:rFonts w:ascii="Lucida Sans" w:hAnsi="Lucida Sans"/>
          <w:b/>
          <w:bCs/>
          <w:szCs w:val="22"/>
        </w:rPr>
        <w:br/>
      </w:r>
      <w:r w:rsidRPr="000B5988">
        <w:rPr>
          <w:rFonts w:ascii="Lucida Sans" w:hAnsi="Lucida Sans"/>
          <w:szCs w:val="22"/>
        </w:rPr>
        <w:t>Nessa divisão, as vendas subiram 14% para 1,06 milh</w:t>
      </w:r>
      <w:r w:rsidR="00490647">
        <w:rPr>
          <w:rFonts w:ascii="Lucida Sans" w:hAnsi="Lucida Sans"/>
          <w:szCs w:val="22"/>
        </w:rPr>
        <w:t>ão</w:t>
      </w:r>
      <w:r w:rsidRPr="000B5988">
        <w:rPr>
          <w:rFonts w:ascii="Lucida Sans" w:hAnsi="Lucida Sans"/>
          <w:szCs w:val="22"/>
        </w:rPr>
        <w:t xml:space="preserve"> de euros no terceiro trimestre, também em virtude de preços de venda significativamente mais altos e efeitos positivos da moeda. Os volumes, no entanto, baixaram, sobretudo em razão da redução da demanda no setor de alimentos para animais. Com os clientes de Health Care e Care Solutions, a Evonik conseguiu ampliar as vendas graças a uma boa demanda contínua por ingredientes ativos da indústria cosmética. O EBITDA ajustado encolheu 23% para 148 milhões de euros. </w:t>
      </w:r>
    </w:p>
    <w:p w14:paraId="48381C81" w14:textId="77777777" w:rsidR="00846733" w:rsidRPr="00E111F8" w:rsidRDefault="00846733" w:rsidP="00846733">
      <w:pPr>
        <w:pStyle w:val="SNErsteZeile"/>
        <w:spacing w:line="300" w:lineRule="exact"/>
        <w:rPr>
          <w:rFonts w:ascii="Lucida Sans" w:hAnsi="Lucida Sans"/>
          <w:b/>
          <w:bCs/>
          <w:sz w:val="22"/>
          <w:szCs w:val="22"/>
          <w:lang w:val="pt-BR"/>
        </w:rPr>
      </w:pPr>
    </w:p>
    <w:p w14:paraId="2BAA5E86" w14:textId="63E992C7" w:rsidR="00846733" w:rsidRPr="00E111F8" w:rsidRDefault="00846733" w:rsidP="00846733">
      <w:pPr>
        <w:spacing w:after="240"/>
        <w:rPr>
          <w:rFonts w:ascii="Lucida Sans" w:hAnsi="Lucida Sans"/>
          <w:szCs w:val="22"/>
        </w:rPr>
      </w:pPr>
      <w:proofErr w:type="spellStart"/>
      <w:r w:rsidRPr="000B5988">
        <w:rPr>
          <w:rFonts w:ascii="Lucida Sans" w:hAnsi="Lucida Sans"/>
          <w:b/>
          <w:bCs/>
          <w:szCs w:val="22"/>
        </w:rPr>
        <w:t>Smart</w:t>
      </w:r>
      <w:proofErr w:type="spellEnd"/>
      <w:r w:rsidRPr="000B5988">
        <w:rPr>
          <w:rFonts w:ascii="Lucida Sans" w:hAnsi="Lucida Sans"/>
          <w:b/>
          <w:bCs/>
          <w:szCs w:val="22"/>
        </w:rPr>
        <w:t xml:space="preserve"> </w:t>
      </w:r>
      <w:proofErr w:type="spellStart"/>
      <w:r w:rsidRPr="000B5988">
        <w:rPr>
          <w:rFonts w:ascii="Lucida Sans" w:hAnsi="Lucida Sans"/>
          <w:b/>
          <w:bCs/>
          <w:szCs w:val="22"/>
        </w:rPr>
        <w:t>Materials</w:t>
      </w:r>
      <w:proofErr w:type="spellEnd"/>
      <w:r w:rsidRPr="000B5988">
        <w:rPr>
          <w:rFonts w:ascii="Lucida Sans" w:hAnsi="Lucida Sans"/>
          <w:b/>
          <w:bCs/>
          <w:szCs w:val="22"/>
        </w:rPr>
        <w:t xml:space="preserve">: </w:t>
      </w:r>
      <w:r w:rsidRPr="000B5988">
        <w:rPr>
          <w:rFonts w:ascii="Lucida Sans" w:hAnsi="Lucida Sans"/>
          <w:b/>
          <w:bCs/>
          <w:szCs w:val="22"/>
        </w:rPr>
        <w:br/>
      </w:r>
      <w:r w:rsidRPr="000B5988">
        <w:rPr>
          <w:rFonts w:ascii="Lucida Sans" w:hAnsi="Lucida Sans"/>
          <w:szCs w:val="22"/>
        </w:rPr>
        <w:t xml:space="preserve">As vendas da divisão cresceram 26% para 1,26 bilhão de euros no terceiro trimestre. O aumento resultou de preços de venda significativamente mais </w:t>
      </w:r>
      <w:r w:rsidR="00490647">
        <w:rPr>
          <w:rFonts w:ascii="Lucida Sans" w:hAnsi="Lucida Sans"/>
          <w:szCs w:val="22"/>
        </w:rPr>
        <w:t>elevados</w:t>
      </w:r>
      <w:r w:rsidRPr="000B5988">
        <w:rPr>
          <w:rFonts w:ascii="Lucida Sans" w:hAnsi="Lucida Sans"/>
          <w:szCs w:val="22"/>
        </w:rPr>
        <w:t xml:space="preserve"> e </w:t>
      </w:r>
      <w:r w:rsidRPr="00E111F8">
        <w:rPr>
          <w:rFonts w:ascii="Lucida Sans" w:hAnsi="Lucida Sans"/>
          <w:szCs w:val="22"/>
        </w:rPr>
        <w:t xml:space="preserve">efeitos positivos </w:t>
      </w:r>
      <w:r>
        <w:rPr>
          <w:rFonts w:ascii="Lucida Sans" w:hAnsi="Lucida Sans"/>
          <w:szCs w:val="22"/>
        </w:rPr>
        <w:t>da moeda</w:t>
      </w:r>
      <w:r w:rsidR="00490647">
        <w:rPr>
          <w:rFonts w:ascii="Lucida Sans" w:hAnsi="Lucida Sans"/>
          <w:szCs w:val="22"/>
        </w:rPr>
        <w:t>,</w:t>
      </w:r>
      <w:r w:rsidRPr="00E111F8">
        <w:rPr>
          <w:rFonts w:ascii="Lucida Sans" w:hAnsi="Lucida Sans"/>
          <w:szCs w:val="22"/>
        </w:rPr>
        <w:t xml:space="preserve"> </w:t>
      </w:r>
      <w:r>
        <w:rPr>
          <w:rFonts w:ascii="Lucida Sans" w:hAnsi="Lucida Sans"/>
          <w:szCs w:val="22"/>
        </w:rPr>
        <w:t>com volumes</w:t>
      </w:r>
      <w:r w:rsidRPr="00E111F8">
        <w:rPr>
          <w:rFonts w:ascii="Lucida Sans" w:hAnsi="Lucida Sans"/>
          <w:szCs w:val="22"/>
        </w:rPr>
        <w:t xml:space="preserve"> estáveis. Os produtos inorgân</w:t>
      </w:r>
      <w:r>
        <w:rPr>
          <w:rFonts w:ascii="Lucida Sans" w:hAnsi="Lucida Sans"/>
          <w:szCs w:val="22"/>
        </w:rPr>
        <w:t xml:space="preserve">icos </w:t>
      </w:r>
      <w:r w:rsidRPr="00E111F8">
        <w:rPr>
          <w:rFonts w:ascii="Lucida Sans" w:hAnsi="Lucida Sans"/>
          <w:szCs w:val="22"/>
        </w:rPr>
        <w:t xml:space="preserve">geraram vendas notadamente </w:t>
      </w:r>
      <w:r w:rsidR="00490647">
        <w:rPr>
          <w:rFonts w:ascii="Lucida Sans" w:hAnsi="Lucida Sans"/>
          <w:szCs w:val="22"/>
        </w:rPr>
        <w:t>superiores</w:t>
      </w:r>
      <w:r w:rsidRPr="00E111F8">
        <w:rPr>
          <w:rFonts w:ascii="Lucida Sans" w:hAnsi="Lucida Sans"/>
          <w:szCs w:val="22"/>
        </w:rPr>
        <w:t xml:space="preserve">, também por força da elevação </w:t>
      </w:r>
      <w:r>
        <w:rPr>
          <w:rFonts w:ascii="Lucida Sans" w:hAnsi="Lucida Sans"/>
          <w:szCs w:val="22"/>
        </w:rPr>
        <w:t xml:space="preserve">significativa </w:t>
      </w:r>
      <w:r w:rsidRPr="00E111F8">
        <w:rPr>
          <w:rFonts w:ascii="Lucida Sans" w:hAnsi="Lucida Sans"/>
          <w:szCs w:val="22"/>
        </w:rPr>
        <w:t xml:space="preserve">nos preços de venda </w:t>
      </w:r>
      <w:r>
        <w:rPr>
          <w:rFonts w:ascii="Lucida Sans" w:hAnsi="Lucida Sans"/>
          <w:szCs w:val="22"/>
        </w:rPr>
        <w:t>devido ao repasse da al</w:t>
      </w:r>
      <w:r w:rsidRPr="00E111F8">
        <w:rPr>
          <w:rFonts w:ascii="Lucida Sans" w:hAnsi="Lucida Sans"/>
          <w:szCs w:val="22"/>
        </w:rPr>
        <w:t xml:space="preserve">ta </w:t>
      </w:r>
      <w:r>
        <w:rPr>
          <w:rFonts w:ascii="Lucida Sans" w:hAnsi="Lucida Sans"/>
          <w:szCs w:val="22"/>
        </w:rPr>
        <w:t>n</w:t>
      </w:r>
      <w:r w:rsidRPr="00E111F8">
        <w:rPr>
          <w:rFonts w:ascii="Lucida Sans" w:hAnsi="Lucida Sans"/>
          <w:szCs w:val="22"/>
        </w:rPr>
        <w:t>os custos variáveis.</w:t>
      </w:r>
      <w:r>
        <w:rPr>
          <w:rFonts w:ascii="Lucida Sans" w:hAnsi="Lucida Sans"/>
          <w:szCs w:val="22"/>
        </w:rPr>
        <w:t xml:space="preserve"> </w:t>
      </w:r>
      <w:r w:rsidRPr="00E111F8">
        <w:rPr>
          <w:rFonts w:ascii="Lucida Sans" w:hAnsi="Lucida Sans"/>
          <w:szCs w:val="22"/>
        </w:rPr>
        <w:t xml:space="preserve">As vendas na unidade de negócios de Polímeros também </w:t>
      </w:r>
      <w:r w:rsidR="00490647">
        <w:rPr>
          <w:rFonts w:ascii="Lucida Sans" w:hAnsi="Lucida Sans"/>
          <w:szCs w:val="22"/>
        </w:rPr>
        <w:t>foram</w:t>
      </w:r>
      <w:r w:rsidRPr="00E111F8">
        <w:rPr>
          <w:rFonts w:ascii="Lucida Sans" w:hAnsi="Lucida Sans"/>
          <w:szCs w:val="22"/>
        </w:rPr>
        <w:t xml:space="preserve"> </w:t>
      </w:r>
      <w:r>
        <w:rPr>
          <w:rFonts w:ascii="Lucida Sans" w:hAnsi="Lucida Sans"/>
          <w:szCs w:val="22"/>
        </w:rPr>
        <w:t>nitidamente</w:t>
      </w:r>
      <w:r w:rsidRPr="00E111F8">
        <w:rPr>
          <w:rFonts w:ascii="Lucida Sans" w:hAnsi="Lucida Sans"/>
          <w:szCs w:val="22"/>
        </w:rPr>
        <w:t xml:space="preserve"> mais altas que no ano anterior, pelo mesmo motiv</w:t>
      </w:r>
      <w:r>
        <w:rPr>
          <w:rFonts w:ascii="Lucida Sans" w:hAnsi="Lucida Sans"/>
          <w:szCs w:val="22"/>
        </w:rPr>
        <w:t>o</w:t>
      </w:r>
      <w:r w:rsidRPr="00E111F8">
        <w:rPr>
          <w:rFonts w:ascii="Lucida Sans" w:hAnsi="Lucida Sans"/>
          <w:szCs w:val="22"/>
        </w:rPr>
        <w:t>.</w:t>
      </w:r>
      <w:r>
        <w:rPr>
          <w:rFonts w:ascii="Lucida Sans" w:hAnsi="Lucida Sans"/>
          <w:szCs w:val="22"/>
        </w:rPr>
        <w:t xml:space="preserve"> </w:t>
      </w:r>
      <w:r w:rsidRPr="00E111F8">
        <w:rPr>
          <w:rFonts w:ascii="Lucida Sans" w:hAnsi="Lucida Sans"/>
          <w:szCs w:val="22"/>
        </w:rPr>
        <w:t xml:space="preserve">Os volumes de venda ficaram praticamente estáveis nas duas unidades. </w:t>
      </w:r>
      <w:r w:rsidRPr="00E111F8">
        <w:rPr>
          <w:rFonts w:ascii="Lucida Sans" w:hAnsi="Lucida Sans"/>
          <w:szCs w:val="22"/>
        </w:rPr>
        <w:br/>
      </w:r>
      <w:r>
        <w:rPr>
          <w:rFonts w:ascii="Lucida Sans" w:hAnsi="Lucida Sans"/>
          <w:szCs w:val="22"/>
        </w:rPr>
        <w:t xml:space="preserve">Com </w:t>
      </w:r>
      <w:r w:rsidRPr="00E111F8">
        <w:rPr>
          <w:rFonts w:ascii="Lucida Sans" w:hAnsi="Lucida Sans"/>
          <w:szCs w:val="22"/>
        </w:rPr>
        <w:t xml:space="preserve">177 milhões de euros, o EBITDA ajustado </w:t>
      </w:r>
      <w:r>
        <w:rPr>
          <w:rFonts w:ascii="Lucida Sans" w:hAnsi="Lucida Sans"/>
          <w:szCs w:val="22"/>
        </w:rPr>
        <w:t xml:space="preserve">ficou </w:t>
      </w:r>
      <w:r w:rsidRPr="00E111F8">
        <w:rPr>
          <w:rFonts w:ascii="Lucida Sans" w:hAnsi="Lucida Sans"/>
          <w:szCs w:val="22"/>
        </w:rPr>
        <w:t xml:space="preserve">no nível do ano passado.  </w:t>
      </w:r>
    </w:p>
    <w:p w14:paraId="36A14E82" w14:textId="31C5C34B" w:rsidR="00D06894" w:rsidRDefault="00846733" w:rsidP="00846733">
      <w:pPr>
        <w:spacing w:after="240"/>
        <w:rPr>
          <w:rFonts w:ascii="Lucida Sans" w:hAnsi="Lucida Sans"/>
          <w:szCs w:val="22"/>
        </w:rPr>
      </w:pPr>
      <w:r w:rsidRPr="000B5988">
        <w:rPr>
          <w:rFonts w:ascii="Lucida Sans" w:hAnsi="Lucida Sans"/>
          <w:b/>
          <w:bCs/>
          <w:szCs w:val="22"/>
        </w:rPr>
        <w:t xml:space="preserve">Performance </w:t>
      </w:r>
      <w:proofErr w:type="spellStart"/>
      <w:r w:rsidRPr="000B5988">
        <w:rPr>
          <w:rFonts w:ascii="Lucida Sans" w:hAnsi="Lucida Sans"/>
          <w:b/>
          <w:bCs/>
          <w:szCs w:val="22"/>
        </w:rPr>
        <w:t>Materials</w:t>
      </w:r>
      <w:proofErr w:type="spellEnd"/>
      <w:r w:rsidRPr="000B5988">
        <w:rPr>
          <w:rFonts w:ascii="Lucida Sans" w:hAnsi="Lucida Sans"/>
          <w:b/>
          <w:bCs/>
          <w:szCs w:val="22"/>
        </w:rPr>
        <w:t>:</w:t>
      </w:r>
      <w:r w:rsidRPr="000B5988">
        <w:rPr>
          <w:rFonts w:ascii="Lucida Sans" w:hAnsi="Lucida Sans"/>
          <w:szCs w:val="22"/>
        </w:rPr>
        <w:t xml:space="preserve"> </w:t>
      </w:r>
      <w:r w:rsidRPr="000B5988">
        <w:rPr>
          <w:rFonts w:ascii="Lucida Sans" w:hAnsi="Lucida Sans"/>
          <w:szCs w:val="22"/>
        </w:rPr>
        <w:br/>
        <w:t xml:space="preserve">As vendas da divisão </w:t>
      </w:r>
      <w:r w:rsidR="00340015">
        <w:rPr>
          <w:rFonts w:ascii="Lucida Sans" w:hAnsi="Lucida Sans"/>
          <w:szCs w:val="22"/>
        </w:rPr>
        <w:t>cresceram</w:t>
      </w:r>
      <w:r w:rsidRPr="000B5988">
        <w:rPr>
          <w:rFonts w:ascii="Lucida Sans" w:hAnsi="Lucida Sans"/>
          <w:szCs w:val="22"/>
        </w:rPr>
        <w:t xml:space="preserve"> 15% para 903 milhões de euros no terceiro trimestre, com volumes em queda. Na comparação </w:t>
      </w:r>
      <w:r w:rsidRPr="000B5988">
        <w:rPr>
          <w:rFonts w:ascii="Lucida Sans" w:hAnsi="Lucida Sans"/>
          <w:szCs w:val="22"/>
        </w:rPr>
        <w:lastRenderedPageBreak/>
        <w:t xml:space="preserve">com um segundo trimestre muito forte, a situação dos produtos da cadeia do C4 se normalizou, com as vendas registrando ligeiro aumento em razão de melhores preços. As vendas de superabsorventes subiram de maneira significativa em decorrência de melhores preços de venda. O EBITDA ajustado recuou 24% para 74 milhões de euros, em </w:t>
      </w:r>
      <w:r w:rsidR="00340015">
        <w:rPr>
          <w:rFonts w:ascii="Lucida Sans" w:hAnsi="Lucida Sans"/>
          <w:szCs w:val="22"/>
        </w:rPr>
        <w:t>decorrência</w:t>
      </w:r>
      <w:r w:rsidRPr="000B5988">
        <w:rPr>
          <w:rFonts w:ascii="Lucida Sans" w:hAnsi="Lucida Sans"/>
          <w:szCs w:val="22"/>
        </w:rPr>
        <w:t xml:space="preserve"> de margens de produto mais baixas. </w:t>
      </w:r>
    </w:p>
    <w:p w14:paraId="6BAC0AC2" w14:textId="77777777" w:rsidR="00D06894" w:rsidRDefault="00D06894" w:rsidP="00846733">
      <w:pPr>
        <w:spacing w:after="240"/>
        <w:rPr>
          <w:rFonts w:ascii="Lucida Sans" w:hAnsi="Lucida Sans"/>
          <w:szCs w:val="22"/>
        </w:rPr>
      </w:pPr>
    </w:p>
    <w:tbl>
      <w:tblPr>
        <w:tblW w:w="0" w:type="dxa"/>
        <w:tblLayout w:type="fixed"/>
        <w:tblCellMar>
          <w:left w:w="0" w:type="dxa"/>
          <w:right w:w="0" w:type="dxa"/>
        </w:tblCellMar>
        <w:tblLook w:val="0000" w:firstRow="0" w:lastRow="0" w:firstColumn="0" w:lastColumn="0" w:noHBand="0" w:noVBand="0"/>
        <w:tblDescription w:val="SNEID_d01d09a79bef44ffa2bd198055d4873f"/>
      </w:tblPr>
      <w:tblGrid>
        <w:gridCol w:w="2914"/>
        <w:gridCol w:w="119"/>
        <w:gridCol w:w="1021"/>
        <w:gridCol w:w="119"/>
        <w:gridCol w:w="1021"/>
        <w:gridCol w:w="119"/>
        <w:gridCol w:w="1021"/>
        <w:gridCol w:w="119"/>
        <w:gridCol w:w="1021"/>
        <w:gridCol w:w="119"/>
        <w:gridCol w:w="1021"/>
        <w:gridCol w:w="119"/>
        <w:gridCol w:w="1021"/>
      </w:tblGrid>
      <w:tr w:rsidR="00D06894" w:rsidRPr="00277A9B" w14:paraId="6E77C762" w14:textId="77777777" w:rsidTr="003B0CA5">
        <w:tc>
          <w:tcPr>
            <w:tcW w:w="6334" w:type="dxa"/>
            <w:gridSpan w:val="7"/>
            <w:vAlign w:val="bottom"/>
          </w:tcPr>
          <w:p w14:paraId="42259309" w14:textId="2E06F93D" w:rsidR="00D06894" w:rsidRPr="0053672B" w:rsidRDefault="001E6DE2" w:rsidP="003B0CA5">
            <w:pPr>
              <w:pStyle w:val="TTitleText"/>
              <w:rPr>
                <w:lang w:val="pt-BR"/>
              </w:rPr>
            </w:pPr>
            <w:bookmarkStart w:id="0" w:name="SNEID_d01d09a79bef44ffa2bd198055d4873f"/>
            <w:r w:rsidRPr="0053672B">
              <w:rPr>
                <w:lang w:val="pt-BR"/>
              </w:rPr>
              <w:t>Resumo do demonstrativ</w:t>
            </w:r>
            <w:r w:rsidR="0053672B" w:rsidRPr="0053672B">
              <w:rPr>
                <w:lang w:val="pt-BR"/>
              </w:rPr>
              <w:t>o</w:t>
            </w:r>
            <w:r w:rsidRPr="0053672B">
              <w:rPr>
                <w:lang w:val="pt-BR"/>
              </w:rPr>
              <w:t xml:space="preserve"> de resultados</w:t>
            </w:r>
          </w:p>
        </w:tc>
        <w:tc>
          <w:tcPr>
            <w:tcW w:w="119" w:type="dxa"/>
            <w:vAlign w:val="bottom"/>
          </w:tcPr>
          <w:p w14:paraId="3686A31A" w14:textId="77777777" w:rsidR="00D06894" w:rsidRDefault="00D06894" w:rsidP="003B0CA5">
            <w:pPr>
              <w:pStyle w:val="TTitleText"/>
            </w:pPr>
          </w:p>
        </w:tc>
        <w:tc>
          <w:tcPr>
            <w:tcW w:w="1021" w:type="dxa"/>
            <w:vAlign w:val="bottom"/>
          </w:tcPr>
          <w:p w14:paraId="662BE653" w14:textId="77777777" w:rsidR="00D06894" w:rsidRDefault="00D06894" w:rsidP="003B0CA5">
            <w:pPr>
              <w:pStyle w:val="TTitleText"/>
            </w:pPr>
          </w:p>
        </w:tc>
        <w:tc>
          <w:tcPr>
            <w:tcW w:w="119" w:type="dxa"/>
            <w:vAlign w:val="bottom"/>
          </w:tcPr>
          <w:p w14:paraId="3D2FDBBD" w14:textId="77777777" w:rsidR="00D06894" w:rsidRDefault="00D06894" w:rsidP="003B0CA5">
            <w:pPr>
              <w:pStyle w:val="TTitleText"/>
            </w:pPr>
          </w:p>
        </w:tc>
        <w:tc>
          <w:tcPr>
            <w:tcW w:w="1021" w:type="dxa"/>
            <w:vAlign w:val="bottom"/>
          </w:tcPr>
          <w:p w14:paraId="700DB67A" w14:textId="77777777" w:rsidR="00D06894" w:rsidRDefault="00D06894" w:rsidP="003B0CA5">
            <w:pPr>
              <w:pStyle w:val="TTitleText"/>
            </w:pPr>
          </w:p>
        </w:tc>
        <w:tc>
          <w:tcPr>
            <w:tcW w:w="119" w:type="dxa"/>
            <w:vAlign w:val="bottom"/>
          </w:tcPr>
          <w:p w14:paraId="591E57D6" w14:textId="77777777" w:rsidR="00D06894" w:rsidRDefault="00D06894" w:rsidP="003B0CA5">
            <w:pPr>
              <w:pStyle w:val="TTitleText"/>
            </w:pPr>
          </w:p>
        </w:tc>
        <w:tc>
          <w:tcPr>
            <w:tcW w:w="1021" w:type="dxa"/>
            <w:vAlign w:val="bottom"/>
          </w:tcPr>
          <w:p w14:paraId="7C1C8DC5" w14:textId="77777777" w:rsidR="00D06894" w:rsidRDefault="00D06894" w:rsidP="003B0CA5">
            <w:pPr>
              <w:pStyle w:val="TTitleText"/>
            </w:pPr>
          </w:p>
        </w:tc>
      </w:tr>
      <w:tr w:rsidR="00D06894" w:rsidRPr="00277A9B" w14:paraId="76093BA6" w14:textId="77777777" w:rsidTr="003B0CA5">
        <w:tc>
          <w:tcPr>
            <w:tcW w:w="2914" w:type="dxa"/>
            <w:tcBorders>
              <w:top w:val="single" w:sz="8" w:space="0" w:color="000000"/>
            </w:tcBorders>
            <w:vAlign w:val="bottom"/>
          </w:tcPr>
          <w:p w14:paraId="0428EE85" w14:textId="77777777" w:rsidR="00D06894" w:rsidRDefault="00D06894" w:rsidP="003B0CA5">
            <w:pPr>
              <w:pStyle w:val="TDummy"/>
              <w:keepNext/>
            </w:pPr>
          </w:p>
        </w:tc>
        <w:tc>
          <w:tcPr>
            <w:tcW w:w="119" w:type="dxa"/>
            <w:tcBorders>
              <w:top w:val="single" w:sz="8" w:space="0" w:color="000000"/>
            </w:tcBorders>
            <w:vAlign w:val="bottom"/>
          </w:tcPr>
          <w:p w14:paraId="315317CB" w14:textId="77777777" w:rsidR="00D06894" w:rsidRDefault="00D06894" w:rsidP="003B0CA5">
            <w:pPr>
              <w:pStyle w:val="TDummy"/>
              <w:keepNext/>
            </w:pPr>
          </w:p>
        </w:tc>
        <w:tc>
          <w:tcPr>
            <w:tcW w:w="1021" w:type="dxa"/>
            <w:tcBorders>
              <w:top w:val="single" w:sz="8" w:space="0" w:color="000000"/>
            </w:tcBorders>
            <w:vAlign w:val="bottom"/>
          </w:tcPr>
          <w:p w14:paraId="5BC4986B" w14:textId="77777777" w:rsidR="00D06894" w:rsidRDefault="00D06894" w:rsidP="003B0CA5">
            <w:pPr>
              <w:pStyle w:val="TDummy"/>
              <w:keepNext/>
            </w:pPr>
          </w:p>
        </w:tc>
        <w:tc>
          <w:tcPr>
            <w:tcW w:w="119" w:type="dxa"/>
            <w:tcBorders>
              <w:top w:val="single" w:sz="8" w:space="0" w:color="000000"/>
            </w:tcBorders>
            <w:vAlign w:val="bottom"/>
          </w:tcPr>
          <w:p w14:paraId="20181A43" w14:textId="77777777" w:rsidR="00D06894" w:rsidRDefault="00D06894" w:rsidP="003B0CA5">
            <w:pPr>
              <w:pStyle w:val="TDummy"/>
              <w:keepNext/>
            </w:pPr>
          </w:p>
        </w:tc>
        <w:tc>
          <w:tcPr>
            <w:tcW w:w="1021" w:type="dxa"/>
            <w:tcBorders>
              <w:top w:val="single" w:sz="8" w:space="0" w:color="000000"/>
            </w:tcBorders>
            <w:vAlign w:val="bottom"/>
          </w:tcPr>
          <w:p w14:paraId="57B44A90" w14:textId="77777777" w:rsidR="00D06894" w:rsidRDefault="00D06894" w:rsidP="003B0CA5">
            <w:pPr>
              <w:pStyle w:val="TDummy"/>
              <w:keepNext/>
            </w:pPr>
          </w:p>
        </w:tc>
        <w:tc>
          <w:tcPr>
            <w:tcW w:w="119" w:type="dxa"/>
            <w:tcBorders>
              <w:top w:val="single" w:sz="8" w:space="0" w:color="000000"/>
            </w:tcBorders>
            <w:vAlign w:val="bottom"/>
          </w:tcPr>
          <w:p w14:paraId="3A9D686E" w14:textId="77777777" w:rsidR="00D06894" w:rsidRDefault="00D06894" w:rsidP="003B0CA5">
            <w:pPr>
              <w:pStyle w:val="TDummy"/>
              <w:keepNext/>
            </w:pPr>
          </w:p>
        </w:tc>
        <w:tc>
          <w:tcPr>
            <w:tcW w:w="1021" w:type="dxa"/>
            <w:tcBorders>
              <w:top w:val="single" w:sz="8" w:space="0" w:color="000000"/>
            </w:tcBorders>
            <w:vAlign w:val="bottom"/>
          </w:tcPr>
          <w:p w14:paraId="43BC0FF0" w14:textId="77777777" w:rsidR="00D06894" w:rsidRDefault="00D06894" w:rsidP="003B0CA5">
            <w:pPr>
              <w:pStyle w:val="TDummy"/>
              <w:keepNext/>
            </w:pPr>
          </w:p>
        </w:tc>
        <w:tc>
          <w:tcPr>
            <w:tcW w:w="119" w:type="dxa"/>
            <w:tcBorders>
              <w:top w:val="single" w:sz="8" w:space="0" w:color="000000"/>
            </w:tcBorders>
            <w:vAlign w:val="bottom"/>
          </w:tcPr>
          <w:p w14:paraId="20BC4B12" w14:textId="77777777" w:rsidR="00D06894" w:rsidRDefault="00D06894" w:rsidP="003B0CA5">
            <w:pPr>
              <w:pStyle w:val="TDummy"/>
              <w:keepNext/>
            </w:pPr>
          </w:p>
        </w:tc>
        <w:tc>
          <w:tcPr>
            <w:tcW w:w="1021" w:type="dxa"/>
            <w:tcBorders>
              <w:top w:val="single" w:sz="8" w:space="0" w:color="000000"/>
            </w:tcBorders>
            <w:vAlign w:val="bottom"/>
          </w:tcPr>
          <w:p w14:paraId="7298C60E" w14:textId="77777777" w:rsidR="00D06894" w:rsidRDefault="00D06894" w:rsidP="003B0CA5">
            <w:pPr>
              <w:pStyle w:val="TDummy"/>
              <w:keepNext/>
            </w:pPr>
          </w:p>
        </w:tc>
        <w:tc>
          <w:tcPr>
            <w:tcW w:w="119" w:type="dxa"/>
            <w:tcBorders>
              <w:top w:val="single" w:sz="8" w:space="0" w:color="000000"/>
            </w:tcBorders>
            <w:vAlign w:val="bottom"/>
          </w:tcPr>
          <w:p w14:paraId="69F30317" w14:textId="77777777" w:rsidR="00D06894" w:rsidRDefault="00D06894" w:rsidP="003B0CA5">
            <w:pPr>
              <w:pStyle w:val="TDummy"/>
              <w:keepNext/>
            </w:pPr>
          </w:p>
        </w:tc>
        <w:tc>
          <w:tcPr>
            <w:tcW w:w="1021" w:type="dxa"/>
            <w:tcBorders>
              <w:top w:val="single" w:sz="8" w:space="0" w:color="000000"/>
            </w:tcBorders>
            <w:vAlign w:val="bottom"/>
          </w:tcPr>
          <w:p w14:paraId="2ACA7AE0" w14:textId="77777777" w:rsidR="00D06894" w:rsidRDefault="00D06894" w:rsidP="003B0CA5">
            <w:pPr>
              <w:pStyle w:val="TDummy"/>
              <w:keepNext/>
            </w:pPr>
          </w:p>
        </w:tc>
        <w:tc>
          <w:tcPr>
            <w:tcW w:w="119" w:type="dxa"/>
            <w:tcBorders>
              <w:top w:val="single" w:sz="8" w:space="0" w:color="000000"/>
            </w:tcBorders>
            <w:vAlign w:val="bottom"/>
          </w:tcPr>
          <w:p w14:paraId="34D89DF8" w14:textId="77777777" w:rsidR="00D06894" w:rsidRDefault="00D06894" w:rsidP="003B0CA5">
            <w:pPr>
              <w:pStyle w:val="TDummy"/>
              <w:keepNext/>
            </w:pPr>
          </w:p>
        </w:tc>
        <w:tc>
          <w:tcPr>
            <w:tcW w:w="1021" w:type="dxa"/>
            <w:tcBorders>
              <w:top w:val="single" w:sz="8" w:space="0" w:color="000000"/>
            </w:tcBorders>
            <w:vAlign w:val="bottom"/>
          </w:tcPr>
          <w:p w14:paraId="75310E94" w14:textId="77777777" w:rsidR="00D06894" w:rsidRDefault="00D06894" w:rsidP="003B0CA5">
            <w:pPr>
              <w:pStyle w:val="TDummy"/>
              <w:keepNext/>
            </w:pPr>
          </w:p>
        </w:tc>
      </w:tr>
      <w:tr w:rsidR="00D06894" w14:paraId="526DB1B1" w14:textId="77777777" w:rsidTr="003B0CA5">
        <w:tc>
          <w:tcPr>
            <w:tcW w:w="2914" w:type="dxa"/>
            <w:shd w:val="clear" w:color="000000" w:fill="FFFFFF"/>
            <w:vAlign w:val="bottom"/>
          </w:tcPr>
          <w:p w14:paraId="5B42411F" w14:textId="77777777" w:rsidR="00D06894" w:rsidRPr="00472628" w:rsidRDefault="00D06894" w:rsidP="003B0CA5">
            <w:pPr>
              <w:pStyle w:val="THeadfirstNumber"/>
              <w:rPr>
                <w:lang w:val="en-US"/>
              </w:rPr>
            </w:pPr>
          </w:p>
        </w:tc>
        <w:tc>
          <w:tcPr>
            <w:tcW w:w="119" w:type="dxa"/>
            <w:vAlign w:val="bottom"/>
          </w:tcPr>
          <w:p w14:paraId="17C918CF" w14:textId="77777777" w:rsidR="00D06894" w:rsidRPr="00472628" w:rsidRDefault="00D06894" w:rsidP="003B0CA5">
            <w:pPr>
              <w:pStyle w:val="THeadfirstNumber"/>
              <w:rPr>
                <w:lang w:val="en-US"/>
              </w:rPr>
            </w:pPr>
          </w:p>
        </w:tc>
        <w:tc>
          <w:tcPr>
            <w:tcW w:w="3301" w:type="dxa"/>
            <w:gridSpan w:val="5"/>
            <w:tcBorders>
              <w:bottom w:val="single" w:sz="4" w:space="0" w:color="A59C94"/>
            </w:tcBorders>
            <w:shd w:val="clear" w:color="000000" w:fill="FFFFFF"/>
            <w:vAlign w:val="bottom"/>
          </w:tcPr>
          <w:p w14:paraId="18C968CF" w14:textId="3AC7F814" w:rsidR="00D06894" w:rsidRPr="00590B4B" w:rsidRDefault="008729E6" w:rsidP="003B0CA5">
            <w:pPr>
              <w:pStyle w:val="THeadfirstNumber"/>
              <w:rPr>
                <w:lang w:val="pt-BR"/>
              </w:rPr>
            </w:pPr>
            <w:r w:rsidRPr="00590B4B">
              <w:rPr>
                <w:lang w:val="pt-BR"/>
              </w:rPr>
              <w:t>3° Trimestre</w:t>
            </w:r>
          </w:p>
        </w:tc>
        <w:tc>
          <w:tcPr>
            <w:tcW w:w="119" w:type="dxa"/>
            <w:vAlign w:val="bottom"/>
          </w:tcPr>
          <w:p w14:paraId="01C69C1A" w14:textId="77777777" w:rsidR="00D06894" w:rsidRPr="00590B4B" w:rsidRDefault="00D06894" w:rsidP="003B0CA5">
            <w:pPr>
              <w:pStyle w:val="THeadfirstNumber"/>
              <w:rPr>
                <w:lang w:val="pt-BR"/>
              </w:rPr>
            </w:pPr>
          </w:p>
        </w:tc>
        <w:tc>
          <w:tcPr>
            <w:tcW w:w="3301" w:type="dxa"/>
            <w:gridSpan w:val="5"/>
            <w:tcBorders>
              <w:bottom w:val="single" w:sz="4" w:space="0" w:color="A59C94"/>
            </w:tcBorders>
            <w:shd w:val="clear" w:color="000000" w:fill="FFFFFF"/>
            <w:vAlign w:val="bottom"/>
          </w:tcPr>
          <w:p w14:paraId="3B5F4F30" w14:textId="164DEDEA" w:rsidR="00D06894" w:rsidRPr="00590B4B" w:rsidRDefault="008729E6" w:rsidP="003B0CA5">
            <w:pPr>
              <w:pStyle w:val="THeadfirstNumber"/>
              <w:rPr>
                <w:lang w:val="pt-BR"/>
              </w:rPr>
            </w:pPr>
            <w:r w:rsidRPr="00590B4B">
              <w:rPr>
                <w:lang w:val="pt-BR"/>
              </w:rPr>
              <w:t>Primeiros 9 meses</w:t>
            </w:r>
          </w:p>
        </w:tc>
      </w:tr>
      <w:tr w:rsidR="00D06894" w14:paraId="3CAE4C4A" w14:textId="77777777" w:rsidTr="003B0CA5">
        <w:tc>
          <w:tcPr>
            <w:tcW w:w="2914" w:type="dxa"/>
            <w:tcBorders>
              <w:bottom w:val="single" w:sz="4" w:space="0" w:color="000000"/>
            </w:tcBorders>
            <w:shd w:val="clear" w:color="000000" w:fill="FFFFFF"/>
            <w:vAlign w:val="bottom"/>
          </w:tcPr>
          <w:p w14:paraId="5546A832" w14:textId="556FF18E" w:rsidR="00D06894" w:rsidRPr="00E90B6C" w:rsidRDefault="008729E6" w:rsidP="003B0CA5">
            <w:pPr>
              <w:pStyle w:val="THeadlastText"/>
              <w:rPr>
                <w:lang w:val="pt-BR"/>
              </w:rPr>
            </w:pPr>
            <w:r w:rsidRPr="00E90B6C">
              <w:rPr>
                <w:lang w:val="pt-BR"/>
              </w:rPr>
              <w:t>em milhões de euros</w:t>
            </w:r>
          </w:p>
        </w:tc>
        <w:tc>
          <w:tcPr>
            <w:tcW w:w="119" w:type="dxa"/>
            <w:vAlign w:val="bottom"/>
          </w:tcPr>
          <w:p w14:paraId="12AF584A" w14:textId="77777777" w:rsidR="00D06894" w:rsidRDefault="00D06894" w:rsidP="003B0CA5">
            <w:pPr>
              <w:pStyle w:val="THeadlastNumber"/>
            </w:pPr>
          </w:p>
        </w:tc>
        <w:tc>
          <w:tcPr>
            <w:tcW w:w="1021" w:type="dxa"/>
            <w:tcBorders>
              <w:top w:val="single" w:sz="4" w:space="0" w:color="A59C94"/>
              <w:bottom w:val="single" w:sz="4" w:space="0" w:color="000000"/>
            </w:tcBorders>
            <w:shd w:val="clear" w:color="000000" w:fill="FFFFFF"/>
            <w:vAlign w:val="bottom"/>
          </w:tcPr>
          <w:p w14:paraId="6BDAC55A" w14:textId="77777777" w:rsidR="00D06894" w:rsidRDefault="00D06894" w:rsidP="003B0CA5">
            <w:pPr>
              <w:pStyle w:val="THeadlastNumber"/>
            </w:pPr>
            <w:r>
              <w:t>2021</w:t>
            </w:r>
          </w:p>
        </w:tc>
        <w:tc>
          <w:tcPr>
            <w:tcW w:w="119" w:type="dxa"/>
            <w:vAlign w:val="bottom"/>
          </w:tcPr>
          <w:p w14:paraId="42D20FEC" w14:textId="77777777" w:rsidR="00D06894" w:rsidRDefault="00D06894" w:rsidP="003B0CA5">
            <w:pPr>
              <w:pStyle w:val="THeadlastNumber"/>
            </w:pPr>
          </w:p>
        </w:tc>
        <w:tc>
          <w:tcPr>
            <w:tcW w:w="1021" w:type="dxa"/>
            <w:tcBorders>
              <w:top w:val="single" w:sz="4" w:space="0" w:color="A59C94"/>
              <w:bottom w:val="single" w:sz="4" w:space="0" w:color="000000"/>
            </w:tcBorders>
            <w:shd w:val="clear" w:color="000000" w:fill="FFFFFF"/>
            <w:vAlign w:val="bottom"/>
          </w:tcPr>
          <w:p w14:paraId="0FB99EE3" w14:textId="77777777" w:rsidR="00D06894" w:rsidRDefault="00D06894" w:rsidP="003B0CA5">
            <w:pPr>
              <w:pStyle w:val="THeadlastNumberbold"/>
            </w:pPr>
            <w:r>
              <w:t>2022</w:t>
            </w:r>
          </w:p>
        </w:tc>
        <w:tc>
          <w:tcPr>
            <w:tcW w:w="119" w:type="dxa"/>
            <w:vAlign w:val="bottom"/>
          </w:tcPr>
          <w:p w14:paraId="5F112F3F" w14:textId="77777777" w:rsidR="00D06894" w:rsidRDefault="00D06894" w:rsidP="003B0CA5">
            <w:pPr>
              <w:pStyle w:val="THeadlastNumber"/>
            </w:pPr>
          </w:p>
        </w:tc>
        <w:tc>
          <w:tcPr>
            <w:tcW w:w="1021" w:type="dxa"/>
            <w:tcBorders>
              <w:top w:val="single" w:sz="4" w:space="0" w:color="A59C94"/>
              <w:bottom w:val="single" w:sz="4" w:space="0" w:color="000000"/>
            </w:tcBorders>
            <w:shd w:val="clear" w:color="000000" w:fill="FFFFFF"/>
            <w:vAlign w:val="bottom"/>
          </w:tcPr>
          <w:p w14:paraId="314E7A59" w14:textId="72887AE5" w:rsidR="00D06894" w:rsidRPr="00590B4B" w:rsidRDefault="008729E6" w:rsidP="003B0CA5">
            <w:pPr>
              <w:pStyle w:val="THeaddifferenceNumber"/>
              <w:keepNext/>
              <w:rPr>
                <w:lang w:val="pt-BR"/>
              </w:rPr>
            </w:pPr>
            <w:r w:rsidRPr="00590B4B">
              <w:rPr>
                <w:lang w:val="pt-BR"/>
              </w:rPr>
              <w:t>Variação em %</w:t>
            </w:r>
          </w:p>
        </w:tc>
        <w:tc>
          <w:tcPr>
            <w:tcW w:w="119" w:type="dxa"/>
            <w:vAlign w:val="bottom"/>
          </w:tcPr>
          <w:p w14:paraId="2AB888D7" w14:textId="77777777" w:rsidR="00D06894" w:rsidRPr="00590B4B" w:rsidRDefault="00D06894" w:rsidP="003B0CA5">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04667826" w14:textId="77777777" w:rsidR="00D06894" w:rsidRPr="00590B4B" w:rsidRDefault="00D06894" w:rsidP="003B0CA5">
            <w:pPr>
              <w:pStyle w:val="THeadlastNumber"/>
              <w:rPr>
                <w:lang w:val="pt-BR"/>
              </w:rPr>
            </w:pPr>
            <w:r w:rsidRPr="00590B4B">
              <w:rPr>
                <w:lang w:val="pt-BR"/>
              </w:rPr>
              <w:t>2021</w:t>
            </w:r>
          </w:p>
        </w:tc>
        <w:tc>
          <w:tcPr>
            <w:tcW w:w="119" w:type="dxa"/>
            <w:vAlign w:val="bottom"/>
          </w:tcPr>
          <w:p w14:paraId="6A1C0DB0" w14:textId="77777777" w:rsidR="00D06894" w:rsidRPr="00590B4B" w:rsidRDefault="00D06894" w:rsidP="003B0CA5">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51460881" w14:textId="77777777" w:rsidR="00D06894" w:rsidRPr="00590B4B" w:rsidRDefault="00D06894" w:rsidP="003B0CA5">
            <w:pPr>
              <w:pStyle w:val="THeadlastNumberbold"/>
              <w:rPr>
                <w:lang w:val="pt-BR"/>
              </w:rPr>
            </w:pPr>
            <w:r w:rsidRPr="00590B4B">
              <w:rPr>
                <w:lang w:val="pt-BR"/>
              </w:rPr>
              <w:t>2022</w:t>
            </w:r>
          </w:p>
        </w:tc>
        <w:tc>
          <w:tcPr>
            <w:tcW w:w="119" w:type="dxa"/>
            <w:vAlign w:val="bottom"/>
          </w:tcPr>
          <w:p w14:paraId="06C12877" w14:textId="77777777" w:rsidR="00D06894" w:rsidRPr="00590B4B" w:rsidRDefault="00D06894" w:rsidP="003B0CA5">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3B3A0A6A" w14:textId="34C8DFD1" w:rsidR="00D06894" w:rsidRPr="00590B4B" w:rsidRDefault="008729E6" w:rsidP="003B0CA5">
            <w:pPr>
              <w:pStyle w:val="THeaddifferenceNumber"/>
              <w:keepNext/>
              <w:rPr>
                <w:lang w:val="pt-BR"/>
              </w:rPr>
            </w:pPr>
            <w:r w:rsidRPr="00590B4B">
              <w:rPr>
                <w:lang w:val="pt-BR"/>
              </w:rPr>
              <w:t>Variação em %</w:t>
            </w:r>
          </w:p>
        </w:tc>
      </w:tr>
      <w:tr w:rsidR="00D06894" w14:paraId="73A868E8" w14:textId="77777777" w:rsidTr="003B0CA5">
        <w:tc>
          <w:tcPr>
            <w:tcW w:w="2914" w:type="dxa"/>
            <w:tcBorders>
              <w:top w:val="single" w:sz="4" w:space="0" w:color="000000"/>
              <w:bottom w:val="single" w:sz="4" w:space="0" w:color="A59C94"/>
            </w:tcBorders>
            <w:vAlign w:val="bottom"/>
          </w:tcPr>
          <w:p w14:paraId="05B18D2D" w14:textId="2EABD6EE" w:rsidR="00D06894" w:rsidRPr="00E90B6C" w:rsidRDefault="008729E6" w:rsidP="003B0CA5">
            <w:pPr>
              <w:pStyle w:val="TBodysubtotalText"/>
              <w:keepNext/>
              <w:rPr>
                <w:lang w:val="pt-BR"/>
              </w:rPr>
            </w:pPr>
            <w:r w:rsidRPr="00E90B6C">
              <w:rPr>
                <w:lang w:val="pt-BR"/>
              </w:rPr>
              <w:t>Vendas</w:t>
            </w:r>
          </w:p>
        </w:tc>
        <w:tc>
          <w:tcPr>
            <w:tcW w:w="119" w:type="dxa"/>
            <w:vAlign w:val="bottom"/>
          </w:tcPr>
          <w:p w14:paraId="0781A61B" w14:textId="77777777" w:rsidR="00D06894" w:rsidRDefault="00D06894" w:rsidP="003B0CA5">
            <w:pPr>
              <w:pStyle w:val="TBodysubtotalNumber"/>
              <w:keepNext/>
            </w:pPr>
          </w:p>
        </w:tc>
        <w:tc>
          <w:tcPr>
            <w:tcW w:w="1021" w:type="dxa"/>
            <w:tcBorders>
              <w:top w:val="single" w:sz="4" w:space="0" w:color="000000"/>
              <w:bottom w:val="single" w:sz="4" w:space="0" w:color="A59C94"/>
            </w:tcBorders>
            <w:vAlign w:val="bottom"/>
          </w:tcPr>
          <w:p w14:paraId="13CE1A7A" w14:textId="7226939E" w:rsidR="00D06894" w:rsidRDefault="00D06894" w:rsidP="003B0CA5">
            <w:pPr>
              <w:pStyle w:val="TBodysubtotalNumber"/>
              <w:keepNext/>
            </w:pPr>
            <w:r>
              <w:t>3</w:t>
            </w:r>
            <w:r w:rsidR="00E90B6C">
              <w:t>.</w:t>
            </w:r>
            <w:r>
              <w:t>871</w:t>
            </w:r>
          </w:p>
        </w:tc>
        <w:tc>
          <w:tcPr>
            <w:tcW w:w="119" w:type="dxa"/>
            <w:vAlign w:val="bottom"/>
          </w:tcPr>
          <w:p w14:paraId="64DA646E" w14:textId="77777777" w:rsidR="00D06894" w:rsidRDefault="00D06894" w:rsidP="003B0CA5">
            <w:pPr>
              <w:pStyle w:val="TBodysubtotalNumber"/>
              <w:keepNext/>
            </w:pPr>
          </w:p>
        </w:tc>
        <w:tc>
          <w:tcPr>
            <w:tcW w:w="1021" w:type="dxa"/>
            <w:tcBorders>
              <w:top w:val="single" w:sz="4" w:space="0" w:color="000000"/>
              <w:bottom w:val="single" w:sz="4" w:space="0" w:color="A59C94"/>
            </w:tcBorders>
            <w:shd w:val="clear" w:color="000000" w:fill="DAD5C9"/>
            <w:vAlign w:val="bottom"/>
          </w:tcPr>
          <w:p w14:paraId="294BACF3" w14:textId="5060DFB8" w:rsidR="00D06894" w:rsidRDefault="00D06894" w:rsidP="003B0CA5">
            <w:pPr>
              <w:pStyle w:val="TBodysubtotalNumber"/>
              <w:keepNext/>
            </w:pPr>
            <w:r>
              <w:t>4</w:t>
            </w:r>
            <w:r w:rsidR="00590B4B">
              <w:t>.</w:t>
            </w:r>
            <w:r>
              <w:t>878</w:t>
            </w:r>
          </w:p>
        </w:tc>
        <w:tc>
          <w:tcPr>
            <w:tcW w:w="119" w:type="dxa"/>
            <w:vAlign w:val="bottom"/>
          </w:tcPr>
          <w:p w14:paraId="5736A9B6" w14:textId="77777777" w:rsidR="00D06894" w:rsidRDefault="00D06894" w:rsidP="003B0CA5">
            <w:pPr>
              <w:pStyle w:val="TBodysubtotalNumber"/>
              <w:keepNext/>
            </w:pPr>
          </w:p>
        </w:tc>
        <w:tc>
          <w:tcPr>
            <w:tcW w:w="1021" w:type="dxa"/>
            <w:tcBorders>
              <w:top w:val="single" w:sz="4" w:space="0" w:color="000000"/>
              <w:bottom w:val="single" w:sz="4" w:space="0" w:color="A59C94"/>
            </w:tcBorders>
            <w:vAlign w:val="bottom"/>
          </w:tcPr>
          <w:p w14:paraId="6719973D" w14:textId="77777777" w:rsidR="00D06894" w:rsidRDefault="00D06894" w:rsidP="003B0CA5">
            <w:pPr>
              <w:pStyle w:val="TBodysubtotalNumber"/>
              <w:keepNext/>
            </w:pPr>
            <w:r>
              <w:t>26</w:t>
            </w:r>
          </w:p>
        </w:tc>
        <w:tc>
          <w:tcPr>
            <w:tcW w:w="119" w:type="dxa"/>
            <w:vAlign w:val="bottom"/>
          </w:tcPr>
          <w:p w14:paraId="5BCBDD1E" w14:textId="77777777" w:rsidR="00D06894" w:rsidRDefault="00D06894" w:rsidP="003B0CA5">
            <w:pPr>
              <w:pStyle w:val="TBodysubtotalNumber"/>
              <w:keepNext/>
            </w:pPr>
          </w:p>
        </w:tc>
        <w:tc>
          <w:tcPr>
            <w:tcW w:w="1021" w:type="dxa"/>
            <w:tcBorders>
              <w:top w:val="single" w:sz="4" w:space="0" w:color="000000"/>
              <w:bottom w:val="single" w:sz="4" w:space="0" w:color="A59C94"/>
            </w:tcBorders>
            <w:vAlign w:val="bottom"/>
          </w:tcPr>
          <w:p w14:paraId="36EEBF8F" w14:textId="7D03020D" w:rsidR="00D06894" w:rsidRDefault="00D06894" w:rsidP="003B0CA5">
            <w:pPr>
              <w:pStyle w:val="TBodysubtotalNumber"/>
              <w:keepNext/>
            </w:pPr>
            <w:r>
              <w:t>10</w:t>
            </w:r>
            <w:r w:rsidR="00590B4B">
              <w:t>.</w:t>
            </w:r>
            <w:r>
              <w:t>865</w:t>
            </w:r>
          </w:p>
        </w:tc>
        <w:tc>
          <w:tcPr>
            <w:tcW w:w="119" w:type="dxa"/>
            <w:vAlign w:val="bottom"/>
          </w:tcPr>
          <w:p w14:paraId="0037ADDD" w14:textId="77777777" w:rsidR="00D06894" w:rsidRDefault="00D06894" w:rsidP="003B0CA5">
            <w:pPr>
              <w:pStyle w:val="TBodysubtotalNumber"/>
              <w:keepNext/>
            </w:pPr>
          </w:p>
        </w:tc>
        <w:tc>
          <w:tcPr>
            <w:tcW w:w="1021" w:type="dxa"/>
            <w:tcBorders>
              <w:top w:val="single" w:sz="4" w:space="0" w:color="000000"/>
              <w:bottom w:val="single" w:sz="4" w:space="0" w:color="A59C94"/>
            </w:tcBorders>
            <w:shd w:val="clear" w:color="000000" w:fill="DAD5C9"/>
            <w:vAlign w:val="bottom"/>
          </w:tcPr>
          <w:p w14:paraId="7315B3C0" w14:textId="351838DE" w:rsidR="00D06894" w:rsidRDefault="00D06894" w:rsidP="003B0CA5">
            <w:pPr>
              <w:pStyle w:val="TBodysubtotalNumber"/>
              <w:keepNext/>
            </w:pPr>
            <w:r>
              <w:t>14</w:t>
            </w:r>
            <w:r w:rsidR="00590B4B">
              <w:t>.</w:t>
            </w:r>
            <w:r>
              <w:t>148</w:t>
            </w:r>
          </w:p>
        </w:tc>
        <w:tc>
          <w:tcPr>
            <w:tcW w:w="119" w:type="dxa"/>
            <w:vAlign w:val="bottom"/>
          </w:tcPr>
          <w:p w14:paraId="229DBCFF" w14:textId="77777777" w:rsidR="00D06894" w:rsidRDefault="00D06894" w:rsidP="003B0CA5">
            <w:pPr>
              <w:pStyle w:val="TBodysubtotalNumber"/>
              <w:keepNext/>
            </w:pPr>
          </w:p>
        </w:tc>
        <w:tc>
          <w:tcPr>
            <w:tcW w:w="1021" w:type="dxa"/>
            <w:tcBorders>
              <w:top w:val="single" w:sz="4" w:space="0" w:color="000000"/>
              <w:bottom w:val="single" w:sz="4" w:space="0" w:color="A59C94"/>
            </w:tcBorders>
            <w:vAlign w:val="bottom"/>
          </w:tcPr>
          <w:p w14:paraId="1868483F" w14:textId="77777777" w:rsidR="00D06894" w:rsidRDefault="00D06894" w:rsidP="003B0CA5">
            <w:pPr>
              <w:pStyle w:val="TBodysubtotalNumber"/>
              <w:keepNext/>
            </w:pPr>
            <w:r>
              <w:t>30</w:t>
            </w:r>
          </w:p>
        </w:tc>
      </w:tr>
      <w:tr w:rsidR="00D06894" w14:paraId="2378A602" w14:textId="77777777" w:rsidTr="003B0CA5">
        <w:tc>
          <w:tcPr>
            <w:tcW w:w="2914" w:type="dxa"/>
            <w:tcBorders>
              <w:top w:val="single" w:sz="4" w:space="0" w:color="A59C94"/>
              <w:bottom w:val="single" w:sz="4" w:space="0" w:color="A59C94"/>
            </w:tcBorders>
            <w:vAlign w:val="bottom"/>
          </w:tcPr>
          <w:p w14:paraId="1ECD8C30" w14:textId="5FC5C4F2" w:rsidR="00D06894" w:rsidRPr="00E90B6C" w:rsidRDefault="00D06894" w:rsidP="003B0CA5">
            <w:pPr>
              <w:pStyle w:val="TBodysubtotalText"/>
              <w:keepNext/>
              <w:rPr>
                <w:lang w:val="pt-BR"/>
              </w:rPr>
            </w:pPr>
            <w:r w:rsidRPr="00E90B6C">
              <w:rPr>
                <w:lang w:val="pt-BR"/>
              </w:rPr>
              <w:t>EBITDA</w:t>
            </w:r>
            <w:r w:rsidR="00C2293E" w:rsidRPr="00E90B6C">
              <w:rPr>
                <w:lang w:val="pt-BR"/>
              </w:rPr>
              <w:t xml:space="preserve"> ajustado</w:t>
            </w:r>
          </w:p>
        </w:tc>
        <w:tc>
          <w:tcPr>
            <w:tcW w:w="119" w:type="dxa"/>
            <w:vAlign w:val="bottom"/>
          </w:tcPr>
          <w:p w14:paraId="4E87C34F" w14:textId="77777777" w:rsidR="00D06894" w:rsidRDefault="00D06894" w:rsidP="003B0CA5">
            <w:pPr>
              <w:pStyle w:val="TBodysubtotalNumber"/>
              <w:keepNext/>
            </w:pPr>
          </w:p>
        </w:tc>
        <w:tc>
          <w:tcPr>
            <w:tcW w:w="1021" w:type="dxa"/>
            <w:tcBorders>
              <w:top w:val="single" w:sz="4" w:space="0" w:color="A59C94"/>
              <w:bottom w:val="single" w:sz="4" w:space="0" w:color="A59C94"/>
            </w:tcBorders>
            <w:vAlign w:val="bottom"/>
          </w:tcPr>
          <w:p w14:paraId="495C9E8A" w14:textId="77777777" w:rsidR="00D06894" w:rsidRDefault="00D06894" w:rsidP="003B0CA5">
            <w:pPr>
              <w:pStyle w:val="TBodysubtotalNumber"/>
              <w:keepNext/>
            </w:pPr>
            <w:r>
              <w:t>645</w:t>
            </w:r>
          </w:p>
        </w:tc>
        <w:tc>
          <w:tcPr>
            <w:tcW w:w="119" w:type="dxa"/>
            <w:vAlign w:val="bottom"/>
          </w:tcPr>
          <w:p w14:paraId="013B031B" w14:textId="77777777" w:rsidR="00D06894" w:rsidRDefault="00D06894" w:rsidP="003B0CA5">
            <w:pPr>
              <w:pStyle w:val="TBodysubtotalNumber"/>
              <w:keepNext/>
            </w:pPr>
          </w:p>
        </w:tc>
        <w:tc>
          <w:tcPr>
            <w:tcW w:w="1021" w:type="dxa"/>
            <w:tcBorders>
              <w:top w:val="single" w:sz="4" w:space="0" w:color="A59C94"/>
              <w:bottom w:val="single" w:sz="4" w:space="0" w:color="A59C94"/>
            </w:tcBorders>
            <w:shd w:val="clear" w:color="000000" w:fill="DAD5C9"/>
            <w:vAlign w:val="bottom"/>
          </w:tcPr>
          <w:p w14:paraId="4FF2D6A9" w14:textId="77777777" w:rsidR="00D06894" w:rsidRDefault="00D06894" w:rsidP="003B0CA5">
            <w:pPr>
              <w:pStyle w:val="TBodysubtotalNumber"/>
              <w:keepNext/>
            </w:pPr>
            <w:r>
              <w:t>615</w:t>
            </w:r>
          </w:p>
        </w:tc>
        <w:tc>
          <w:tcPr>
            <w:tcW w:w="119" w:type="dxa"/>
            <w:vAlign w:val="bottom"/>
          </w:tcPr>
          <w:p w14:paraId="3221DF8C" w14:textId="77777777" w:rsidR="00D06894" w:rsidRDefault="00D06894" w:rsidP="003B0CA5">
            <w:pPr>
              <w:pStyle w:val="TBodysubtotalNumber"/>
              <w:keepNext/>
            </w:pPr>
          </w:p>
        </w:tc>
        <w:tc>
          <w:tcPr>
            <w:tcW w:w="1021" w:type="dxa"/>
            <w:tcBorders>
              <w:top w:val="single" w:sz="4" w:space="0" w:color="A59C94"/>
              <w:bottom w:val="single" w:sz="4" w:space="0" w:color="A59C94"/>
            </w:tcBorders>
            <w:vAlign w:val="bottom"/>
          </w:tcPr>
          <w:p w14:paraId="5889CE1B" w14:textId="77777777" w:rsidR="00D06894" w:rsidRDefault="00D06894" w:rsidP="003B0CA5">
            <w:pPr>
              <w:pStyle w:val="TBodysubtotalNumber"/>
              <w:keepNext/>
            </w:pPr>
            <w:r>
              <w:t>-5</w:t>
            </w:r>
          </w:p>
        </w:tc>
        <w:tc>
          <w:tcPr>
            <w:tcW w:w="119" w:type="dxa"/>
            <w:vAlign w:val="bottom"/>
          </w:tcPr>
          <w:p w14:paraId="39B4D041" w14:textId="77777777" w:rsidR="00D06894" w:rsidRDefault="00D06894" w:rsidP="003B0CA5">
            <w:pPr>
              <w:pStyle w:val="TBodysubtotalNumber"/>
              <w:keepNext/>
            </w:pPr>
          </w:p>
        </w:tc>
        <w:tc>
          <w:tcPr>
            <w:tcW w:w="1021" w:type="dxa"/>
            <w:tcBorders>
              <w:top w:val="single" w:sz="4" w:space="0" w:color="A59C94"/>
              <w:bottom w:val="single" w:sz="4" w:space="0" w:color="A59C94"/>
            </w:tcBorders>
            <w:vAlign w:val="bottom"/>
          </w:tcPr>
          <w:p w14:paraId="68A61D69" w14:textId="2BBC1614" w:rsidR="00D06894" w:rsidRDefault="00D06894" w:rsidP="003B0CA5">
            <w:pPr>
              <w:pStyle w:val="TBodysubtotalNumber"/>
              <w:keepNext/>
            </w:pPr>
            <w:r>
              <w:t>1</w:t>
            </w:r>
            <w:r w:rsidR="00590B4B">
              <w:t>.</w:t>
            </w:r>
            <w:r>
              <w:t>881</w:t>
            </w:r>
          </w:p>
        </w:tc>
        <w:tc>
          <w:tcPr>
            <w:tcW w:w="119" w:type="dxa"/>
            <w:vAlign w:val="bottom"/>
          </w:tcPr>
          <w:p w14:paraId="47C33024" w14:textId="77777777" w:rsidR="00D06894" w:rsidRDefault="00D06894" w:rsidP="003B0CA5">
            <w:pPr>
              <w:pStyle w:val="TBodysubtotalNumber"/>
              <w:keepNext/>
            </w:pPr>
          </w:p>
        </w:tc>
        <w:tc>
          <w:tcPr>
            <w:tcW w:w="1021" w:type="dxa"/>
            <w:tcBorders>
              <w:top w:val="single" w:sz="4" w:space="0" w:color="A59C94"/>
              <w:bottom w:val="single" w:sz="4" w:space="0" w:color="A59C94"/>
            </w:tcBorders>
            <w:shd w:val="clear" w:color="000000" w:fill="DAD5C9"/>
            <w:vAlign w:val="bottom"/>
          </w:tcPr>
          <w:p w14:paraId="261ABD9B" w14:textId="61E672AD" w:rsidR="00D06894" w:rsidRDefault="00D06894" w:rsidP="003B0CA5">
            <w:pPr>
              <w:pStyle w:val="TBodysubtotalNumber"/>
              <w:keepNext/>
            </w:pPr>
            <w:r>
              <w:t>2</w:t>
            </w:r>
            <w:r w:rsidR="00590B4B">
              <w:t>.</w:t>
            </w:r>
            <w:r>
              <w:t>077</w:t>
            </w:r>
          </w:p>
        </w:tc>
        <w:tc>
          <w:tcPr>
            <w:tcW w:w="119" w:type="dxa"/>
            <w:vAlign w:val="bottom"/>
          </w:tcPr>
          <w:p w14:paraId="6AE8A5B1" w14:textId="77777777" w:rsidR="00D06894" w:rsidRDefault="00D06894" w:rsidP="003B0CA5">
            <w:pPr>
              <w:pStyle w:val="TBodysubtotalNumber"/>
              <w:keepNext/>
            </w:pPr>
          </w:p>
        </w:tc>
        <w:tc>
          <w:tcPr>
            <w:tcW w:w="1021" w:type="dxa"/>
            <w:tcBorders>
              <w:top w:val="single" w:sz="4" w:space="0" w:color="A59C94"/>
              <w:bottom w:val="single" w:sz="4" w:space="0" w:color="A59C94"/>
            </w:tcBorders>
            <w:vAlign w:val="bottom"/>
          </w:tcPr>
          <w:p w14:paraId="7A2974F4" w14:textId="77777777" w:rsidR="00D06894" w:rsidRDefault="00D06894" w:rsidP="003B0CA5">
            <w:pPr>
              <w:pStyle w:val="TBodysubtotalNumber"/>
              <w:keepNext/>
            </w:pPr>
            <w:r>
              <w:t>10</w:t>
            </w:r>
          </w:p>
        </w:tc>
      </w:tr>
      <w:tr w:rsidR="00D06894" w14:paraId="470BC713" w14:textId="77777777" w:rsidTr="003B0CA5">
        <w:tc>
          <w:tcPr>
            <w:tcW w:w="2914" w:type="dxa"/>
            <w:tcBorders>
              <w:top w:val="single" w:sz="4" w:space="0" w:color="A59C94"/>
              <w:bottom w:val="single" w:sz="4" w:space="0" w:color="A59C94"/>
            </w:tcBorders>
            <w:vAlign w:val="bottom"/>
          </w:tcPr>
          <w:p w14:paraId="66856DD2" w14:textId="1A1D7EBD" w:rsidR="00D06894" w:rsidRPr="00E90B6C" w:rsidRDefault="00166140" w:rsidP="003B0CA5">
            <w:pPr>
              <w:pStyle w:val="TBodysubtotalText"/>
              <w:keepNext/>
              <w:rPr>
                <w:lang w:val="pt-BR"/>
              </w:rPr>
            </w:pPr>
            <w:r w:rsidRPr="00E90B6C">
              <w:rPr>
                <w:lang w:val="pt-BR"/>
              </w:rPr>
              <w:t>E</w:t>
            </w:r>
            <w:r w:rsidR="00D06894" w:rsidRPr="00E90B6C">
              <w:rPr>
                <w:lang w:val="pt-BR"/>
              </w:rPr>
              <w:t>BIT</w:t>
            </w:r>
            <w:r w:rsidR="00C2293E" w:rsidRPr="00E90B6C">
              <w:rPr>
                <w:lang w:val="pt-BR"/>
              </w:rPr>
              <w:t xml:space="preserve"> ajustado </w:t>
            </w:r>
          </w:p>
        </w:tc>
        <w:tc>
          <w:tcPr>
            <w:tcW w:w="119" w:type="dxa"/>
            <w:vAlign w:val="bottom"/>
          </w:tcPr>
          <w:p w14:paraId="27D2FBFD" w14:textId="77777777" w:rsidR="00D06894" w:rsidRDefault="00D06894" w:rsidP="003B0CA5">
            <w:pPr>
              <w:pStyle w:val="TBodysubtotalNumber"/>
              <w:keepNext/>
            </w:pPr>
          </w:p>
        </w:tc>
        <w:tc>
          <w:tcPr>
            <w:tcW w:w="1021" w:type="dxa"/>
            <w:tcBorders>
              <w:top w:val="single" w:sz="4" w:space="0" w:color="A59C94"/>
              <w:bottom w:val="single" w:sz="4" w:space="0" w:color="A59C94"/>
            </w:tcBorders>
            <w:vAlign w:val="bottom"/>
          </w:tcPr>
          <w:p w14:paraId="6419E58F" w14:textId="77777777" w:rsidR="00D06894" w:rsidRDefault="00D06894" w:rsidP="003B0CA5">
            <w:pPr>
              <w:pStyle w:val="TBodysubtotalNumber"/>
              <w:keepNext/>
            </w:pPr>
            <w:r>
              <w:t>387</w:t>
            </w:r>
          </w:p>
        </w:tc>
        <w:tc>
          <w:tcPr>
            <w:tcW w:w="119" w:type="dxa"/>
            <w:vAlign w:val="bottom"/>
          </w:tcPr>
          <w:p w14:paraId="5088982F" w14:textId="77777777" w:rsidR="00D06894" w:rsidRDefault="00D06894" w:rsidP="003B0CA5">
            <w:pPr>
              <w:pStyle w:val="TBodysubtotalNumber"/>
              <w:keepNext/>
            </w:pPr>
          </w:p>
        </w:tc>
        <w:tc>
          <w:tcPr>
            <w:tcW w:w="1021" w:type="dxa"/>
            <w:tcBorders>
              <w:top w:val="single" w:sz="4" w:space="0" w:color="A59C94"/>
              <w:bottom w:val="single" w:sz="4" w:space="0" w:color="A59C94"/>
            </w:tcBorders>
            <w:shd w:val="clear" w:color="000000" w:fill="DAD5C9"/>
            <w:vAlign w:val="bottom"/>
          </w:tcPr>
          <w:p w14:paraId="234318DF" w14:textId="77777777" w:rsidR="00D06894" w:rsidRDefault="00D06894" w:rsidP="003B0CA5">
            <w:pPr>
              <w:pStyle w:val="TBodysubtotalNumber"/>
              <w:keepNext/>
            </w:pPr>
            <w:r>
              <w:t>342</w:t>
            </w:r>
          </w:p>
        </w:tc>
        <w:tc>
          <w:tcPr>
            <w:tcW w:w="119" w:type="dxa"/>
            <w:vAlign w:val="bottom"/>
          </w:tcPr>
          <w:p w14:paraId="601DD5A9" w14:textId="77777777" w:rsidR="00D06894" w:rsidRDefault="00D06894" w:rsidP="003B0CA5">
            <w:pPr>
              <w:pStyle w:val="TBodysubtotalNumber"/>
              <w:keepNext/>
            </w:pPr>
          </w:p>
        </w:tc>
        <w:tc>
          <w:tcPr>
            <w:tcW w:w="1021" w:type="dxa"/>
            <w:tcBorders>
              <w:top w:val="single" w:sz="4" w:space="0" w:color="A59C94"/>
              <w:bottom w:val="single" w:sz="4" w:space="0" w:color="A59C94"/>
            </w:tcBorders>
            <w:vAlign w:val="bottom"/>
          </w:tcPr>
          <w:p w14:paraId="739AAC80" w14:textId="77777777" w:rsidR="00D06894" w:rsidRDefault="00D06894" w:rsidP="003B0CA5">
            <w:pPr>
              <w:pStyle w:val="TBodysubtotalNumber"/>
              <w:keepNext/>
            </w:pPr>
            <w:r>
              <w:t>-12</w:t>
            </w:r>
          </w:p>
        </w:tc>
        <w:tc>
          <w:tcPr>
            <w:tcW w:w="119" w:type="dxa"/>
            <w:vAlign w:val="bottom"/>
          </w:tcPr>
          <w:p w14:paraId="0FD8B139" w14:textId="77777777" w:rsidR="00D06894" w:rsidRDefault="00D06894" w:rsidP="003B0CA5">
            <w:pPr>
              <w:pStyle w:val="TBodysubtotalNumber"/>
              <w:keepNext/>
            </w:pPr>
          </w:p>
        </w:tc>
        <w:tc>
          <w:tcPr>
            <w:tcW w:w="1021" w:type="dxa"/>
            <w:tcBorders>
              <w:top w:val="single" w:sz="4" w:space="0" w:color="A59C94"/>
              <w:bottom w:val="single" w:sz="4" w:space="0" w:color="A59C94"/>
            </w:tcBorders>
            <w:vAlign w:val="bottom"/>
          </w:tcPr>
          <w:p w14:paraId="0713A1F7" w14:textId="3B4E511A" w:rsidR="00D06894" w:rsidRDefault="00D06894" w:rsidP="003B0CA5">
            <w:pPr>
              <w:pStyle w:val="TBodysubtotalNumber"/>
              <w:keepNext/>
            </w:pPr>
            <w:r>
              <w:t>1</w:t>
            </w:r>
            <w:r w:rsidR="00590B4B">
              <w:t>.</w:t>
            </w:r>
            <w:r>
              <w:t>121</w:t>
            </w:r>
          </w:p>
        </w:tc>
        <w:tc>
          <w:tcPr>
            <w:tcW w:w="119" w:type="dxa"/>
            <w:vAlign w:val="bottom"/>
          </w:tcPr>
          <w:p w14:paraId="1739346F" w14:textId="77777777" w:rsidR="00D06894" w:rsidRDefault="00D06894" w:rsidP="003B0CA5">
            <w:pPr>
              <w:pStyle w:val="TBodysubtotalNumber"/>
              <w:keepNext/>
            </w:pPr>
          </w:p>
        </w:tc>
        <w:tc>
          <w:tcPr>
            <w:tcW w:w="1021" w:type="dxa"/>
            <w:tcBorders>
              <w:top w:val="single" w:sz="4" w:space="0" w:color="A59C94"/>
              <w:bottom w:val="single" w:sz="4" w:space="0" w:color="A59C94"/>
            </w:tcBorders>
            <w:shd w:val="clear" w:color="000000" w:fill="DAD5C9"/>
            <w:vAlign w:val="bottom"/>
          </w:tcPr>
          <w:p w14:paraId="089D468B" w14:textId="499D8BE2" w:rsidR="00D06894" w:rsidRDefault="00D06894" w:rsidP="003B0CA5">
            <w:pPr>
              <w:pStyle w:val="TBodysubtotalNumber"/>
              <w:keepNext/>
            </w:pPr>
            <w:r>
              <w:t>1</w:t>
            </w:r>
            <w:r w:rsidR="00590B4B">
              <w:t>.</w:t>
            </w:r>
            <w:r>
              <w:t>270</w:t>
            </w:r>
          </w:p>
        </w:tc>
        <w:tc>
          <w:tcPr>
            <w:tcW w:w="119" w:type="dxa"/>
            <w:vAlign w:val="bottom"/>
          </w:tcPr>
          <w:p w14:paraId="14A7E929" w14:textId="77777777" w:rsidR="00D06894" w:rsidRDefault="00D06894" w:rsidP="003B0CA5">
            <w:pPr>
              <w:pStyle w:val="TBodysubtotalNumber"/>
              <w:keepNext/>
            </w:pPr>
          </w:p>
        </w:tc>
        <w:tc>
          <w:tcPr>
            <w:tcW w:w="1021" w:type="dxa"/>
            <w:tcBorders>
              <w:top w:val="single" w:sz="4" w:space="0" w:color="A59C94"/>
              <w:bottom w:val="single" w:sz="4" w:space="0" w:color="A59C94"/>
            </w:tcBorders>
            <w:vAlign w:val="bottom"/>
          </w:tcPr>
          <w:p w14:paraId="08A8993F" w14:textId="77777777" w:rsidR="00D06894" w:rsidRDefault="00D06894" w:rsidP="003B0CA5">
            <w:pPr>
              <w:pStyle w:val="TBodysubtotalNumber"/>
              <w:keepNext/>
            </w:pPr>
            <w:r>
              <w:t>13</w:t>
            </w:r>
          </w:p>
        </w:tc>
      </w:tr>
      <w:tr w:rsidR="00D06894" w14:paraId="46B8E3DD" w14:textId="77777777" w:rsidTr="003B0CA5">
        <w:tc>
          <w:tcPr>
            <w:tcW w:w="2914" w:type="dxa"/>
            <w:tcBorders>
              <w:top w:val="single" w:sz="4" w:space="0" w:color="A59C94"/>
              <w:bottom w:val="single" w:sz="4" w:space="0" w:color="A59C94"/>
            </w:tcBorders>
            <w:vAlign w:val="bottom"/>
          </w:tcPr>
          <w:p w14:paraId="29E0FECB" w14:textId="719DA21D" w:rsidR="00D06894" w:rsidRPr="00E90B6C" w:rsidRDefault="00166140" w:rsidP="003B0CA5">
            <w:pPr>
              <w:pStyle w:val="TBodynormalText"/>
              <w:rPr>
                <w:lang w:val="pt-BR"/>
              </w:rPr>
            </w:pPr>
            <w:r w:rsidRPr="00E90B6C">
              <w:rPr>
                <w:lang w:val="pt-BR"/>
              </w:rPr>
              <w:t xml:space="preserve">Ajustes </w:t>
            </w:r>
          </w:p>
        </w:tc>
        <w:tc>
          <w:tcPr>
            <w:tcW w:w="119" w:type="dxa"/>
            <w:vAlign w:val="bottom"/>
          </w:tcPr>
          <w:p w14:paraId="379B71E3" w14:textId="77777777" w:rsidR="00D06894" w:rsidRDefault="00D06894" w:rsidP="003B0CA5">
            <w:pPr>
              <w:pStyle w:val="TBodynormalNumber"/>
              <w:keepNext/>
            </w:pPr>
          </w:p>
        </w:tc>
        <w:tc>
          <w:tcPr>
            <w:tcW w:w="1021" w:type="dxa"/>
            <w:tcBorders>
              <w:top w:val="single" w:sz="4" w:space="0" w:color="A59C94"/>
              <w:bottom w:val="single" w:sz="4" w:space="0" w:color="A59C94"/>
            </w:tcBorders>
            <w:vAlign w:val="bottom"/>
          </w:tcPr>
          <w:p w14:paraId="616CD785" w14:textId="77777777" w:rsidR="00D06894" w:rsidRDefault="00D06894" w:rsidP="003B0CA5">
            <w:pPr>
              <w:pStyle w:val="TBodynormalNumber"/>
              <w:keepNext/>
            </w:pPr>
            <w:r>
              <w:t>-14</w:t>
            </w:r>
          </w:p>
        </w:tc>
        <w:tc>
          <w:tcPr>
            <w:tcW w:w="119" w:type="dxa"/>
            <w:vAlign w:val="bottom"/>
          </w:tcPr>
          <w:p w14:paraId="27950327" w14:textId="77777777" w:rsidR="00D06894" w:rsidRDefault="00D06894" w:rsidP="003B0CA5">
            <w:pPr>
              <w:pStyle w:val="TBodynormalNumber"/>
              <w:keepNext/>
            </w:pPr>
          </w:p>
        </w:tc>
        <w:tc>
          <w:tcPr>
            <w:tcW w:w="1021" w:type="dxa"/>
            <w:tcBorders>
              <w:top w:val="single" w:sz="4" w:space="0" w:color="A59C94"/>
              <w:bottom w:val="single" w:sz="4" w:space="0" w:color="A59C94"/>
            </w:tcBorders>
            <w:shd w:val="clear" w:color="000000" w:fill="DAD5C9"/>
            <w:vAlign w:val="bottom"/>
          </w:tcPr>
          <w:p w14:paraId="1AA6AFFC" w14:textId="77777777" w:rsidR="00D06894" w:rsidRDefault="00D06894" w:rsidP="003B0CA5">
            <w:pPr>
              <w:pStyle w:val="TBodynormalNumber"/>
              <w:keepNext/>
            </w:pPr>
            <w:r>
              <w:t>-16</w:t>
            </w:r>
          </w:p>
        </w:tc>
        <w:tc>
          <w:tcPr>
            <w:tcW w:w="119" w:type="dxa"/>
            <w:vAlign w:val="bottom"/>
          </w:tcPr>
          <w:p w14:paraId="07BA0E99" w14:textId="77777777" w:rsidR="00D06894" w:rsidRDefault="00D06894" w:rsidP="003B0CA5">
            <w:pPr>
              <w:pStyle w:val="TBodynormalNumber"/>
              <w:keepNext/>
            </w:pPr>
          </w:p>
        </w:tc>
        <w:tc>
          <w:tcPr>
            <w:tcW w:w="1021" w:type="dxa"/>
            <w:tcBorders>
              <w:top w:val="single" w:sz="4" w:space="0" w:color="A59C94"/>
              <w:bottom w:val="single" w:sz="4" w:space="0" w:color="A59C94"/>
            </w:tcBorders>
            <w:vAlign w:val="bottom"/>
          </w:tcPr>
          <w:p w14:paraId="07CEB1F7" w14:textId="77777777" w:rsidR="00D06894" w:rsidRDefault="00D06894" w:rsidP="003B0CA5">
            <w:pPr>
              <w:pStyle w:val="TBodynormalNumber"/>
              <w:keepNext/>
            </w:pPr>
          </w:p>
        </w:tc>
        <w:tc>
          <w:tcPr>
            <w:tcW w:w="119" w:type="dxa"/>
            <w:vAlign w:val="bottom"/>
          </w:tcPr>
          <w:p w14:paraId="1F8E14EB" w14:textId="77777777" w:rsidR="00D06894" w:rsidRDefault="00D06894" w:rsidP="003B0CA5">
            <w:pPr>
              <w:pStyle w:val="TBodynormalNumber"/>
              <w:keepNext/>
            </w:pPr>
          </w:p>
        </w:tc>
        <w:tc>
          <w:tcPr>
            <w:tcW w:w="1021" w:type="dxa"/>
            <w:tcBorders>
              <w:top w:val="single" w:sz="4" w:space="0" w:color="A59C94"/>
              <w:bottom w:val="single" w:sz="4" w:space="0" w:color="A59C94"/>
            </w:tcBorders>
            <w:vAlign w:val="bottom"/>
          </w:tcPr>
          <w:p w14:paraId="28C53A16" w14:textId="77777777" w:rsidR="00D06894" w:rsidRDefault="00D06894" w:rsidP="003B0CA5">
            <w:pPr>
              <w:pStyle w:val="TBodynormalNumber"/>
              <w:keepNext/>
            </w:pPr>
            <w:r>
              <w:t>-61</w:t>
            </w:r>
          </w:p>
        </w:tc>
        <w:tc>
          <w:tcPr>
            <w:tcW w:w="119" w:type="dxa"/>
            <w:vAlign w:val="bottom"/>
          </w:tcPr>
          <w:p w14:paraId="3152391B" w14:textId="77777777" w:rsidR="00D06894" w:rsidRDefault="00D06894" w:rsidP="003B0CA5">
            <w:pPr>
              <w:pStyle w:val="TBodynormalNumber"/>
              <w:keepNext/>
            </w:pPr>
          </w:p>
        </w:tc>
        <w:tc>
          <w:tcPr>
            <w:tcW w:w="1021" w:type="dxa"/>
            <w:tcBorders>
              <w:top w:val="single" w:sz="4" w:space="0" w:color="A59C94"/>
              <w:bottom w:val="single" w:sz="4" w:space="0" w:color="A59C94"/>
            </w:tcBorders>
            <w:shd w:val="clear" w:color="000000" w:fill="DAD5C9"/>
            <w:vAlign w:val="bottom"/>
          </w:tcPr>
          <w:p w14:paraId="3A6595DA" w14:textId="77777777" w:rsidR="00D06894" w:rsidRDefault="00D06894" w:rsidP="003B0CA5">
            <w:pPr>
              <w:pStyle w:val="TBodynormalNumber"/>
              <w:keepNext/>
            </w:pPr>
            <w:r>
              <w:t>-68</w:t>
            </w:r>
          </w:p>
        </w:tc>
        <w:tc>
          <w:tcPr>
            <w:tcW w:w="119" w:type="dxa"/>
            <w:vAlign w:val="bottom"/>
          </w:tcPr>
          <w:p w14:paraId="6632AC40" w14:textId="77777777" w:rsidR="00D06894" w:rsidRDefault="00D06894" w:rsidP="003B0CA5">
            <w:pPr>
              <w:pStyle w:val="TBodynormalNumber"/>
              <w:keepNext/>
            </w:pPr>
          </w:p>
        </w:tc>
        <w:tc>
          <w:tcPr>
            <w:tcW w:w="1021" w:type="dxa"/>
            <w:tcBorders>
              <w:top w:val="single" w:sz="4" w:space="0" w:color="A59C94"/>
              <w:bottom w:val="single" w:sz="4" w:space="0" w:color="A59C94"/>
            </w:tcBorders>
            <w:vAlign w:val="bottom"/>
          </w:tcPr>
          <w:p w14:paraId="41070E35" w14:textId="77777777" w:rsidR="00D06894" w:rsidRDefault="00D06894" w:rsidP="003B0CA5">
            <w:pPr>
              <w:pStyle w:val="TBodynormalNumber"/>
              <w:keepNext/>
            </w:pPr>
          </w:p>
        </w:tc>
      </w:tr>
      <w:tr w:rsidR="00D06894" w14:paraId="75E2B722" w14:textId="77777777" w:rsidTr="003B0CA5">
        <w:tc>
          <w:tcPr>
            <w:tcW w:w="2914" w:type="dxa"/>
            <w:tcBorders>
              <w:top w:val="single" w:sz="4" w:space="0" w:color="A59C94"/>
              <w:bottom w:val="single" w:sz="4" w:space="0" w:color="A59C94"/>
            </w:tcBorders>
            <w:vAlign w:val="bottom"/>
          </w:tcPr>
          <w:p w14:paraId="3E0A829B" w14:textId="0F5B60B9" w:rsidR="00D06894" w:rsidRPr="00E90B6C" w:rsidRDefault="00166140" w:rsidP="003B0CA5">
            <w:pPr>
              <w:pStyle w:val="TBodynormalText"/>
              <w:rPr>
                <w:lang w:val="pt-BR"/>
              </w:rPr>
            </w:pPr>
            <w:r w:rsidRPr="00E90B6C">
              <w:rPr>
                <w:lang w:val="pt-BR"/>
              </w:rPr>
              <w:t>Resultado financeiro</w:t>
            </w:r>
          </w:p>
        </w:tc>
        <w:tc>
          <w:tcPr>
            <w:tcW w:w="119" w:type="dxa"/>
            <w:vAlign w:val="bottom"/>
          </w:tcPr>
          <w:p w14:paraId="34414EAC" w14:textId="77777777" w:rsidR="00D06894" w:rsidRDefault="00D06894" w:rsidP="003B0CA5">
            <w:pPr>
              <w:pStyle w:val="TBodynormalNumber"/>
              <w:keepNext/>
            </w:pPr>
          </w:p>
        </w:tc>
        <w:tc>
          <w:tcPr>
            <w:tcW w:w="1021" w:type="dxa"/>
            <w:tcBorders>
              <w:top w:val="single" w:sz="4" w:space="0" w:color="A59C94"/>
              <w:bottom w:val="single" w:sz="4" w:space="0" w:color="A59C94"/>
            </w:tcBorders>
            <w:vAlign w:val="bottom"/>
          </w:tcPr>
          <w:p w14:paraId="4873F892" w14:textId="77777777" w:rsidR="00D06894" w:rsidRDefault="00D06894" w:rsidP="003B0CA5">
            <w:pPr>
              <w:pStyle w:val="TBodynormalNumber"/>
              <w:keepNext/>
            </w:pPr>
            <w:r>
              <w:t>-37</w:t>
            </w:r>
          </w:p>
        </w:tc>
        <w:tc>
          <w:tcPr>
            <w:tcW w:w="119" w:type="dxa"/>
            <w:vAlign w:val="bottom"/>
          </w:tcPr>
          <w:p w14:paraId="2413DBF2" w14:textId="77777777" w:rsidR="00D06894" w:rsidRDefault="00D06894" w:rsidP="003B0CA5">
            <w:pPr>
              <w:pStyle w:val="TBodynormalNumber"/>
              <w:keepNext/>
            </w:pPr>
          </w:p>
        </w:tc>
        <w:tc>
          <w:tcPr>
            <w:tcW w:w="1021" w:type="dxa"/>
            <w:tcBorders>
              <w:top w:val="single" w:sz="4" w:space="0" w:color="A59C94"/>
              <w:bottom w:val="single" w:sz="4" w:space="0" w:color="A59C94"/>
            </w:tcBorders>
            <w:shd w:val="clear" w:color="000000" w:fill="DAD5C9"/>
            <w:vAlign w:val="bottom"/>
          </w:tcPr>
          <w:p w14:paraId="28E9A3C3" w14:textId="77777777" w:rsidR="00D06894" w:rsidRDefault="00D06894" w:rsidP="003B0CA5">
            <w:pPr>
              <w:pStyle w:val="TBodynormalNumber"/>
              <w:keepNext/>
            </w:pPr>
            <w:r>
              <w:t>-21</w:t>
            </w:r>
          </w:p>
        </w:tc>
        <w:tc>
          <w:tcPr>
            <w:tcW w:w="119" w:type="dxa"/>
            <w:vAlign w:val="bottom"/>
          </w:tcPr>
          <w:p w14:paraId="263C494E" w14:textId="77777777" w:rsidR="00D06894" w:rsidRDefault="00D06894" w:rsidP="003B0CA5">
            <w:pPr>
              <w:pStyle w:val="TBodynormalNumber"/>
              <w:keepNext/>
            </w:pPr>
          </w:p>
        </w:tc>
        <w:tc>
          <w:tcPr>
            <w:tcW w:w="1021" w:type="dxa"/>
            <w:tcBorders>
              <w:top w:val="single" w:sz="4" w:space="0" w:color="A59C94"/>
              <w:bottom w:val="single" w:sz="4" w:space="0" w:color="A59C94"/>
            </w:tcBorders>
            <w:vAlign w:val="bottom"/>
          </w:tcPr>
          <w:p w14:paraId="71D50A87" w14:textId="77777777" w:rsidR="00D06894" w:rsidRDefault="00D06894" w:rsidP="003B0CA5">
            <w:pPr>
              <w:pStyle w:val="TBodynormalNumber"/>
              <w:keepNext/>
            </w:pPr>
          </w:p>
        </w:tc>
        <w:tc>
          <w:tcPr>
            <w:tcW w:w="119" w:type="dxa"/>
            <w:vAlign w:val="bottom"/>
          </w:tcPr>
          <w:p w14:paraId="1501CB0A" w14:textId="77777777" w:rsidR="00D06894" w:rsidRDefault="00D06894" w:rsidP="003B0CA5">
            <w:pPr>
              <w:pStyle w:val="TBodynormalNumber"/>
              <w:keepNext/>
            </w:pPr>
          </w:p>
        </w:tc>
        <w:tc>
          <w:tcPr>
            <w:tcW w:w="1021" w:type="dxa"/>
            <w:tcBorders>
              <w:top w:val="single" w:sz="4" w:space="0" w:color="A59C94"/>
              <w:bottom w:val="single" w:sz="4" w:space="0" w:color="A59C94"/>
            </w:tcBorders>
            <w:vAlign w:val="bottom"/>
          </w:tcPr>
          <w:p w14:paraId="00D70AFD" w14:textId="77777777" w:rsidR="00D06894" w:rsidRDefault="00D06894" w:rsidP="003B0CA5">
            <w:pPr>
              <w:pStyle w:val="TBodynormalNumber"/>
              <w:keepNext/>
            </w:pPr>
            <w:r>
              <w:t>-98</w:t>
            </w:r>
          </w:p>
        </w:tc>
        <w:tc>
          <w:tcPr>
            <w:tcW w:w="119" w:type="dxa"/>
            <w:vAlign w:val="bottom"/>
          </w:tcPr>
          <w:p w14:paraId="54CD42E8" w14:textId="77777777" w:rsidR="00D06894" w:rsidRDefault="00D06894" w:rsidP="003B0CA5">
            <w:pPr>
              <w:pStyle w:val="TBodynormalNumber"/>
              <w:keepNext/>
            </w:pPr>
          </w:p>
        </w:tc>
        <w:tc>
          <w:tcPr>
            <w:tcW w:w="1021" w:type="dxa"/>
            <w:tcBorders>
              <w:top w:val="single" w:sz="4" w:space="0" w:color="A59C94"/>
              <w:bottom w:val="single" w:sz="4" w:space="0" w:color="A59C94"/>
            </w:tcBorders>
            <w:shd w:val="clear" w:color="000000" w:fill="DAD5C9"/>
            <w:vAlign w:val="bottom"/>
          </w:tcPr>
          <w:p w14:paraId="618CA48F" w14:textId="77777777" w:rsidR="00D06894" w:rsidRDefault="00D06894" w:rsidP="003B0CA5">
            <w:pPr>
              <w:pStyle w:val="TBodynormalNumber"/>
              <w:keepNext/>
            </w:pPr>
            <w:r>
              <w:t>-28</w:t>
            </w:r>
          </w:p>
        </w:tc>
        <w:tc>
          <w:tcPr>
            <w:tcW w:w="119" w:type="dxa"/>
            <w:vAlign w:val="bottom"/>
          </w:tcPr>
          <w:p w14:paraId="6B91E4ED" w14:textId="77777777" w:rsidR="00D06894" w:rsidRDefault="00D06894" w:rsidP="003B0CA5">
            <w:pPr>
              <w:pStyle w:val="TBodynormalNumber"/>
              <w:keepNext/>
            </w:pPr>
          </w:p>
        </w:tc>
        <w:tc>
          <w:tcPr>
            <w:tcW w:w="1021" w:type="dxa"/>
            <w:tcBorders>
              <w:top w:val="single" w:sz="4" w:space="0" w:color="A59C94"/>
              <w:bottom w:val="single" w:sz="4" w:space="0" w:color="A59C94"/>
            </w:tcBorders>
            <w:vAlign w:val="bottom"/>
          </w:tcPr>
          <w:p w14:paraId="57085647" w14:textId="77777777" w:rsidR="00D06894" w:rsidRDefault="00D06894" w:rsidP="003B0CA5">
            <w:pPr>
              <w:pStyle w:val="TBodynormalNumber"/>
              <w:keepNext/>
            </w:pPr>
          </w:p>
        </w:tc>
      </w:tr>
      <w:tr w:rsidR="00D06894" w14:paraId="6C03C15C" w14:textId="77777777" w:rsidTr="003B0CA5">
        <w:tc>
          <w:tcPr>
            <w:tcW w:w="2914" w:type="dxa"/>
            <w:tcBorders>
              <w:top w:val="single" w:sz="4" w:space="0" w:color="A59C94"/>
              <w:bottom w:val="single" w:sz="4" w:space="0" w:color="000000"/>
            </w:tcBorders>
            <w:vAlign w:val="bottom"/>
          </w:tcPr>
          <w:p w14:paraId="15988F49" w14:textId="273C08E2" w:rsidR="00D06894" w:rsidRPr="00E90B6C" w:rsidRDefault="00166140" w:rsidP="003B0CA5">
            <w:pPr>
              <w:pStyle w:val="TBodysubtotalText"/>
              <w:keepNext/>
              <w:rPr>
                <w:lang w:val="pt-BR"/>
              </w:rPr>
            </w:pPr>
            <w:r w:rsidRPr="00E90B6C">
              <w:rPr>
                <w:lang w:val="pt-BR"/>
              </w:rPr>
              <w:t>Resultado antes do IR, operações continuadas</w:t>
            </w:r>
          </w:p>
        </w:tc>
        <w:tc>
          <w:tcPr>
            <w:tcW w:w="119" w:type="dxa"/>
            <w:vAlign w:val="bottom"/>
          </w:tcPr>
          <w:p w14:paraId="18BDA7C8" w14:textId="77777777" w:rsidR="00D06894" w:rsidRPr="0057432F" w:rsidRDefault="00D06894" w:rsidP="003B0CA5">
            <w:pPr>
              <w:pStyle w:val="TBodysubtotalNumber"/>
              <w:keepNext/>
              <w:rPr>
                <w:lang w:val="en-US"/>
              </w:rPr>
            </w:pPr>
          </w:p>
        </w:tc>
        <w:tc>
          <w:tcPr>
            <w:tcW w:w="1021" w:type="dxa"/>
            <w:tcBorders>
              <w:top w:val="single" w:sz="4" w:space="0" w:color="A59C94"/>
              <w:bottom w:val="single" w:sz="4" w:space="0" w:color="000000"/>
            </w:tcBorders>
            <w:vAlign w:val="bottom"/>
          </w:tcPr>
          <w:p w14:paraId="3EDA6957" w14:textId="77777777" w:rsidR="00D06894" w:rsidRDefault="00D06894" w:rsidP="003B0CA5">
            <w:pPr>
              <w:pStyle w:val="TBodysubtotalNumber"/>
              <w:keepNext/>
            </w:pPr>
            <w:r>
              <w:t>336</w:t>
            </w:r>
          </w:p>
        </w:tc>
        <w:tc>
          <w:tcPr>
            <w:tcW w:w="119" w:type="dxa"/>
            <w:vAlign w:val="bottom"/>
          </w:tcPr>
          <w:p w14:paraId="5C080599" w14:textId="77777777" w:rsidR="00D06894" w:rsidRDefault="00D06894" w:rsidP="003B0CA5">
            <w:pPr>
              <w:pStyle w:val="TBodysubtotalNumber"/>
              <w:keepNext/>
            </w:pPr>
          </w:p>
        </w:tc>
        <w:tc>
          <w:tcPr>
            <w:tcW w:w="1021" w:type="dxa"/>
            <w:tcBorders>
              <w:top w:val="single" w:sz="4" w:space="0" w:color="A59C94"/>
              <w:bottom w:val="single" w:sz="4" w:space="0" w:color="000000"/>
            </w:tcBorders>
            <w:shd w:val="clear" w:color="000000" w:fill="DAD5C9"/>
            <w:vAlign w:val="bottom"/>
          </w:tcPr>
          <w:p w14:paraId="3ACB9400" w14:textId="77777777" w:rsidR="00D06894" w:rsidRDefault="00D06894" w:rsidP="003B0CA5">
            <w:pPr>
              <w:pStyle w:val="TBodysubtotalNumber"/>
              <w:keepNext/>
            </w:pPr>
            <w:r>
              <w:t>305</w:t>
            </w:r>
          </w:p>
        </w:tc>
        <w:tc>
          <w:tcPr>
            <w:tcW w:w="119" w:type="dxa"/>
            <w:vAlign w:val="bottom"/>
          </w:tcPr>
          <w:p w14:paraId="2EF9A08A" w14:textId="77777777" w:rsidR="00D06894" w:rsidRDefault="00D06894" w:rsidP="003B0CA5">
            <w:pPr>
              <w:pStyle w:val="TBodysubtotalNumber"/>
              <w:keepNext/>
            </w:pPr>
          </w:p>
        </w:tc>
        <w:tc>
          <w:tcPr>
            <w:tcW w:w="1021" w:type="dxa"/>
            <w:tcBorders>
              <w:top w:val="single" w:sz="4" w:space="0" w:color="A59C94"/>
              <w:bottom w:val="single" w:sz="4" w:space="0" w:color="000000"/>
            </w:tcBorders>
            <w:vAlign w:val="bottom"/>
          </w:tcPr>
          <w:p w14:paraId="39908E1F" w14:textId="77777777" w:rsidR="00D06894" w:rsidRDefault="00D06894" w:rsidP="003B0CA5">
            <w:pPr>
              <w:pStyle w:val="TBodysubtotalNumber"/>
              <w:keepNext/>
            </w:pPr>
            <w:r>
              <w:t>-9</w:t>
            </w:r>
          </w:p>
        </w:tc>
        <w:tc>
          <w:tcPr>
            <w:tcW w:w="119" w:type="dxa"/>
            <w:vAlign w:val="bottom"/>
          </w:tcPr>
          <w:p w14:paraId="79A919BE" w14:textId="77777777" w:rsidR="00D06894" w:rsidRDefault="00D06894" w:rsidP="003B0CA5">
            <w:pPr>
              <w:pStyle w:val="TBodysubtotalNumber"/>
              <w:keepNext/>
            </w:pPr>
          </w:p>
        </w:tc>
        <w:tc>
          <w:tcPr>
            <w:tcW w:w="1021" w:type="dxa"/>
            <w:tcBorders>
              <w:top w:val="single" w:sz="4" w:space="0" w:color="A59C94"/>
              <w:bottom w:val="single" w:sz="4" w:space="0" w:color="000000"/>
            </w:tcBorders>
            <w:vAlign w:val="bottom"/>
          </w:tcPr>
          <w:p w14:paraId="674D9019" w14:textId="77777777" w:rsidR="00D06894" w:rsidRDefault="00D06894" w:rsidP="003B0CA5">
            <w:pPr>
              <w:pStyle w:val="TBodysubtotalNumber"/>
              <w:keepNext/>
            </w:pPr>
            <w:r>
              <w:t>962</w:t>
            </w:r>
          </w:p>
        </w:tc>
        <w:tc>
          <w:tcPr>
            <w:tcW w:w="119" w:type="dxa"/>
            <w:vAlign w:val="bottom"/>
          </w:tcPr>
          <w:p w14:paraId="259DF583" w14:textId="77777777" w:rsidR="00D06894" w:rsidRDefault="00D06894" w:rsidP="003B0CA5">
            <w:pPr>
              <w:pStyle w:val="TBodysubtotalNumber"/>
              <w:keepNext/>
            </w:pPr>
          </w:p>
        </w:tc>
        <w:tc>
          <w:tcPr>
            <w:tcW w:w="1021" w:type="dxa"/>
            <w:tcBorders>
              <w:top w:val="single" w:sz="4" w:space="0" w:color="A59C94"/>
              <w:bottom w:val="single" w:sz="4" w:space="0" w:color="000000"/>
            </w:tcBorders>
            <w:shd w:val="clear" w:color="000000" w:fill="DAD5C9"/>
            <w:vAlign w:val="bottom"/>
          </w:tcPr>
          <w:p w14:paraId="37E061AE" w14:textId="3F083039" w:rsidR="00D06894" w:rsidRDefault="00D06894" w:rsidP="003B0CA5">
            <w:pPr>
              <w:pStyle w:val="TBodysubtotalNumber"/>
              <w:keepNext/>
            </w:pPr>
            <w:r>
              <w:t>1</w:t>
            </w:r>
            <w:r w:rsidR="00590B4B">
              <w:t>.</w:t>
            </w:r>
            <w:r>
              <w:t>174</w:t>
            </w:r>
          </w:p>
        </w:tc>
        <w:tc>
          <w:tcPr>
            <w:tcW w:w="119" w:type="dxa"/>
            <w:vAlign w:val="bottom"/>
          </w:tcPr>
          <w:p w14:paraId="361027CE" w14:textId="77777777" w:rsidR="00D06894" w:rsidRDefault="00D06894" w:rsidP="003B0CA5">
            <w:pPr>
              <w:pStyle w:val="TBodysubtotalNumber"/>
              <w:keepNext/>
            </w:pPr>
          </w:p>
        </w:tc>
        <w:tc>
          <w:tcPr>
            <w:tcW w:w="1021" w:type="dxa"/>
            <w:tcBorders>
              <w:top w:val="single" w:sz="4" w:space="0" w:color="A59C94"/>
              <w:bottom w:val="single" w:sz="4" w:space="0" w:color="000000"/>
            </w:tcBorders>
            <w:vAlign w:val="bottom"/>
          </w:tcPr>
          <w:p w14:paraId="24D3CA47" w14:textId="77777777" w:rsidR="00D06894" w:rsidRDefault="00D06894" w:rsidP="003B0CA5">
            <w:pPr>
              <w:pStyle w:val="TBodysubtotalNumber"/>
              <w:keepNext/>
            </w:pPr>
            <w:r>
              <w:t>22</w:t>
            </w:r>
          </w:p>
        </w:tc>
      </w:tr>
      <w:tr w:rsidR="00D06894" w14:paraId="35C1A04D" w14:textId="77777777" w:rsidTr="003B0CA5">
        <w:trPr>
          <w:trHeight w:val="340"/>
        </w:trPr>
        <w:tc>
          <w:tcPr>
            <w:tcW w:w="2914" w:type="dxa"/>
            <w:tcBorders>
              <w:top w:val="single" w:sz="4" w:space="0" w:color="000000"/>
              <w:bottom w:val="single" w:sz="4" w:space="0" w:color="A59C94"/>
            </w:tcBorders>
            <w:vAlign w:val="bottom"/>
          </w:tcPr>
          <w:p w14:paraId="671DCFC5" w14:textId="35850456" w:rsidR="00D06894" w:rsidRPr="00E90B6C" w:rsidRDefault="000527FC" w:rsidP="003B0CA5">
            <w:pPr>
              <w:pStyle w:val="TBodynormalText"/>
              <w:rPr>
                <w:lang w:val="pt-BR"/>
              </w:rPr>
            </w:pPr>
            <w:r w:rsidRPr="00E90B6C">
              <w:rPr>
                <w:lang w:val="pt-BR"/>
              </w:rPr>
              <w:t xml:space="preserve">Imposto de renda </w:t>
            </w:r>
          </w:p>
        </w:tc>
        <w:tc>
          <w:tcPr>
            <w:tcW w:w="119" w:type="dxa"/>
            <w:vAlign w:val="bottom"/>
          </w:tcPr>
          <w:p w14:paraId="7DB8A163" w14:textId="77777777" w:rsidR="00D06894" w:rsidRDefault="00D06894" w:rsidP="003B0CA5">
            <w:pPr>
              <w:pStyle w:val="TBodynormalNumber"/>
              <w:keepNext/>
            </w:pPr>
          </w:p>
        </w:tc>
        <w:tc>
          <w:tcPr>
            <w:tcW w:w="1021" w:type="dxa"/>
            <w:tcBorders>
              <w:top w:val="single" w:sz="4" w:space="0" w:color="000000"/>
              <w:bottom w:val="single" w:sz="4" w:space="0" w:color="A59C94"/>
            </w:tcBorders>
            <w:vAlign w:val="bottom"/>
          </w:tcPr>
          <w:p w14:paraId="2F145797" w14:textId="77777777" w:rsidR="00D06894" w:rsidRDefault="00D06894" w:rsidP="003B0CA5">
            <w:pPr>
              <w:pStyle w:val="TBodynormalNumber"/>
              <w:keepNext/>
            </w:pPr>
            <w:r>
              <w:t>-100</w:t>
            </w:r>
          </w:p>
        </w:tc>
        <w:tc>
          <w:tcPr>
            <w:tcW w:w="119" w:type="dxa"/>
            <w:vAlign w:val="bottom"/>
          </w:tcPr>
          <w:p w14:paraId="3A7102D0" w14:textId="77777777" w:rsidR="00D06894" w:rsidRDefault="00D06894" w:rsidP="003B0CA5">
            <w:pPr>
              <w:pStyle w:val="TBodynormalNumber"/>
              <w:keepNext/>
            </w:pPr>
          </w:p>
        </w:tc>
        <w:tc>
          <w:tcPr>
            <w:tcW w:w="1021" w:type="dxa"/>
            <w:tcBorders>
              <w:top w:val="single" w:sz="4" w:space="0" w:color="000000"/>
              <w:bottom w:val="single" w:sz="4" w:space="0" w:color="A59C94"/>
            </w:tcBorders>
            <w:shd w:val="clear" w:color="000000" w:fill="DAD5C9"/>
            <w:vAlign w:val="bottom"/>
          </w:tcPr>
          <w:p w14:paraId="1C85BFEE" w14:textId="77777777" w:rsidR="00D06894" w:rsidRDefault="00D06894" w:rsidP="003B0CA5">
            <w:pPr>
              <w:pStyle w:val="TBodynormalNumber"/>
              <w:keepNext/>
            </w:pPr>
            <w:r>
              <w:t>-90</w:t>
            </w:r>
          </w:p>
        </w:tc>
        <w:tc>
          <w:tcPr>
            <w:tcW w:w="119" w:type="dxa"/>
            <w:vAlign w:val="bottom"/>
          </w:tcPr>
          <w:p w14:paraId="5220C32F" w14:textId="77777777" w:rsidR="00D06894" w:rsidRDefault="00D06894" w:rsidP="003B0CA5">
            <w:pPr>
              <w:pStyle w:val="TBodynormalNumber"/>
              <w:keepNext/>
            </w:pPr>
          </w:p>
        </w:tc>
        <w:tc>
          <w:tcPr>
            <w:tcW w:w="1021" w:type="dxa"/>
            <w:tcBorders>
              <w:top w:val="single" w:sz="4" w:space="0" w:color="000000"/>
              <w:bottom w:val="single" w:sz="4" w:space="0" w:color="A59C94"/>
            </w:tcBorders>
            <w:vAlign w:val="bottom"/>
          </w:tcPr>
          <w:p w14:paraId="4DECC4FB" w14:textId="77777777" w:rsidR="00D06894" w:rsidRDefault="00D06894" w:rsidP="003B0CA5">
            <w:pPr>
              <w:pStyle w:val="TBodynormalNumber"/>
              <w:keepNext/>
            </w:pPr>
          </w:p>
        </w:tc>
        <w:tc>
          <w:tcPr>
            <w:tcW w:w="119" w:type="dxa"/>
            <w:vAlign w:val="bottom"/>
          </w:tcPr>
          <w:p w14:paraId="0F4DA209" w14:textId="77777777" w:rsidR="00D06894" w:rsidRDefault="00D06894" w:rsidP="003B0CA5">
            <w:pPr>
              <w:pStyle w:val="TBodynormalNumber"/>
              <w:keepNext/>
            </w:pPr>
          </w:p>
        </w:tc>
        <w:tc>
          <w:tcPr>
            <w:tcW w:w="1021" w:type="dxa"/>
            <w:tcBorders>
              <w:top w:val="single" w:sz="4" w:space="0" w:color="000000"/>
              <w:bottom w:val="single" w:sz="4" w:space="0" w:color="A59C94"/>
            </w:tcBorders>
            <w:vAlign w:val="bottom"/>
          </w:tcPr>
          <w:p w14:paraId="304DE65F" w14:textId="77777777" w:rsidR="00D06894" w:rsidRDefault="00D06894" w:rsidP="003B0CA5">
            <w:pPr>
              <w:pStyle w:val="TBodynormalNumber"/>
              <w:keepNext/>
            </w:pPr>
            <w:r>
              <w:t>-300</w:t>
            </w:r>
          </w:p>
        </w:tc>
        <w:tc>
          <w:tcPr>
            <w:tcW w:w="119" w:type="dxa"/>
            <w:vAlign w:val="bottom"/>
          </w:tcPr>
          <w:p w14:paraId="378B9FB5" w14:textId="77777777" w:rsidR="00D06894" w:rsidRDefault="00D06894" w:rsidP="003B0CA5">
            <w:pPr>
              <w:pStyle w:val="TBodynormalNumber"/>
              <w:keepNext/>
            </w:pPr>
          </w:p>
        </w:tc>
        <w:tc>
          <w:tcPr>
            <w:tcW w:w="1021" w:type="dxa"/>
            <w:tcBorders>
              <w:top w:val="single" w:sz="4" w:space="0" w:color="000000"/>
              <w:bottom w:val="single" w:sz="4" w:space="0" w:color="A59C94"/>
            </w:tcBorders>
            <w:shd w:val="clear" w:color="000000" w:fill="DAD5C9"/>
            <w:vAlign w:val="bottom"/>
          </w:tcPr>
          <w:p w14:paraId="027AAA64" w14:textId="77777777" w:rsidR="00D06894" w:rsidRDefault="00D06894" w:rsidP="003B0CA5">
            <w:pPr>
              <w:pStyle w:val="TBodynormalNumber"/>
              <w:keepNext/>
            </w:pPr>
            <w:r>
              <w:t>-339</w:t>
            </w:r>
          </w:p>
        </w:tc>
        <w:tc>
          <w:tcPr>
            <w:tcW w:w="119" w:type="dxa"/>
            <w:vAlign w:val="bottom"/>
          </w:tcPr>
          <w:p w14:paraId="36E76451" w14:textId="77777777" w:rsidR="00D06894" w:rsidRDefault="00D06894" w:rsidP="003B0CA5">
            <w:pPr>
              <w:pStyle w:val="TBodynormalNumber"/>
              <w:keepNext/>
            </w:pPr>
          </w:p>
        </w:tc>
        <w:tc>
          <w:tcPr>
            <w:tcW w:w="1021" w:type="dxa"/>
            <w:tcBorders>
              <w:top w:val="single" w:sz="4" w:space="0" w:color="000000"/>
              <w:bottom w:val="single" w:sz="4" w:space="0" w:color="A59C94"/>
            </w:tcBorders>
            <w:vAlign w:val="bottom"/>
          </w:tcPr>
          <w:p w14:paraId="660054C9" w14:textId="77777777" w:rsidR="00D06894" w:rsidRDefault="00D06894" w:rsidP="003B0CA5">
            <w:pPr>
              <w:pStyle w:val="TBodynormalNumber"/>
              <w:keepNext/>
            </w:pPr>
          </w:p>
        </w:tc>
      </w:tr>
      <w:tr w:rsidR="00D06894" w14:paraId="18632D77" w14:textId="77777777" w:rsidTr="003B0CA5">
        <w:tc>
          <w:tcPr>
            <w:tcW w:w="2914" w:type="dxa"/>
            <w:tcBorders>
              <w:top w:val="single" w:sz="4" w:space="0" w:color="A59C94"/>
              <w:bottom w:val="single" w:sz="4" w:space="0" w:color="000000"/>
            </w:tcBorders>
            <w:vAlign w:val="bottom"/>
          </w:tcPr>
          <w:p w14:paraId="602F786C" w14:textId="382EE362" w:rsidR="00D06894" w:rsidRPr="00E90B6C" w:rsidRDefault="000527FC" w:rsidP="003B0CA5">
            <w:pPr>
              <w:pStyle w:val="TBodysubtotalText"/>
              <w:keepNext/>
              <w:rPr>
                <w:lang w:val="pt-BR"/>
              </w:rPr>
            </w:pPr>
            <w:r w:rsidRPr="00E90B6C">
              <w:rPr>
                <w:lang w:val="pt-BR"/>
              </w:rPr>
              <w:t>Resultado após imposto de renda, oper</w:t>
            </w:r>
            <w:r w:rsidR="00590B4B">
              <w:rPr>
                <w:lang w:val="pt-BR"/>
              </w:rPr>
              <w:t>a</w:t>
            </w:r>
            <w:r w:rsidRPr="00E90B6C">
              <w:rPr>
                <w:lang w:val="pt-BR"/>
              </w:rPr>
              <w:t>ções continuadas</w:t>
            </w:r>
          </w:p>
        </w:tc>
        <w:tc>
          <w:tcPr>
            <w:tcW w:w="119" w:type="dxa"/>
            <w:vAlign w:val="bottom"/>
          </w:tcPr>
          <w:p w14:paraId="182BA7E5" w14:textId="77777777" w:rsidR="00D06894" w:rsidRPr="0057432F" w:rsidRDefault="00D06894" w:rsidP="003B0CA5">
            <w:pPr>
              <w:pStyle w:val="TBodysubtotalNumber"/>
              <w:keepNext/>
              <w:rPr>
                <w:lang w:val="en-US"/>
              </w:rPr>
            </w:pPr>
          </w:p>
        </w:tc>
        <w:tc>
          <w:tcPr>
            <w:tcW w:w="1021" w:type="dxa"/>
            <w:tcBorders>
              <w:top w:val="single" w:sz="4" w:space="0" w:color="A59C94"/>
              <w:bottom w:val="single" w:sz="4" w:space="0" w:color="000000"/>
            </w:tcBorders>
            <w:vAlign w:val="bottom"/>
          </w:tcPr>
          <w:p w14:paraId="5DD4BBCE" w14:textId="77777777" w:rsidR="00D06894" w:rsidRDefault="00D06894" w:rsidP="003B0CA5">
            <w:pPr>
              <w:pStyle w:val="TBodysubtotalNumber"/>
              <w:keepNext/>
            </w:pPr>
            <w:r>
              <w:t>236</w:t>
            </w:r>
          </w:p>
        </w:tc>
        <w:tc>
          <w:tcPr>
            <w:tcW w:w="119" w:type="dxa"/>
            <w:vAlign w:val="bottom"/>
          </w:tcPr>
          <w:p w14:paraId="4535AFD8" w14:textId="77777777" w:rsidR="00D06894" w:rsidRDefault="00D06894" w:rsidP="003B0CA5">
            <w:pPr>
              <w:pStyle w:val="TBodysubtotalNumber"/>
              <w:keepNext/>
            </w:pPr>
          </w:p>
        </w:tc>
        <w:tc>
          <w:tcPr>
            <w:tcW w:w="1021" w:type="dxa"/>
            <w:tcBorders>
              <w:top w:val="single" w:sz="4" w:space="0" w:color="A59C94"/>
              <w:bottom w:val="single" w:sz="4" w:space="0" w:color="000000"/>
            </w:tcBorders>
            <w:shd w:val="clear" w:color="000000" w:fill="DAD5C9"/>
            <w:vAlign w:val="bottom"/>
          </w:tcPr>
          <w:p w14:paraId="37A7BB6C" w14:textId="77777777" w:rsidR="00D06894" w:rsidRDefault="00D06894" w:rsidP="003B0CA5">
            <w:pPr>
              <w:pStyle w:val="TBodysubtotalNumber"/>
              <w:keepNext/>
            </w:pPr>
            <w:r>
              <w:t>215</w:t>
            </w:r>
          </w:p>
        </w:tc>
        <w:tc>
          <w:tcPr>
            <w:tcW w:w="119" w:type="dxa"/>
            <w:vAlign w:val="bottom"/>
          </w:tcPr>
          <w:p w14:paraId="38CE02CA" w14:textId="77777777" w:rsidR="00D06894" w:rsidRDefault="00D06894" w:rsidP="003B0CA5">
            <w:pPr>
              <w:pStyle w:val="TBodysubtotalNumber"/>
              <w:keepNext/>
            </w:pPr>
          </w:p>
        </w:tc>
        <w:tc>
          <w:tcPr>
            <w:tcW w:w="1021" w:type="dxa"/>
            <w:tcBorders>
              <w:top w:val="single" w:sz="4" w:space="0" w:color="A59C94"/>
              <w:bottom w:val="single" w:sz="4" w:space="0" w:color="000000"/>
            </w:tcBorders>
            <w:vAlign w:val="bottom"/>
          </w:tcPr>
          <w:p w14:paraId="524DD014" w14:textId="77777777" w:rsidR="00D06894" w:rsidRDefault="00D06894" w:rsidP="003B0CA5">
            <w:pPr>
              <w:pStyle w:val="TBodysubtotalNumber"/>
              <w:keepNext/>
            </w:pPr>
            <w:r>
              <w:t>-9</w:t>
            </w:r>
          </w:p>
        </w:tc>
        <w:tc>
          <w:tcPr>
            <w:tcW w:w="119" w:type="dxa"/>
            <w:vAlign w:val="bottom"/>
          </w:tcPr>
          <w:p w14:paraId="0E348129" w14:textId="77777777" w:rsidR="00D06894" w:rsidRDefault="00D06894" w:rsidP="003B0CA5">
            <w:pPr>
              <w:pStyle w:val="TBodysubtotalNumber"/>
              <w:keepNext/>
            </w:pPr>
          </w:p>
        </w:tc>
        <w:tc>
          <w:tcPr>
            <w:tcW w:w="1021" w:type="dxa"/>
            <w:tcBorders>
              <w:top w:val="single" w:sz="4" w:space="0" w:color="A59C94"/>
              <w:bottom w:val="single" w:sz="4" w:space="0" w:color="000000"/>
            </w:tcBorders>
            <w:vAlign w:val="bottom"/>
          </w:tcPr>
          <w:p w14:paraId="0F4BB8F8" w14:textId="77777777" w:rsidR="00D06894" w:rsidRDefault="00D06894" w:rsidP="003B0CA5">
            <w:pPr>
              <w:pStyle w:val="TBodysubtotalNumber"/>
              <w:keepNext/>
            </w:pPr>
            <w:r>
              <w:t>662</w:t>
            </w:r>
          </w:p>
        </w:tc>
        <w:tc>
          <w:tcPr>
            <w:tcW w:w="119" w:type="dxa"/>
            <w:vAlign w:val="bottom"/>
          </w:tcPr>
          <w:p w14:paraId="6703C8F9" w14:textId="77777777" w:rsidR="00D06894" w:rsidRDefault="00D06894" w:rsidP="003B0CA5">
            <w:pPr>
              <w:pStyle w:val="TBodysubtotalNumber"/>
              <w:keepNext/>
            </w:pPr>
          </w:p>
        </w:tc>
        <w:tc>
          <w:tcPr>
            <w:tcW w:w="1021" w:type="dxa"/>
            <w:tcBorders>
              <w:top w:val="single" w:sz="4" w:space="0" w:color="A59C94"/>
              <w:bottom w:val="single" w:sz="4" w:space="0" w:color="000000"/>
            </w:tcBorders>
            <w:shd w:val="clear" w:color="000000" w:fill="DAD5C9"/>
            <w:vAlign w:val="bottom"/>
          </w:tcPr>
          <w:p w14:paraId="1741F238" w14:textId="77777777" w:rsidR="00D06894" w:rsidRDefault="00D06894" w:rsidP="003B0CA5">
            <w:pPr>
              <w:pStyle w:val="TBodysubtotalNumber"/>
              <w:keepNext/>
            </w:pPr>
            <w:r>
              <w:t>835</w:t>
            </w:r>
          </w:p>
        </w:tc>
        <w:tc>
          <w:tcPr>
            <w:tcW w:w="119" w:type="dxa"/>
            <w:vAlign w:val="bottom"/>
          </w:tcPr>
          <w:p w14:paraId="57F60830" w14:textId="77777777" w:rsidR="00D06894" w:rsidRDefault="00D06894" w:rsidP="003B0CA5">
            <w:pPr>
              <w:pStyle w:val="TBodysubtotalNumber"/>
              <w:keepNext/>
            </w:pPr>
          </w:p>
        </w:tc>
        <w:tc>
          <w:tcPr>
            <w:tcW w:w="1021" w:type="dxa"/>
            <w:tcBorders>
              <w:top w:val="single" w:sz="4" w:space="0" w:color="A59C94"/>
              <w:bottom w:val="single" w:sz="4" w:space="0" w:color="000000"/>
            </w:tcBorders>
            <w:vAlign w:val="bottom"/>
          </w:tcPr>
          <w:p w14:paraId="14A4FBF9" w14:textId="77777777" w:rsidR="00D06894" w:rsidRDefault="00D06894" w:rsidP="003B0CA5">
            <w:pPr>
              <w:pStyle w:val="TBodysubtotalNumber"/>
              <w:keepNext/>
            </w:pPr>
            <w:r>
              <w:t>26</w:t>
            </w:r>
          </w:p>
        </w:tc>
      </w:tr>
      <w:tr w:rsidR="00D06894" w14:paraId="2412D217" w14:textId="77777777" w:rsidTr="003B0CA5">
        <w:trPr>
          <w:trHeight w:val="340"/>
        </w:trPr>
        <w:tc>
          <w:tcPr>
            <w:tcW w:w="2914" w:type="dxa"/>
            <w:tcBorders>
              <w:top w:val="single" w:sz="4" w:space="0" w:color="000000"/>
              <w:bottom w:val="single" w:sz="4" w:space="0" w:color="A59C94"/>
            </w:tcBorders>
            <w:vAlign w:val="bottom"/>
          </w:tcPr>
          <w:p w14:paraId="2FD3F5F0" w14:textId="65EA268D" w:rsidR="00D06894" w:rsidRPr="00E90B6C" w:rsidRDefault="000527FC" w:rsidP="003B0CA5">
            <w:pPr>
              <w:pStyle w:val="TBodynormalText"/>
              <w:rPr>
                <w:lang w:val="pt-BR"/>
              </w:rPr>
            </w:pPr>
            <w:r w:rsidRPr="00E90B6C">
              <w:rPr>
                <w:lang w:val="pt-BR"/>
              </w:rPr>
              <w:t xml:space="preserve">Resultado após impostos, </w:t>
            </w:r>
            <w:r w:rsidR="00E90B6C" w:rsidRPr="00E90B6C">
              <w:rPr>
                <w:lang w:val="pt-BR"/>
              </w:rPr>
              <w:t>operações descontinuadas</w:t>
            </w:r>
          </w:p>
        </w:tc>
        <w:tc>
          <w:tcPr>
            <w:tcW w:w="119" w:type="dxa"/>
            <w:vAlign w:val="bottom"/>
          </w:tcPr>
          <w:p w14:paraId="718ECB81" w14:textId="77777777" w:rsidR="00D06894" w:rsidRPr="0057432F" w:rsidRDefault="00D06894" w:rsidP="003B0CA5">
            <w:pPr>
              <w:pStyle w:val="TBodynormalNumber"/>
              <w:keepNext/>
              <w:rPr>
                <w:lang w:val="en-US"/>
              </w:rPr>
            </w:pPr>
          </w:p>
        </w:tc>
        <w:tc>
          <w:tcPr>
            <w:tcW w:w="1021" w:type="dxa"/>
            <w:tcBorders>
              <w:top w:val="single" w:sz="4" w:space="0" w:color="000000"/>
              <w:bottom w:val="single" w:sz="4" w:space="0" w:color="A59C94"/>
            </w:tcBorders>
            <w:vAlign w:val="bottom"/>
          </w:tcPr>
          <w:p w14:paraId="0E221378" w14:textId="77777777" w:rsidR="00D06894" w:rsidRDefault="00D06894" w:rsidP="003B0CA5">
            <w:pPr>
              <w:pStyle w:val="TBodynormalNumber"/>
              <w:keepNext/>
            </w:pPr>
            <w:r>
              <w:t>4</w:t>
            </w:r>
          </w:p>
        </w:tc>
        <w:tc>
          <w:tcPr>
            <w:tcW w:w="119" w:type="dxa"/>
            <w:vAlign w:val="bottom"/>
          </w:tcPr>
          <w:p w14:paraId="4C51A2F5" w14:textId="77777777" w:rsidR="00D06894" w:rsidRDefault="00D06894" w:rsidP="003B0CA5">
            <w:pPr>
              <w:pStyle w:val="TBodynormalNumber"/>
              <w:keepNext/>
            </w:pPr>
          </w:p>
        </w:tc>
        <w:tc>
          <w:tcPr>
            <w:tcW w:w="1021" w:type="dxa"/>
            <w:tcBorders>
              <w:top w:val="single" w:sz="4" w:space="0" w:color="000000"/>
              <w:bottom w:val="single" w:sz="4" w:space="0" w:color="A59C94"/>
            </w:tcBorders>
            <w:shd w:val="clear" w:color="000000" w:fill="DAD5C9"/>
            <w:vAlign w:val="bottom"/>
          </w:tcPr>
          <w:p w14:paraId="72E56BF7" w14:textId="77777777" w:rsidR="00D06894" w:rsidRDefault="00D06894" w:rsidP="003B0CA5">
            <w:pPr>
              <w:pStyle w:val="TBodynormalNumber"/>
              <w:keepNext/>
            </w:pPr>
            <w:r>
              <w:t>–</w:t>
            </w:r>
          </w:p>
        </w:tc>
        <w:tc>
          <w:tcPr>
            <w:tcW w:w="119" w:type="dxa"/>
            <w:vAlign w:val="bottom"/>
          </w:tcPr>
          <w:p w14:paraId="666BD033" w14:textId="77777777" w:rsidR="00D06894" w:rsidRDefault="00D06894" w:rsidP="003B0CA5">
            <w:pPr>
              <w:pStyle w:val="TBodynormalNumber"/>
              <w:keepNext/>
            </w:pPr>
          </w:p>
        </w:tc>
        <w:tc>
          <w:tcPr>
            <w:tcW w:w="1021" w:type="dxa"/>
            <w:tcBorders>
              <w:top w:val="single" w:sz="4" w:space="0" w:color="000000"/>
              <w:bottom w:val="single" w:sz="4" w:space="0" w:color="A59C94"/>
            </w:tcBorders>
            <w:vAlign w:val="bottom"/>
          </w:tcPr>
          <w:p w14:paraId="511F1CE7" w14:textId="77777777" w:rsidR="00D06894" w:rsidRDefault="00D06894" w:rsidP="003B0CA5">
            <w:pPr>
              <w:pStyle w:val="TBodynormalNumber"/>
              <w:keepNext/>
            </w:pPr>
          </w:p>
        </w:tc>
        <w:tc>
          <w:tcPr>
            <w:tcW w:w="119" w:type="dxa"/>
            <w:vAlign w:val="bottom"/>
          </w:tcPr>
          <w:p w14:paraId="31A4A4BB" w14:textId="77777777" w:rsidR="00D06894" w:rsidRDefault="00D06894" w:rsidP="003B0CA5">
            <w:pPr>
              <w:pStyle w:val="TBodynormalNumber"/>
              <w:keepNext/>
            </w:pPr>
          </w:p>
        </w:tc>
        <w:tc>
          <w:tcPr>
            <w:tcW w:w="1021" w:type="dxa"/>
            <w:tcBorders>
              <w:top w:val="single" w:sz="4" w:space="0" w:color="000000"/>
              <w:bottom w:val="single" w:sz="4" w:space="0" w:color="A59C94"/>
            </w:tcBorders>
            <w:vAlign w:val="bottom"/>
          </w:tcPr>
          <w:p w14:paraId="14507978" w14:textId="77777777" w:rsidR="00D06894" w:rsidRDefault="00D06894" w:rsidP="003B0CA5">
            <w:pPr>
              <w:pStyle w:val="TBodynormalNumber"/>
              <w:keepNext/>
            </w:pPr>
            <w:r>
              <w:t>-6</w:t>
            </w:r>
          </w:p>
        </w:tc>
        <w:tc>
          <w:tcPr>
            <w:tcW w:w="119" w:type="dxa"/>
            <w:vAlign w:val="bottom"/>
          </w:tcPr>
          <w:p w14:paraId="6E50BAC5" w14:textId="77777777" w:rsidR="00D06894" w:rsidRDefault="00D06894" w:rsidP="003B0CA5">
            <w:pPr>
              <w:pStyle w:val="TBodynormalNumber"/>
              <w:keepNext/>
            </w:pPr>
          </w:p>
        </w:tc>
        <w:tc>
          <w:tcPr>
            <w:tcW w:w="1021" w:type="dxa"/>
            <w:tcBorders>
              <w:top w:val="single" w:sz="4" w:space="0" w:color="000000"/>
              <w:bottom w:val="single" w:sz="4" w:space="0" w:color="A59C94"/>
            </w:tcBorders>
            <w:shd w:val="clear" w:color="000000" w:fill="DAD5C9"/>
            <w:vAlign w:val="bottom"/>
          </w:tcPr>
          <w:p w14:paraId="2A1A1107" w14:textId="77777777" w:rsidR="00D06894" w:rsidRDefault="00D06894" w:rsidP="003B0CA5">
            <w:pPr>
              <w:pStyle w:val="TBodynormalNumber"/>
              <w:keepNext/>
            </w:pPr>
            <w:r>
              <w:t>–</w:t>
            </w:r>
          </w:p>
        </w:tc>
        <w:tc>
          <w:tcPr>
            <w:tcW w:w="119" w:type="dxa"/>
            <w:vAlign w:val="bottom"/>
          </w:tcPr>
          <w:p w14:paraId="450BFDF4" w14:textId="77777777" w:rsidR="00D06894" w:rsidRDefault="00D06894" w:rsidP="003B0CA5">
            <w:pPr>
              <w:pStyle w:val="TBodynormalNumber"/>
              <w:keepNext/>
            </w:pPr>
          </w:p>
        </w:tc>
        <w:tc>
          <w:tcPr>
            <w:tcW w:w="1021" w:type="dxa"/>
            <w:tcBorders>
              <w:top w:val="single" w:sz="4" w:space="0" w:color="000000"/>
              <w:bottom w:val="single" w:sz="4" w:space="0" w:color="A59C94"/>
            </w:tcBorders>
            <w:vAlign w:val="bottom"/>
          </w:tcPr>
          <w:p w14:paraId="781A4D42" w14:textId="77777777" w:rsidR="00D06894" w:rsidRDefault="00D06894" w:rsidP="003B0CA5">
            <w:pPr>
              <w:pStyle w:val="TBodynormalNumber"/>
              <w:keepNext/>
            </w:pPr>
          </w:p>
        </w:tc>
      </w:tr>
      <w:tr w:rsidR="00D06894" w14:paraId="09CE96B4" w14:textId="77777777" w:rsidTr="003B0CA5">
        <w:tc>
          <w:tcPr>
            <w:tcW w:w="2914" w:type="dxa"/>
            <w:tcBorders>
              <w:top w:val="single" w:sz="4" w:space="0" w:color="A59C94"/>
              <w:bottom w:val="single" w:sz="4" w:space="0" w:color="000000"/>
            </w:tcBorders>
            <w:vAlign w:val="bottom"/>
          </w:tcPr>
          <w:p w14:paraId="0112929A" w14:textId="2FA55B3C" w:rsidR="00D06894" w:rsidRPr="00E90B6C" w:rsidRDefault="00E90B6C" w:rsidP="003B0CA5">
            <w:pPr>
              <w:pStyle w:val="TBodysubtotalText"/>
              <w:keepNext/>
              <w:rPr>
                <w:lang w:val="pt-BR"/>
              </w:rPr>
            </w:pPr>
            <w:r w:rsidRPr="00E90B6C">
              <w:rPr>
                <w:lang w:val="pt-BR"/>
              </w:rPr>
              <w:t>Resultado após impostos</w:t>
            </w:r>
          </w:p>
        </w:tc>
        <w:tc>
          <w:tcPr>
            <w:tcW w:w="119" w:type="dxa"/>
            <w:vAlign w:val="bottom"/>
          </w:tcPr>
          <w:p w14:paraId="408ED40B" w14:textId="77777777" w:rsidR="00D06894" w:rsidRDefault="00D06894" w:rsidP="003B0CA5">
            <w:pPr>
              <w:pStyle w:val="TBodysubtotalNumber"/>
              <w:keepNext/>
            </w:pPr>
          </w:p>
        </w:tc>
        <w:tc>
          <w:tcPr>
            <w:tcW w:w="1021" w:type="dxa"/>
            <w:tcBorders>
              <w:top w:val="single" w:sz="4" w:space="0" w:color="A59C94"/>
              <w:bottom w:val="single" w:sz="4" w:space="0" w:color="000000"/>
            </w:tcBorders>
            <w:vAlign w:val="bottom"/>
          </w:tcPr>
          <w:p w14:paraId="42698962" w14:textId="77777777" w:rsidR="00D06894" w:rsidRDefault="00D06894" w:rsidP="003B0CA5">
            <w:pPr>
              <w:pStyle w:val="TBodysubtotalNumber"/>
              <w:keepNext/>
            </w:pPr>
            <w:r>
              <w:t>240</w:t>
            </w:r>
          </w:p>
        </w:tc>
        <w:tc>
          <w:tcPr>
            <w:tcW w:w="119" w:type="dxa"/>
            <w:vAlign w:val="bottom"/>
          </w:tcPr>
          <w:p w14:paraId="65C83C4E" w14:textId="77777777" w:rsidR="00D06894" w:rsidRDefault="00D06894" w:rsidP="003B0CA5">
            <w:pPr>
              <w:pStyle w:val="TBodysubtotalNumber"/>
              <w:keepNext/>
            </w:pPr>
          </w:p>
        </w:tc>
        <w:tc>
          <w:tcPr>
            <w:tcW w:w="1021" w:type="dxa"/>
            <w:tcBorders>
              <w:top w:val="single" w:sz="4" w:space="0" w:color="A59C94"/>
              <w:bottom w:val="single" w:sz="4" w:space="0" w:color="000000"/>
            </w:tcBorders>
            <w:shd w:val="clear" w:color="000000" w:fill="DAD5C9"/>
            <w:vAlign w:val="bottom"/>
          </w:tcPr>
          <w:p w14:paraId="4DBE7605" w14:textId="77777777" w:rsidR="00D06894" w:rsidRDefault="00D06894" w:rsidP="003B0CA5">
            <w:pPr>
              <w:pStyle w:val="TBodysubtotalNumber"/>
              <w:keepNext/>
            </w:pPr>
            <w:r>
              <w:t>215</w:t>
            </w:r>
          </w:p>
        </w:tc>
        <w:tc>
          <w:tcPr>
            <w:tcW w:w="119" w:type="dxa"/>
            <w:vAlign w:val="bottom"/>
          </w:tcPr>
          <w:p w14:paraId="1EC2770F" w14:textId="77777777" w:rsidR="00D06894" w:rsidRDefault="00D06894" w:rsidP="003B0CA5">
            <w:pPr>
              <w:pStyle w:val="TBodysubtotalNumber"/>
              <w:keepNext/>
            </w:pPr>
          </w:p>
        </w:tc>
        <w:tc>
          <w:tcPr>
            <w:tcW w:w="1021" w:type="dxa"/>
            <w:tcBorders>
              <w:top w:val="single" w:sz="4" w:space="0" w:color="A59C94"/>
              <w:bottom w:val="single" w:sz="4" w:space="0" w:color="000000"/>
            </w:tcBorders>
            <w:vAlign w:val="bottom"/>
          </w:tcPr>
          <w:p w14:paraId="255E3ABD" w14:textId="77777777" w:rsidR="00D06894" w:rsidRDefault="00D06894" w:rsidP="003B0CA5">
            <w:pPr>
              <w:pStyle w:val="TBodysubtotalNumber"/>
              <w:keepNext/>
            </w:pPr>
            <w:r>
              <w:t>-10</w:t>
            </w:r>
          </w:p>
        </w:tc>
        <w:tc>
          <w:tcPr>
            <w:tcW w:w="119" w:type="dxa"/>
            <w:vAlign w:val="bottom"/>
          </w:tcPr>
          <w:p w14:paraId="2B0038A8" w14:textId="77777777" w:rsidR="00D06894" w:rsidRDefault="00D06894" w:rsidP="003B0CA5">
            <w:pPr>
              <w:pStyle w:val="TBodysubtotalNumber"/>
              <w:keepNext/>
            </w:pPr>
          </w:p>
        </w:tc>
        <w:tc>
          <w:tcPr>
            <w:tcW w:w="1021" w:type="dxa"/>
            <w:tcBorders>
              <w:top w:val="single" w:sz="4" w:space="0" w:color="A59C94"/>
              <w:bottom w:val="single" w:sz="4" w:space="0" w:color="000000"/>
            </w:tcBorders>
            <w:vAlign w:val="bottom"/>
          </w:tcPr>
          <w:p w14:paraId="428A5042" w14:textId="77777777" w:rsidR="00D06894" w:rsidRDefault="00D06894" w:rsidP="003B0CA5">
            <w:pPr>
              <w:pStyle w:val="TBodysubtotalNumber"/>
              <w:keepNext/>
            </w:pPr>
            <w:r>
              <w:t>656</w:t>
            </w:r>
          </w:p>
        </w:tc>
        <w:tc>
          <w:tcPr>
            <w:tcW w:w="119" w:type="dxa"/>
            <w:vAlign w:val="bottom"/>
          </w:tcPr>
          <w:p w14:paraId="4F35DBE7" w14:textId="77777777" w:rsidR="00D06894" w:rsidRDefault="00D06894" w:rsidP="003B0CA5">
            <w:pPr>
              <w:pStyle w:val="TBodysubtotalNumber"/>
              <w:keepNext/>
            </w:pPr>
          </w:p>
        </w:tc>
        <w:tc>
          <w:tcPr>
            <w:tcW w:w="1021" w:type="dxa"/>
            <w:tcBorders>
              <w:top w:val="single" w:sz="4" w:space="0" w:color="A59C94"/>
              <w:bottom w:val="single" w:sz="4" w:space="0" w:color="000000"/>
            </w:tcBorders>
            <w:shd w:val="clear" w:color="000000" w:fill="DAD5C9"/>
            <w:vAlign w:val="bottom"/>
          </w:tcPr>
          <w:p w14:paraId="60420448" w14:textId="77777777" w:rsidR="00D06894" w:rsidRDefault="00D06894" w:rsidP="003B0CA5">
            <w:pPr>
              <w:pStyle w:val="TBodysubtotalNumber"/>
              <w:keepNext/>
            </w:pPr>
            <w:r>
              <w:t>835</w:t>
            </w:r>
          </w:p>
        </w:tc>
        <w:tc>
          <w:tcPr>
            <w:tcW w:w="119" w:type="dxa"/>
            <w:vAlign w:val="bottom"/>
          </w:tcPr>
          <w:p w14:paraId="5FAB366A" w14:textId="77777777" w:rsidR="00D06894" w:rsidRDefault="00D06894" w:rsidP="003B0CA5">
            <w:pPr>
              <w:pStyle w:val="TBodysubtotalNumber"/>
              <w:keepNext/>
            </w:pPr>
          </w:p>
        </w:tc>
        <w:tc>
          <w:tcPr>
            <w:tcW w:w="1021" w:type="dxa"/>
            <w:tcBorders>
              <w:top w:val="single" w:sz="4" w:space="0" w:color="A59C94"/>
              <w:bottom w:val="single" w:sz="4" w:space="0" w:color="000000"/>
            </w:tcBorders>
            <w:vAlign w:val="bottom"/>
          </w:tcPr>
          <w:p w14:paraId="46536ECD" w14:textId="77777777" w:rsidR="00D06894" w:rsidRDefault="00D06894" w:rsidP="003B0CA5">
            <w:pPr>
              <w:pStyle w:val="TBodysubtotalNumber"/>
              <w:keepNext/>
            </w:pPr>
            <w:r>
              <w:t>27</w:t>
            </w:r>
          </w:p>
        </w:tc>
      </w:tr>
      <w:tr w:rsidR="00D06894" w14:paraId="76621164" w14:textId="77777777" w:rsidTr="003B0CA5">
        <w:trPr>
          <w:trHeight w:val="340"/>
        </w:trPr>
        <w:tc>
          <w:tcPr>
            <w:tcW w:w="2914" w:type="dxa"/>
            <w:tcBorders>
              <w:top w:val="single" w:sz="4" w:space="0" w:color="000000"/>
              <w:bottom w:val="single" w:sz="4" w:space="0" w:color="A59C94"/>
            </w:tcBorders>
            <w:vAlign w:val="bottom"/>
          </w:tcPr>
          <w:p w14:paraId="55781DE7" w14:textId="1D453837" w:rsidR="00D06894" w:rsidRPr="00E90B6C" w:rsidRDefault="00E90B6C" w:rsidP="003B0CA5">
            <w:pPr>
              <w:pStyle w:val="TBodynormalText"/>
              <w:rPr>
                <w:lang w:val="pt-BR"/>
              </w:rPr>
            </w:pPr>
            <w:r w:rsidRPr="00E90B6C">
              <w:rPr>
                <w:lang w:val="pt-BR"/>
              </w:rPr>
              <w:t>disso atribuído a interesses minoritários</w:t>
            </w:r>
            <w:r w:rsidR="00D06894" w:rsidRPr="00E90B6C">
              <w:rPr>
                <w:lang w:val="pt-BR"/>
              </w:rPr>
              <w:t xml:space="preserve"> </w:t>
            </w:r>
          </w:p>
        </w:tc>
        <w:tc>
          <w:tcPr>
            <w:tcW w:w="119" w:type="dxa"/>
            <w:vAlign w:val="bottom"/>
          </w:tcPr>
          <w:p w14:paraId="7C200EB1" w14:textId="77777777" w:rsidR="00D06894" w:rsidRPr="0057432F" w:rsidRDefault="00D06894" w:rsidP="003B0CA5">
            <w:pPr>
              <w:pStyle w:val="TBodynormalNumber"/>
              <w:keepNext/>
              <w:rPr>
                <w:lang w:val="en-US"/>
              </w:rPr>
            </w:pPr>
          </w:p>
        </w:tc>
        <w:tc>
          <w:tcPr>
            <w:tcW w:w="1021" w:type="dxa"/>
            <w:tcBorders>
              <w:top w:val="single" w:sz="4" w:space="0" w:color="000000"/>
              <w:bottom w:val="single" w:sz="4" w:space="0" w:color="A59C94"/>
            </w:tcBorders>
            <w:vAlign w:val="bottom"/>
          </w:tcPr>
          <w:p w14:paraId="74E08C17" w14:textId="77777777" w:rsidR="00D06894" w:rsidRDefault="00D06894" w:rsidP="003B0CA5">
            <w:pPr>
              <w:pStyle w:val="TBodynormalNumber"/>
              <w:keepNext/>
            </w:pPr>
            <w:r>
              <w:t>5</w:t>
            </w:r>
          </w:p>
        </w:tc>
        <w:tc>
          <w:tcPr>
            <w:tcW w:w="119" w:type="dxa"/>
            <w:vAlign w:val="bottom"/>
          </w:tcPr>
          <w:p w14:paraId="656B4EDB" w14:textId="77777777" w:rsidR="00D06894" w:rsidRDefault="00D06894" w:rsidP="003B0CA5">
            <w:pPr>
              <w:pStyle w:val="TBodynormalNumber"/>
              <w:keepNext/>
            </w:pPr>
          </w:p>
        </w:tc>
        <w:tc>
          <w:tcPr>
            <w:tcW w:w="1021" w:type="dxa"/>
            <w:tcBorders>
              <w:top w:val="single" w:sz="4" w:space="0" w:color="000000"/>
              <w:bottom w:val="single" w:sz="4" w:space="0" w:color="A59C94"/>
            </w:tcBorders>
            <w:shd w:val="clear" w:color="000000" w:fill="DAD5C9"/>
            <w:vAlign w:val="bottom"/>
          </w:tcPr>
          <w:p w14:paraId="60BD152D" w14:textId="77777777" w:rsidR="00D06894" w:rsidRDefault="00D06894" w:rsidP="003B0CA5">
            <w:pPr>
              <w:pStyle w:val="TBodynormalNumber"/>
              <w:keepNext/>
            </w:pPr>
            <w:r>
              <w:t>1</w:t>
            </w:r>
          </w:p>
        </w:tc>
        <w:tc>
          <w:tcPr>
            <w:tcW w:w="119" w:type="dxa"/>
            <w:vAlign w:val="bottom"/>
          </w:tcPr>
          <w:p w14:paraId="50E25595" w14:textId="77777777" w:rsidR="00D06894" w:rsidRDefault="00D06894" w:rsidP="003B0CA5">
            <w:pPr>
              <w:pStyle w:val="TBodynormalNumber"/>
              <w:keepNext/>
            </w:pPr>
          </w:p>
        </w:tc>
        <w:tc>
          <w:tcPr>
            <w:tcW w:w="1021" w:type="dxa"/>
            <w:tcBorders>
              <w:top w:val="single" w:sz="4" w:space="0" w:color="000000"/>
              <w:bottom w:val="single" w:sz="4" w:space="0" w:color="A59C94"/>
            </w:tcBorders>
            <w:vAlign w:val="bottom"/>
          </w:tcPr>
          <w:p w14:paraId="15FA2719" w14:textId="77777777" w:rsidR="00D06894" w:rsidRDefault="00D06894" w:rsidP="003B0CA5">
            <w:pPr>
              <w:pStyle w:val="TBodynormalNumber"/>
              <w:keepNext/>
            </w:pPr>
          </w:p>
        </w:tc>
        <w:tc>
          <w:tcPr>
            <w:tcW w:w="119" w:type="dxa"/>
            <w:vAlign w:val="bottom"/>
          </w:tcPr>
          <w:p w14:paraId="38BAA820" w14:textId="77777777" w:rsidR="00D06894" w:rsidRDefault="00D06894" w:rsidP="003B0CA5">
            <w:pPr>
              <w:pStyle w:val="TBodynormalNumber"/>
              <w:keepNext/>
            </w:pPr>
          </w:p>
        </w:tc>
        <w:tc>
          <w:tcPr>
            <w:tcW w:w="1021" w:type="dxa"/>
            <w:tcBorders>
              <w:top w:val="single" w:sz="4" w:space="0" w:color="000000"/>
              <w:bottom w:val="single" w:sz="4" w:space="0" w:color="A59C94"/>
            </w:tcBorders>
            <w:vAlign w:val="bottom"/>
          </w:tcPr>
          <w:p w14:paraId="6BD09662" w14:textId="77777777" w:rsidR="00D06894" w:rsidRDefault="00D06894" w:rsidP="003B0CA5">
            <w:pPr>
              <w:pStyle w:val="TBodynormalNumber"/>
              <w:keepNext/>
            </w:pPr>
            <w:r>
              <w:t>16</w:t>
            </w:r>
          </w:p>
        </w:tc>
        <w:tc>
          <w:tcPr>
            <w:tcW w:w="119" w:type="dxa"/>
            <w:vAlign w:val="bottom"/>
          </w:tcPr>
          <w:p w14:paraId="3C2627BC" w14:textId="77777777" w:rsidR="00D06894" w:rsidRDefault="00D06894" w:rsidP="003B0CA5">
            <w:pPr>
              <w:pStyle w:val="TBodynormalNumber"/>
              <w:keepNext/>
            </w:pPr>
          </w:p>
        </w:tc>
        <w:tc>
          <w:tcPr>
            <w:tcW w:w="1021" w:type="dxa"/>
            <w:tcBorders>
              <w:top w:val="single" w:sz="4" w:space="0" w:color="000000"/>
              <w:bottom w:val="single" w:sz="4" w:space="0" w:color="A59C94"/>
            </w:tcBorders>
            <w:shd w:val="clear" w:color="000000" w:fill="DAD5C9"/>
            <w:vAlign w:val="bottom"/>
          </w:tcPr>
          <w:p w14:paraId="1ECF3423" w14:textId="77777777" w:rsidR="00D06894" w:rsidRDefault="00D06894" w:rsidP="003B0CA5">
            <w:pPr>
              <w:pStyle w:val="TBodynormalNumber"/>
              <w:keepNext/>
            </w:pPr>
            <w:r>
              <w:t>11</w:t>
            </w:r>
          </w:p>
        </w:tc>
        <w:tc>
          <w:tcPr>
            <w:tcW w:w="119" w:type="dxa"/>
            <w:vAlign w:val="bottom"/>
          </w:tcPr>
          <w:p w14:paraId="0E0FD838" w14:textId="77777777" w:rsidR="00D06894" w:rsidRDefault="00D06894" w:rsidP="003B0CA5">
            <w:pPr>
              <w:pStyle w:val="TBodynormalNumber"/>
              <w:keepNext/>
            </w:pPr>
          </w:p>
        </w:tc>
        <w:tc>
          <w:tcPr>
            <w:tcW w:w="1021" w:type="dxa"/>
            <w:tcBorders>
              <w:top w:val="single" w:sz="4" w:space="0" w:color="000000"/>
              <w:bottom w:val="single" w:sz="4" w:space="0" w:color="A59C94"/>
            </w:tcBorders>
            <w:vAlign w:val="bottom"/>
          </w:tcPr>
          <w:p w14:paraId="10E683FC" w14:textId="77777777" w:rsidR="00D06894" w:rsidRDefault="00D06894" w:rsidP="003B0CA5">
            <w:pPr>
              <w:pStyle w:val="TBodynormalNumber"/>
              <w:keepNext/>
            </w:pPr>
          </w:p>
        </w:tc>
      </w:tr>
      <w:tr w:rsidR="00D06894" w14:paraId="02654292" w14:textId="77777777" w:rsidTr="003B0CA5">
        <w:tc>
          <w:tcPr>
            <w:tcW w:w="2914" w:type="dxa"/>
            <w:tcBorders>
              <w:top w:val="single" w:sz="4" w:space="0" w:color="A59C94"/>
              <w:bottom w:val="single" w:sz="4" w:space="0" w:color="000000"/>
            </w:tcBorders>
            <w:vAlign w:val="bottom"/>
          </w:tcPr>
          <w:p w14:paraId="2B422809" w14:textId="42493F5D" w:rsidR="00D06894" w:rsidRPr="00E90B6C" w:rsidRDefault="00E90B6C" w:rsidP="003B0CA5">
            <w:pPr>
              <w:pStyle w:val="TBodysubtotalText"/>
              <w:keepNext/>
              <w:rPr>
                <w:lang w:val="pt-BR"/>
              </w:rPr>
            </w:pPr>
            <w:r w:rsidRPr="00E90B6C">
              <w:rPr>
                <w:lang w:val="pt-BR"/>
              </w:rPr>
              <w:t>Resultado líquido</w:t>
            </w:r>
          </w:p>
        </w:tc>
        <w:tc>
          <w:tcPr>
            <w:tcW w:w="119" w:type="dxa"/>
            <w:vAlign w:val="bottom"/>
          </w:tcPr>
          <w:p w14:paraId="24069ABE" w14:textId="77777777" w:rsidR="00D06894" w:rsidRDefault="00D06894" w:rsidP="003B0CA5">
            <w:pPr>
              <w:pStyle w:val="TBodysubtotalNumber"/>
              <w:keepNext/>
            </w:pPr>
          </w:p>
        </w:tc>
        <w:tc>
          <w:tcPr>
            <w:tcW w:w="1021" w:type="dxa"/>
            <w:tcBorders>
              <w:top w:val="single" w:sz="4" w:space="0" w:color="A59C94"/>
              <w:bottom w:val="single" w:sz="4" w:space="0" w:color="000000"/>
            </w:tcBorders>
            <w:vAlign w:val="bottom"/>
          </w:tcPr>
          <w:p w14:paraId="2C6B2AB7" w14:textId="77777777" w:rsidR="00D06894" w:rsidRDefault="00D06894" w:rsidP="003B0CA5">
            <w:pPr>
              <w:pStyle w:val="TBodysubtotalNumber"/>
              <w:keepNext/>
            </w:pPr>
            <w:r>
              <w:t>235</w:t>
            </w:r>
          </w:p>
        </w:tc>
        <w:tc>
          <w:tcPr>
            <w:tcW w:w="119" w:type="dxa"/>
            <w:vAlign w:val="bottom"/>
          </w:tcPr>
          <w:p w14:paraId="26527118" w14:textId="77777777" w:rsidR="00D06894" w:rsidRDefault="00D06894" w:rsidP="003B0CA5">
            <w:pPr>
              <w:pStyle w:val="TBodysubtotalNumber"/>
              <w:keepNext/>
            </w:pPr>
          </w:p>
        </w:tc>
        <w:tc>
          <w:tcPr>
            <w:tcW w:w="1021" w:type="dxa"/>
            <w:tcBorders>
              <w:top w:val="single" w:sz="4" w:space="0" w:color="A59C94"/>
              <w:bottom w:val="single" w:sz="4" w:space="0" w:color="000000"/>
            </w:tcBorders>
            <w:shd w:val="clear" w:color="000000" w:fill="DAD5C9"/>
            <w:vAlign w:val="bottom"/>
          </w:tcPr>
          <w:p w14:paraId="43C96B8D" w14:textId="77777777" w:rsidR="00D06894" w:rsidRDefault="00D06894" w:rsidP="003B0CA5">
            <w:pPr>
              <w:pStyle w:val="TBodysubtotalNumber"/>
              <w:keepNext/>
            </w:pPr>
            <w:r>
              <w:t>214</w:t>
            </w:r>
          </w:p>
        </w:tc>
        <w:tc>
          <w:tcPr>
            <w:tcW w:w="119" w:type="dxa"/>
            <w:vAlign w:val="bottom"/>
          </w:tcPr>
          <w:p w14:paraId="212FE527" w14:textId="77777777" w:rsidR="00D06894" w:rsidRDefault="00D06894" w:rsidP="003B0CA5">
            <w:pPr>
              <w:pStyle w:val="TBodysubtotalNumber"/>
              <w:keepNext/>
            </w:pPr>
          </w:p>
        </w:tc>
        <w:tc>
          <w:tcPr>
            <w:tcW w:w="1021" w:type="dxa"/>
            <w:tcBorders>
              <w:top w:val="single" w:sz="4" w:space="0" w:color="A59C94"/>
              <w:bottom w:val="single" w:sz="4" w:space="0" w:color="000000"/>
            </w:tcBorders>
            <w:vAlign w:val="bottom"/>
          </w:tcPr>
          <w:p w14:paraId="4576D658" w14:textId="77777777" w:rsidR="00D06894" w:rsidRDefault="00D06894" w:rsidP="003B0CA5">
            <w:pPr>
              <w:pStyle w:val="TBodysubtotalNumber"/>
              <w:keepNext/>
            </w:pPr>
            <w:r>
              <w:t>-9</w:t>
            </w:r>
          </w:p>
        </w:tc>
        <w:tc>
          <w:tcPr>
            <w:tcW w:w="119" w:type="dxa"/>
            <w:vAlign w:val="bottom"/>
          </w:tcPr>
          <w:p w14:paraId="7B09CB40" w14:textId="77777777" w:rsidR="00D06894" w:rsidRDefault="00D06894" w:rsidP="003B0CA5">
            <w:pPr>
              <w:pStyle w:val="TBodysubtotalNumber"/>
              <w:keepNext/>
            </w:pPr>
          </w:p>
        </w:tc>
        <w:tc>
          <w:tcPr>
            <w:tcW w:w="1021" w:type="dxa"/>
            <w:tcBorders>
              <w:top w:val="single" w:sz="4" w:space="0" w:color="A59C94"/>
              <w:bottom w:val="single" w:sz="4" w:space="0" w:color="000000"/>
            </w:tcBorders>
            <w:vAlign w:val="bottom"/>
          </w:tcPr>
          <w:p w14:paraId="41C75BEC" w14:textId="77777777" w:rsidR="00D06894" w:rsidRDefault="00D06894" w:rsidP="003B0CA5">
            <w:pPr>
              <w:pStyle w:val="TBodysubtotalNumber"/>
              <w:keepNext/>
            </w:pPr>
            <w:r>
              <w:t>640</w:t>
            </w:r>
          </w:p>
        </w:tc>
        <w:tc>
          <w:tcPr>
            <w:tcW w:w="119" w:type="dxa"/>
            <w:vAlign w:val="bottom"/>
          </w:tcPr>
          <w:p w14:paraId="181E4860" w14:textId="77777777" w:rsidR="00D06894" w:rsidRDefault="00D06894" w:rsidP="003B0CA5">
            <w:pPr>
              <w:pStyle w:val="TBodysubtotalNumber"/>
              <w:keepNext/>
            </w:pPr>
          </w:p>
        </w:tc>
        <w:tc>
          <w:tcPr>
            <w:tcW w:w="1021" w:type="dxa"/>
            <w:tcBorders>
              <w:top w:val="single" w:sz="4" w:space="0" w:color="A59C94"/>
              <w:bottom w:val="single" w:sz="4" w:space="0" w:color="000000"/>
            </w:tcBorders>
            <w:shd w:val="clear" w:color="000000" w:fill="DAD5C9"/>
            <w:vAlign w:val="bottom"/>
          </w:tcPr>
          <w:p w14:paraId="5CCB43F8" w14:textId="77777777" w:rsidR="00D06894" w:rsidRDefault="00D06894" w:rsidP="003B0CA5">
            <w:pPr>
              <w:pStyle w:val="TBodysubtotalNumber"/>
              <w:keepNext/>
            </w:pPr>
            <w:r>
              <w:t>824</w:t>
            </w:r>
          </w:p>
        </w:tc>
        <w:tc>
          <w:tcPr>
            <w:tcW w:w="119" w:type="dxa"/>
            <w:vAlign w:val="bottom"/>
          </w:tcPr>
          <w:p w14:paraId="7CFB6AAA" w14:textId="77777777" w:rsidR="00D06894" w:rsidRDefault="00D06894" w:rsidP="003B0CA5">
            <w:pPr>
              <w:pStyle w:val="TBodysubtotalNumber"/>
              <w:keepNext/>
            </w:pPr>
          </w:p>
        </w:tc>
        <w:tc>
          <w:tcPr>
            <w:tcW w:w="1021" w:type="dxa"/>
            <w:tcBorders>
              <w:top w:val="single" w:sz="4" w:space="0" w:color="A59C94"/>
              <w:bottom w:val="single" w:sz="4" w:space="0" w:color="000000"/>
            </w:tcBorders>
            <w:vAlign w:val="bottom"/>
          </w:tcPr>
          <w:p w14:paraId="5437F956" w14:textId="77777777" w:rsidR="00D06894" w:rsidRDefault="00D06894" w:rsidP="003B0CA5">
            <w:pPr>
              <w:pStyle w:val="TBodysubtotalNumber"/>
              <w:keepNext/>
            </w:pPr>
            <w:r>
              <w:t>29</w:t>
            </w:r>
          </w:p>
        </w:tc>
      </w:tr>
      <w:tr w:rsidR="00D06894" w14:paraId="4DCDAC68" w14:textId="77777777" w:rsidTr="003B0CA5">
        <w:trPr>
          <w:trHeight w:val="340"/>
        </w:trPr>
        <w:tc>
          <w:tcPr>
            <w:tcW w:w="2914" w:type="dxa"/>
            <w:tcBorders>
              <w:top w:val="single" w:sz="4" w:space="0" w:color="000000"/>
              <w:bottom w:val="single" w:sz="16" w:space="0" w:color="991D85"/>
            </w:tcBorders>
            <w:vAlign w:val="bottom"/>
          </w:tcPr>
          <w:p w14:paraId="01B784DA" w14:textId="6A806F95" w:rsidR="00D06894" w:rsidRPr="00E90B6C" w:rsidRDefault="00E90B6C" w:rsidP="003B0CA5">
            <w:pPr>
              <w:pStyle w:val="TBodynormalText"/>
              <w:rPr>
                <w:lang w:val="pt-BR"/>
              </w:rPr>
            </w:pPr>
            <w:r w:rsidRPr="00E90B6C">
              <w:rPr>
                <w:b/>
                <w:lang w:val="pt-BR"/>
              </w:rPr>
              <w:t>Resultado líquido ajustado</w:t>
            </w:r>
          </w:p>
        </w:tc>
        <w:tc>
          <w:tcPr>
            <w:tcW w:w="119" w:type="dxa"/>
            <w:tcBorders>
              <w:bottom w:val="single" w:sz="16" w:space="0" w:color="991D85"/>
            </w:tcBorders>
            <w:vAlign w:val="bottom"/>
          </w:tcPr>
          <w:p w14:paraId="7870604F" w14:textId="77777777" w:rsidR="00D06894" w:rsidRDefault="00D06894" w:rsidP="003B0CA5">
            <w:pPr>
              <w:pStyle w:val="TBodynormalNumber"/>
              <w:keepNext/>
            </w:pPr>
          </w:p>
        </w:tc>
        <w:tc>
          <w:tcPr>
            <w:tcW w:w="1021" w:type="dxa"/>
            <w:tcBorders>
              <w:top w:val="single" w:sz="4" w:space="0" w:color="000000"/>
              <w:bottom w:val="single" w:sz="16" w:space="0" w:color="991D85"/>
            </w:tcBorders>
            <w:vAlign w:val="bottom"/>
          </w:tcPr>
          <w:p w14:paraId="0A2BA19F" w14:textId="77777777" w:rsidR="00D06894" w:rsidRDefault="00D06894" w:rsidP="003B0CA5">
            <w:pPr>
              <w:pStyle w:val="TBodynormalNumber"/>
              <w:keepNext/>
            </w:pPr>
            <w:r>
              <w:rPr>
                <w:b/>
              </w:rPr>
              <w:t>269</w:t>
            </w:r>
          </w:p>
        </w:tc>
        <w:tc>
          <w:tcPr>
            <w:tcW w:w="119" w:type="dxa"/>
            <w:tcBorders>
              <w:bottom w:val="single" w:sz="16" w:space="0" w:color="991D85"/>
            </w:tcBorders>
            <w:vAlign w:val="bottom"/>
          </w:tcPr>
          <w:p w14:paraId="46E40463" w14:textId="77777777" w:rsidR="00D06894" w:rsidRDefault="00D06894" w:rsidP="003B0CA5">
            <w:pPr>
              <w:pStyle w:val="TBodynormalNumber"/>
              <w:keepNext/>
            </w:pPr>
          </w:p>
        </w:tc>
        <w:tc>
          <w:tcPr>
            <w:tcW w:w="1021" w:type="dxa"/>
            <w:tcBorders>
              <w:top w:val="single" w:sz="4" w:space="0" w:color="000000"/>
              <w:bottom w:val="single" w:sz="16" w:space="0" w:color="991D85"/>
            </w:tcBorders>
            <w:shd w:val="clear" w:color="000000" w:fill="DAD5C9"/>
            <w:vAlign w:val="bottom"/>
          </w:tcPr>
          <w:p w14:paraId="34892993" w14:textId="77777777" w:rsidR="00D06894" w:rsidRDefault="00D06894" w:rsidP="003B0CA5">
            <w:pPr>
              <w:pStyle w:val="TBodynormalNumber"/>
              <w:keepNext/>
            </w:pPr>
            <w:r>
              <w:rPr>
                <w:b/>
              </w:rPr>
              <w:t>253</w:t>
            </w:r>
          </w:p>
        </w:tc>
        <w:tc>
          <w:tcPr>
            <w:tcW w:w="119" w:type="dxa"/>
            <w:tcBorders>
              <w:bottom w:val="single" w:sz="16" w:space="0" w:color="991D85"/>
            </w:tcBorders>
            <w:vAlign w:val="bottom"/>
          </w:tcPr>
          <w:p w14:paraId="0D0CBD8E" w14:textId="77777777" w:rsidR="00D06894" w:rsidRDefault="00D06894" w:rsidP="003B0CA5">
            <w:pPr>
              <w:pStyle w:val="TBodynormalNumber"/>
              <w:keepNext/>
            </w:pPr>
          </w:p>
        </w:tc>
        <w:tc>
          <w:tcPr>
            <w:tcW w:w="1021" w:type="dxa"/>
            <w:tcBorders>
              <w:top w:val="single" w:sz="4" w:space="0" w:color="000000"/>
              <w:bottom w:val="single" w:sz="16" w:space="0" w:color="991D85"/>
            </w:tcBorders>
            <w:vAlign w:val="bottom"/>
          </w:tcPr>
          <w:p w14:paraId="3CD09933" w14:textId="77777777" w:rsidR="00D06894" w:rsidRDefault="00D06894" w:rsidP="003B0CA5">
            <w:pPr>
              <w:pStyle w:val="TBodynormalNumber"/>
              <w:keepNext/>
            </w:pPr>
            <w:r>
              <w:rPr>
                <w:b/>
              </w:rPr>
              <w:t>-6</w:t>
            </w:r>
          </w:p>
        </w:tc>
        <w:tc>
          <w:tcPr>
            <w:tcW w:w="119" w:type="dxa"/>
            <w:tcBorders>
              <w:bottom w:val="single" w:sz="16" w:space="0" w:color="991D85"/>
            </w:tcBorders>
            <w:vAlign w:val="bottom"/>
          </w:tcPr>
          <w:p w14:paraId="2991FE3D" w14:textId="77777777" w:rsidR="00D06894" w:rsidRDefault="00D06894" w:rsidP="003B0CA5">
            <w:pPr>
              <w:pStyle w:val="TBodynormalNumber"/>
              <w:keepNext/>
            </w:pPr>
          </w:p>
        </w:tc>
        <w:tc>
          <w:tcPr>
            <w:tcW w:w="1021" w:type="dxa"/>
            <w:tcBorders>
              <w:top w:val="single" w:sz="4" w:space="0" w:color="000000"/>
              <w:bottom w:val="single" w:sz="16" w:space="0" w:color="991D85"/>
            </w:tcBorders>
            <w:vAlign w:val="bottom"/>
          </w:tcPr>
          <w:p w14:paraId="60D3334A" w14:textId="77777777" w:rsidR="00D06894" w:rsidRDefault="00D06894" w:rsidP="003B0CA5">
            <w:pPr>
              <w:pStyle w:val="TBodynormalNumber"/>
              <w:keepNext/>
            </w:pPr>
            <w:r>
              <w:rPr>
                <w:b/>
              </w:rPr>
              <w:t>762</w:t>
            </w:r>
          </w:p>
        </w:tc>
        <w:tc>
          <w:tcPr>
            <w:tcW w:w="119" w:type="dxa"/>
            <w:tcBorders>
              <w:bottom w:val="single" w:sz="16" w:space="0" w:color="991D85"/>
            </w:tcBorders>
            <w:vAlign w:val="bottom"/>
          </w:tcPr>
          <w:p w14:paraId="21638284" w14:textId="77777777" w:rsidR="00D06894" w:rsidRDefault="00D06894" w:rsidP="003B0CA5">
            <w:pPr>
              <w:pStyle w:val="TBodynormalNumber"/>
              <w:keepNext/>
            </w:pPr>
          </w:p>
        </w:tc>
        <w:tc>
          <w:tcPr>
            <w:tcW w:w="1021" w:type="dxa"/>
            <w:tcBorders>
              <w:top w:val="single" w:sz="4" w:space="0" w:color="000000"/>
              <w:bottom w:val="single" w:sz="16" w:space="0" w:color="991D85"/>
            </w:tcBorders>
            <w:shd w:val="clear" w:color="000000" w:fill="DAD5C9"/>
            <w:vAlign w:val="bottom"/>
          </w:tcPr>
          <w:p w14:paraId="0192B343" w14:textId="77777777" w:rsidR="00D06894" w:rsidRDefault="00D06894" w:rsidP="003B0CA5">
            <w:pPr>
              <w:pStyle w:val="TBodynormalNumber"/>
              <w:keepNext/>
            </w:pPr>
            <w:r>
              <w:rPr>
                <w:b/>
              </w:rPr>
              <w:t>960</w:t>
            </w:r>
          </w:p>
        </w:tc>
        <w:tc>
          <w:tcPr>
            <w:tcW w:w="119" w:type="dxa"/>
            <w:tcBorders>
              <w:bottom w:val="single" w:sz="16" w:space="0" w:color="991D85"/>
            </w:tcBorders>
            <w:vAlign w:val="bottom"/>
          </w:tcPr>
          <w:p w14:paraId="73F3B261" w14:textId="77777777" w:rsidR="00D06894" w:rsidRDefault="00D06894" w:rsidP="003B0CA5">
            <w:pPr>
              <w:pStyle w:val="TBodynormalNumber"/>
              <w:keepNext/>
            </w:pPr>
          </w:p>
        </w:tc>
        <w:tc>
          <w:tcPr>
            <w:tcW w:w="1021" w:type="dxa"/>
            <w:tcBorders>
              <w:top w:val="single" w:sz="4" w:space="0" w:color="000000"/>
              <w:bottom w:val="single" w:sz="16" w:space="0" w:color="991D85"/>
            </w:tcBorders>
            <w:vAlign w:val="bottom"/>
          </w:tcPr>
          <w:p w14:paraId="670F3769" w14:textId="77777777" w:rsidR="00D06894" w:rsidRDefault="00D06894" w:rsidP="003B0CA5">
            <w:pPr>
              <w:pStyle w:val="TBodynormalNumber"/>
              <w:keepNext/>
            </w:pPr>
            <w:r>
              <w:rPr>
                <w:b/>
              </w:rPr>
              <w:t>26</w:t>
            </w:r>
          </w:p>
        </w:tc>
      </w:tr>
      <w:bookmarkEnd w:id="0"/>
    </w:tbl>
    <w:p w14:paraId="665BF5E2" w14:textId="77777777" w:rsidR="00D06894" w:rsidRPr="006A5288" w:rsidRDefault="00D06894" w:rsidP="00D06894"/>
    <w:tbl>
      <w:tblPr>
        <w:tblW w:w="9752" w:type="dxa"/>
        <w:tblLayout w:type="fixed"/>
        <w:tblCellMar>
          <w:left w:w="0" w:type="dxa"/>
          <w:right w:w="0" w:type="dxa"/>
        </w:tblCellMar>
        <w:tblLook w:val="04A0" w:firstRow="1" w:lastRow="0" w:firstColumn="1" w:lastColumn="0" w:noHBand="0" w:noVBand="1"/>
        <w:tblCaption w:val="Pressemitteilung - Tabelle en!outarea_segmenteq1"/>
        <w:tblDescription w:val="SNEID_3c00ec5e54e644f88a0a198056030d76"/>
      </w:tblPr>
      <w:tblGrid>
        <w:gridCol w:w="2912"/>
        <w:gridCol w:w="119"/>
        <w:gridCol w:w="1021"/>
        <w:gridCol w:w="119"/>
        <w:gridCol w:w="1021"/>
        <w:gridCol w:w="119"/>
        <w:gridCol w:w="1021"/>
        <w:gridCol w:w="119"/>
        <w:gridCol w:w="1021"/>
        <w:gridCol w:w="119"/>
        <w:gridCol w:w="1021"/>
        <w:gridCol w:w="119"/>
        <w:gridCol w:w="1021"/>
      </w:tblGrid>
      <w:tr w:rsidR="00D06894" w:rsidRPr="00D90082" w14:paraId="7B449ABB" w14:textId="77777777" w:rsidTr="003B0CA5">
        <w:tc>
          <w:tcPr>
            <w:tcW w:w="9754" w:type="dxa"/>
            <w:gridSpan w:val="13"/>
            <w:noWrap/>
            <w:vAlign w:val="bottom"/>
          </w:tcPr>
          <w:p w14:paraId="70F4D2B7" w14:textId="541C811A" w:rsidR="00D06894" w:rsidRPr="00D90082" w:rsidRDefault="0053672B" w:rsidP="003B0CA5">
            <w:pPr>
              <w:pStyle w:val="TTitleText"/>
              <w:rPr>
                <w:lang w:val="pt-BR"/>
              </w:rPr>
            </w:pPr>
            <w:bookmarkStart w:id="1" w:name="SNEID_3c00ec5e54e644f88a0a198056030d76"/>
            <w:r w:rsidRPr="00D90082">
              <w:rPr>
                <w:lang w:val="pt-BR"/>
              </w:rPr>
              <w:t xml:space="preserve">Desempenho por </w:t>
            </w:r>
            <w:r w:rsidR="00D90082">
              <w:rPr>
                <w:lang w:val="pt-BR"/>
              </w:rPr>
              <w:t>D</w:t>
            </w:r>
            <w:r w:rsidRPr="00D90082">
              <w:rPr>
                <w:lang w:val="pt-BR"/>
              </w:rPr>
              <w:t>ivisão</w:t>
            </w:r>
            <w:r w:rsidR="00D06894" w:rsidRPr="00D90082">
              <w:rPr>
                <w:lang w:val="pt-BR"/>
              </w:rPr>
              <w:t xml:space="preserve"> – </w:t>
            </w:r>
            <w:r w:rsidRPr="00D90082">
              <w:rPr>
                <w:lang w:val="pt-BR"/>
              </w:rPr>
              <w:t>3° trimestre</w:t>
            </w:r>
          </w:p>
        </w:tc>
      </w:tr>
      <w:tr w:rsidR="00D06894" w:rsidRPr="00D90082" w14:paraId="7249EA08" w14:textId="77777777" w:rsidTr="003B0CA5">
        <w:tc>
          <w:tcPr>
            <w:tcW w:w="2914" w:type="dxa"/>
            <w:tcBorders>
              <w:top w:val="single" w:sz="8" w:space="0" w:color="000000"/>
            </w:tcBorders>
            <w:noWrap/>
            <w:vAlign w:val="bottom"/>
          </w:tcPr>
          <w:p w14:paraId="11F0F9A3" w14:textId="77777777" w:rsidR="00D06894" w:rsidRPr="00D90082" w:rsidRDefault="00D06894" w:rsidP="003B0CA5">
            <w:pPr>
              <w:pStyle w:val="TDummy"/>
              <w:keepNext/>
              <w:rPr>
                <w:lang w:val="pt-BR"/>
              </w:rPr>
            </w:pPr>
          </w:p>
        </w:tc>
        <w:tc>
          <w:tcPr>
            <w:tcW w:w="119" w:type="dxa"/>
            <w:tcBorders>
              <w:top w:val="single" w:sz="8" w:space="0" w:color="000000"/>
            </w:tcBorders>
            <w:noWrap/>
            <w:vAlign w:val="bottom"/>
          </w:tcPr>
          <w:p w14:paraId="64A5A5E0" w14:textId="77777777" w:rsidR="00D06894" w:rsidRPr="00D90082" w:rsidRDefault="00D06894" w:rsidP="003B0CA5">
            <w:pPr>
              <w:pStyle w:val="TDummy"/>
              <w:keepNext/>
              <w:rPr>
                <w:lang w:val="pt-BR"/>
              </w:rPr>
            </w:pPr>
          </w:p>
        </w:tc>
        <w:tc>
          <w:tcPr>
            <w:tcW w:w="1021" w:type="dxa"/>
            <w:tcBorders>
              <w:top w:val="single" w:sz="8" w:space="0" w:color="000000"/>
            </w:tcBorders>
            <w:noWrap/>
            <w:vAlign w:val="bottom"/>
          </w:tcPr>
          <w:p w14:paraId="41D95D0A" w14:textId="77777777" w:rsidR="00D06894" w:rsidRPr="00D90082" w:rsidRDefault="00D06894" w:rsidP="003B0CA5">
            <w:pPr>
              <w:pStyle w:val="TDummy"/>
              <w:keepNext/>
              <w:rPr>
                <w:lang w:val="pt-BR"/>
              </w:rPr>
            </w:pPr>
          </w:p>
        </w:tc>
        <w:tc>
          <w:tcPr>
            <w:tcW w:w="119" w:type="dxa"/>
            <w:tcBorders>
              <w:top w:val="single" w:sz="8" w:space="0" w:color="000000"/>
            </w:tcBorders>
            <w:noWrap/>
            <w:vAlign w:val="bottom"/>
          </w:tcPr>
          <w:p w14:paraId="4AD31A3B" w14:textId="77777777" w:rsidR="00D06894" w:rsidRPr="00D90082" w:rsidRDefault="00D06894" w:rsidP="003B0CA5">
            <w:pPr>
              <w:pStyle w:val="TDummy"/>
              <w:keepNext/>
              <w:rPr>
                <w:lang w:val="pt-BR"/>
              </w:rPr>
            </w:pPr>
          </w:p>
        </w:tc>
        <w:tc>
          <w:tcPr>
            <w:tcW w:w="1021" w:type="dxa"/>
            <w:tcBorders>
              <w:top w:val="single" w:sz="8" w:space="0" w:color="000000"/>
            </w:tcBorders>
            <w:noWrap/>
            <w:vAlign w:val="bottom"/>
          </w:tcPr>
          <w:p w14:paraId="1FA21BDB" w14:textId="77777777" w:rsidR="00D06894" w:rsidRPr="00D90082" w:rsidRDefault="00D06894" w:rsidP="003B0CA5">
            <w:pPr>
              <w:pStyle w:val="TDummy"/>
              <w:keepNext/>
              <w:rPr>
                <w:lang w:val="pt-BR"/>
              </w:rPr>
            </w:pPr>
          </w:p>
        </w:tc>
        <w:tc>
          <w:tcPr>
            <w:tcW w:w="119" w:type="dxa"/>
            <w:tcBorders>
              <w:top w:val="single" w:sz="8" w:space="0" w:color="000000"/>
            </w:tcBorders>
            <w:noWrap/>
            <w:vAlign w:val="bottom"/>
          </w:tcPr>
          <w:p w14:paraId="291372E8" w14:textId="77777777" w:rsidR="00D06894" w:rsidRPr="00D90082" w:rsidRDefault="00D06894" w:rsidP="003B0CA5">
            <w:pPr>
              <w:pStyle w:val="TDummy"/>
              <w:keepNext/>
              <w:rPr>
                <w:lang w:val="pt-BR"/>
              </w:rPr>
            </w:pPr>
          </w:p>
        </w:tc>
        <w:tc>
          <w:tcPr>
            <w:tcW w:w="1021" w:type="dxa"/>
            <w:tcBorders>
              <w:top w:val="single" w:sz="8" w:space="0" w:color="000000"/>
            </w:tcBorders>
            <w:noWrap/>
            <w:vAlign w:val="bottom"/>
          </w:tcPr>
          <w:p w14:paraId="6A2BF9A8" w14:textId="77777777" w:rsidR="00D06894" w:rsidRPr="00D90082" w:rsidRDefault="00D06894" w:rsidP="003B0CA5">
            <w:pPr>
              <w:pStyle w:val="TDummy"/>
              <w:keepNext/>
              <w:rPr>
                <w:lang w:val="pt-BR"/>
              </w:rPr>
            </w:pPr>
          </w:p>
        </w:tc>
        <w:tc>
          <w:tcPr>
            <w:tcW w:w="119" w:type="dxa"/>
            <w:tcBorders>
              <w:top w:val="single" w:sz="8" w:space="0" w:color="000000"/>
            </w:tcBorders>
            <w:noWrap/>
            <w:vAlign w:val="bottom"/>
          </w:tcPr>
          <w:p w14:paraId="341597E5" w14:textId="77777777" w:rsidR="00D06894" w:rsidRPr="00D90082" w:rsidRDefault="00D06894" w:rsidP="003B0CA5">
            <w:pPr>
              <w:pStyle w:val="TDummy"/>
              <w:keepNext/>
              <w:rPr>
                <w:lang w:val="pt-BR"/>
              </w:rPr>
            </w:pPr>
          </w:p>
        </w:tc>
        <w:tc>
          <w:tcPr>
            <w:tcW w:w="1021" w:type="dxa"/>
            <w:tcBorders>
              <w:top w:val="single" w:sz="8" w:space="0" w:color="000000"/>
            </w:tcBorders>
            <w:noWrap/>
            <w:vAlign w:val="bottom"/>
          </w:tcPr>
          <w:p w14:paraId="3B70FB51" w14:textId="77777777" w:rsidR="00D06894" w:rsidRPr="00D90082" w:rsidRDefault="00D06894" w:rsidP="003B0CA5">
            <w:pPr>
              <w:pStyle w:val="TDummy"/>
              <w:keepNext/>
              <w:rPr>
                <w:lang w:val="pt-BR"/>
              </w:rPr>
            </w:pPr>
          </w:p>
        </w:tc>
        <w:tc>
          <w:tcPr>
            <w:tcW w:w="119" w:type="dxa"/>
            <w:tcBorders>
              <w:top w:val="single" w:sz="8" w:space="0" w:color="000000"/>
            </w:tcBorders>
            <w:noWrap/>
            <w:vAlign w:val="bottom"/>
          </w:tcPr>
          <w:p w14:paraId="78662512" w14:textId="77777777" w:rsidR="00D06894" w:rsidRPr="00D90082" w:rsidRDefault="00D06894" w:rsidP="003B0CA5">
            <w:pPr>
              <w:pStyle w:val="TDummy"/>
              <w:keepNext/>
              <w:rPr>
                <w:lang w:val="pt-BR"/>
              </w:rPr>
            </w:pPr>
          </w:p>
        </w:tc>
        <w:tc>
          <w:tcPr>
            <w:tcW w:w="1021" w:type="dxa"/>
            <w:tcBorders>
              <w:top w:val="single" w:sz="8" w:space="0" w:color="000000"/>
            </w:tcBorders>
            <w:noWrap/>
            <w:vAlign w:val="bottom"/>
          </w:tcPr>
          <w:p w14:paraId="01A90ACB" w14:textId="77777777" w:rsidR="00D06894" w:rsidRPr="00D90082" w:rsidRDefault="00D06894" w:rsidP="003B0CA5">
            <w:pPr>
              <w:pStyle w:val="TDummy"/>
              <w:keepNext/>
              <w:rPr>
                <w:lang w:val="pt-BR"/>
              </w:rPr>
            </w:pPr>
          </w:p>
        </w:tc>
        <w:tc>
          <w:tcPr>
            <w:tcW w:w="119" w:type="dxa"/>
            <w:tcBorders>
              <w:top w:val="single" w:sz="8" w:space="0" w:color="000000"/>
            </w:tcBorders>
            <w:noWrap/>
            <w:vAlign w:val="bottom"/>
          </w:tcPr>
          <w:p w14:paraId="4D0FCCE9" w14:textId="77777777" w:rsidR="00D06894" w:rsidRPr="00D90082" w:rsidRDefault="00D06894" w:rsidP="003B0CA5">
            <w:pPr>
              <w:pStyle w:val="TDummy"/>
              <w:keepNext/>
              <w:rPr>
                <w:lang w:val="pt-BR"/>
              </w:rPr>
            </w:pPr>
          </w:p>
        </w:tc>
        <w:tc>
          <w:tcPr>
            <w:tcW w:w="1021" w:type="dxa"/>
            <w:tcBorders>
              <w:top w:val="single" w:sz="8" w:space="0" w:color="000000"/>
            </w:tcBorders>
            <w:noWrap/>
            <w:vAlign w:val="bottom"/>
          </w:tcPr>
          <w:p w14:paraId="7234E534" w14:textId="77777777" w:rsidR="00D06894" w:rsidRPr="00D90082" w:rsidRDefault="00D06894" w:rsidP="003B0CA5">
            <w:pPr>
              <w:pStyle w:val="TDummy"/>
              <w:keepNext/>
              <w:rPr>
                <w:lang w:val="pt-BR"/>
              </w:rPr>
            </w:pPr>
          </w:p>
        </w:tc>
      </w:tr>
      <w:tr w:rsidR="00D06894" w:rsidRPr="00D90082" w14:paraId="1FC97255" w14:textId="77777777" w:rsidTr="003B0CA5">
        <w:tc>
          <w:tcPr>
            <w:tcW w:w="2914" w:type="dxa"/>
            <w:shd w:val="clear" w:color="000000" w:fill="FFFFFF"/>
            <w:noWrap/>
            <w:vAlign w:val="bottom"/>
          </w:tcPr>
          <w:p w14:paraId="18A435B6" w14:textId="77777777" w:rsidR="00D06894" w:rsidRPr="00D90082" w:rsidRDefault="00D06894" w:rsidP="003B0CA5">
            <w:pPr>
              <w:pStyle w:val="THeadfirstNumber"/>
              <w:rPr>
                <w:lang w:val="pt-BR"/>
              </w:rPr>
            </w:pPr>
            <w:bookmarkStart w:id="2" w:name="RANGE!B25:N25"/>
            <w:bookmarkStart w:id="3" w:name="RANGE!B25"/>
            <w:bookmarkEnd w:id="2"/>
            <w:bookmarkEnd w:id="3"/>
          </w:p>
        </w:tc>
        <w:tc>
          <w:tcPr>
            <w:tcW w:w="119" w:type="dxa"/>
            <w:noWrap/>
            <w:vAlign w:val="bottom"/>
          </w:tcPr>
          <w:p w14:paraId="6EAD43E2" w14:textId="77777777" w:rsidR="00D06894" w:rsidRPr="00D90082" w:rsidRDefault="00D06894" w:rsidP="003B0CA5">
            <w:pPr>
              <w:pStyle w:val="THeadfirstNumber"/>
              <w:rPr>
                <w:lang w:val="pt-BR"/>
              </w:rPr>
            </w:pPr>
          </w:p>
        </w:tc>
        <w:tc>
          <w:tcPr>
            <w:tcW w:w="3301" w:type="dxa"/>
            <w:gridSpan w:val="5"/>
            <w:tcBorders>
              <w:bottom w:val="single" w:sz="4" w:space="0" w:color="A59C94"/>
            </w:tcBorders>
            <w:shd w:val="clear" w:color="000000" w:fill="FFFFFF"/>
            <w:vAlign w:val="bottom"/>
          </w:tcPr>
          <w:p w14:paraId="08121ADC" w14:textId="07D47491" w:rsidR="00D06894" w:rsidRPr="00D90082" w:rsidRDefault="008729E6" w:rsidP="003B0CA5">
            <w:pPr>
              <w:pStyle w:val="THeadfirstNumber"/>
              <w:rPr>
                <w:lang w:val="pt-BR"/>
              </w:rPr>
            </w:pPr>
            <w:r w:rsidRPr="00D90082">
              <w:rPr>
                <w:lang w:val="pt-BR"/>
              </w:rPr>
              <w:t>Vendas</w:t>
            </w:r>
          </w:p>
        </w:tc>
        <w:tc>
          <w:tcPr>
            <w:tcW w:w="119" w:type="dxa"/>
            <w:vAlign w:val="bottom"/>
          </w:tcPr>
          <w:p w14:paraId="399D10CF" w14:textId="77777777" w:rsidR="00D06894" w:rsidRPr="00D90082" w:rsidRDefault="00D06894" w:rsidP="003B0CA5">
            <w:pPr>
              <w:pStyle w:val="THeadfirstNumber"/>
              <w:rPr>
                <w:lang w:val="pt-BR"/>
              </w:rPr>
            </w:pPr>
          </w:p>
        </w:tc>
        <w:tc>
          <w:tcPr>
            <w:tcW w:w="3301" w:type="dxa"/>
            <w:gridSpan w:val="5"/>
            <w:tcBorders>
              <w:bottom w:val="single" w:sz="4" w:space="0" w:color="A59C94"/>
            </w:tcBorders>
            <w:shd w:val="clear" w:color="000000" w:fill="FFFFFF"/>
            <w:vAlign w:val="bottom"/>
          </w:tcPr>
          <w:p w14:paraId="599AB974" w14:textId="7FFE3F38" w:rsidR="00D06894" w:rsidRPr="00D90082" w:rsidRDefault="00D06894" w:rsidP="003B0CA5">
            <w:pPr>
              <w:pStyle w:val="THeadfirstNumber"/>
              <w:rPr>
                <w:lang w:val="pt-BR"/>
              </w:rPr>
            </w:pPr>
            <w:r w:rsidRPr="00D90082">
              <w:rPr>
                <w:lang w:val="pt-BR"/>
              </w:rPr>
              <w:t>EBITDA</w:t>
            </w:r>
            <w:r w:rsidR="0053672B" w:rsidRPr="00D90082">
              <w:rPr>
                <w:lang w:val="pt-BR"/>
              </w:rPr>
              <w:t xml:space="preserve"> ajustado</w:t>
            </w:r>
          </w:p>
        </w:tc>
      </w:tr>
      <w:tr w:rsidR="00D06894" w:rsidRPr="00D90082" w14:paraId="6B3C9415" w14:textId="77777777" w:rsidTr="003B0CA5">
        <w:tc>
          <w:tcPr>
            <w:tcW w:w="2914" w:type="dxa"/>
            <w:tcBorders>
              <w:bottom w:val="single" w:sz="4" w:space="0" w:color="000000"/>
            </w:tcBorders>
            <w:shd w:val="clear" w:color="000000" w:fill="FFFFFF"/>
            <w:noWrap/>
            <w:vAlign w:val="bottom"/>
          </w:tcPr>
          <w:p w14:paraId="0E33DC88" w14:textId="5D1AC9AC" w:rsidR="00D06894" w:rsidRPr="00D90082" w:rsidRDefault="0053672B" w:rsidP="003B0CA5">
            <w:pPr>
              <w:pStyle w:val="THeadlastText"/>
              <w:rPr>
                <w:lang w:val="pt-BR"/>
              </w:rPr>
            </w:pPr>
            <w:bookmarkStart w:id="4" w:name="RANGE!B26:N26"/>
            <w:bookmarkEnd w:id="4"/>
            <w:r w:rsidRPr="00D90082">
              <w:rPr>
                <w:lang w:val="pt-BR"/>
              </w:rPr>
              <w:t>em milhões de euros</w:t>
            </w:r>
          </w:p>
        </w:tc>
        <w:tc>
          <w:tcPr>
            <w:tcW w:w="119" w:type="dxa"/>
            <w:noWrap/>
            <w:vAlign w:val="bottom"/>
          </w:tcPr>
          <w:p w14:paraId="76A002FA" w14:textId="77777777" w:rsidR="00D06894" w:rsidRPr="00D90082" w:rsidRDefault="00D06894" w:rsidP="003B0CA5">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739F2C26" w14:textId="77777777" w:rsidR="00D06894" w:rsidRPr="00D90082" w:rsidRDefault="00D06894" w:rsidP="003B0CA5">
            <w:pPr>
              <w:pStyle w:val="THeadlastNumber"/>
              <w:rPr>
                <w:lang w:val="pt-BR"/>
              </w:rPr>
            </w:pPr>
            <w:r w:rsidRPr="00D90082">
              <w:rPr>
                <w:lang w:val="pt-BR"/>
              </w:rPr>
              <w:t>2021</w:t>
            </w:r>
          </w:p>
        </w:tc>
        <w:tc>
          <w:tcPr>
            <w:tcW w:w="119" w:type="dxa"/>
            <w:vAlign w:val="bottom"/>
          </w:tcPr>
          <w:p w14:paraId="3C6DAD68" w14:textId="77777777" w:rsidR="00D06894" w:rsidRPr="00D90082" w:rsidRDefault="00D06894" w:rsidP="003B0CA5">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56A25582" w14:textId="77777777" w:rsidR="00D06894" w:rsidRPr="00D90082" w:rsidRDefault="00D06894" w:rsidP="003B0CA5">
            <w:pPr>
              <w:pStyle w:val="THeadlastNumberbold"/>
              <w:rPr>
                <w:lang w:val="pt-BR"/>
              </w:rPr>
            </w:pPr>
            <w:bookmarkStart w:id="5" w:name="RANGE!F26:F33"/>
            <w:bookmarkEnd w:id="5"/>
            <w:r w:rsidRPr="00D90082">
              <w:rPr>
                <w:lang w:val="pt-BR"/>
              </w:rPr>
              <w:t>2022</w:t>
            </w:r>
          </w:p>
        </w:tc>
        <w:tc>
          <w:tcPr>
            <w:tcW w:w="119" w:type="dxa"/>
            <w:vAlign w:val="bottom"/>
          </w:tcPr>
          <w:p w14:paraId="2CB73731" w14:textId="77777777" w:rsidR="00D06894" w:rsidRPr="00D90082" w:rsidRDefault="00D06894" w:rsidP="003B0CA5">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0BCD19E9" w14:textId="5D2775FA" w:rsidR="00D06894" w:rsidRPr="00D90082" w:rsidRDefault="008729E6" w:rsidP="003B0CA5">
            <w:pPr>
              <w:pStyle w:val="THeaddifferenceNumber"/>
              <w:keepNext/>
              <w:rPr>
                <w:lang w:val="pt-BR"/>
              </w:rPr>
            </w:pPr>
            <w:bookmarkStart w:id="6" w:name="RANGE!H26:H33"/>
            <w:bookmarkEnd w:id="6"/>
            <w:r w:rsidRPr="00D90082">
              <w:rPr>
                <w:lang w:val="pt-BR"/>
              </w:rPr>
              <w:t>Variação em %</w:t>
            </w:r>
          </w:p>
        </w:tc>
        <w:tc>
          <w:tcPr>
            <w:tcW w:w="119" w:type="dxa"/>
            <w:vAlign w:val="bottom"/>
          </w:tcPr>
          <w:p w14:paraId="5667C195" w14:textId="77777777" w:rsidR="00D06894" w:rsidRPr="00D90082" w:rsidRDefault="00D06894" w:rsidP="003B0CA5">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657A44F9" w14:textId="77777777" w:rsidR="00D06894" w:rsidRPr="00D90082" w:rsidRDefault="00D06894" w:rsidP="003B0CA5">
            <w:pPr>
              <w:pStyle w:val="THeadlastNumber"/>
              <w:rPr>
                <w:lang w:val="pt-BR"/>
              </w:rPr>
            </w:pPr>
            <w:r w:rsidRPr="00D90082">
              <w:rPr>
                <w:lang w:val="pt-BR"/>
              </w:rPr>
              <w:t>2021</w:t>
            </w:r>
          </w:p>
        </w:tc>
        <w:tc>
          <w:tcPr>
            <w:tcW w:w="119" w:type="dxa"/>
            <w:vAlign w:val="bottom"/>
          </w:tcPr>
          <w:p w14:paraId="1EB4E81D" w14:textId="77777777" w:rsidR="00D06894" w:rsidRPr="00D90082" w:rsidRDefault="00D06894" w:rsidP="003B0CA5">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1D396A58" w14:textId="77777777" w:rsidR="00D06894" w:rsidRPr="00D90082" w:rsidRDefault="00D06894" w:rsidP="003B0CA5">
            <w:pPr>
              <w:pStyle w:val="THeadlastNumberbold"/>
              <w:rPr>
                <w:lang w:val="pt-BR"/>
              </w:rPr>
            </w:pPr>
            <w:bookmarkStart w:id="7" w:name="RANGE!L26:L33"/>
            <w:bookmarkEnd w:id="7"/>
            <w:r w:rsidRPr="00D90082">
              <w:rPr>
                <w:lang w:val="pt-BR"/>
              </w:rPr>
              <w:t>2022</w:t>
            </w:r>
          </w:p>
        </w:tc>
        <w:tc>
          <w:tcPr>
            <w:tcW w:w="119" w:type="dxa"/>
            <w:vAlign w:val="bottom"/>
          </w:tcPr>
          <w:p w14:paraId="3EB16239" w14:textId="77777777" w:rsidR="00D06894" w:rsidRPr="00D90082" w:rsidRDefault="00D06894" w:rsidP="003B0CA5">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3611FDA6" w14:textId="086926E0" w:rsidR="00D06894" w:rsidRPr="00D90082" w:rsidRDefault="008729E6" w:rsidP="003B0CA5">
            <w:pPr>
              <w:pStyle w:val="THeaddifferenceNumber"/>
              <w:keepNext/>
              <w:rPr>
                <w:lang w:val="pt-BR"/>
              </w:rPr>
            </w:pPr>
            <w:bookmarkStart w:id="8" w:name="RANGE!N26:N33"/>
            <w:bookmarkEnd w:id="8"/>
            <w:r w:rsidRPr="00D90082">
              <w:rPr>
                <w:lang w:val="pt-BR"/>
              </w:rPr>
              <w:t>Variação em %</w:t>
            </w:r>
          </w:p>
        </w:tc>
      </w:tr>
      <w:tr w:rsidR="00D06894" w:rsidRPr="00D90082" w14:paraId="358F4F23" w14:textId="77777777" w:rsidTr="003B0CA5">
        <w:tc>
          <w:tcPr>
            <w:tcW w:w="2914" w:type="dxa"/>
            <w:tcBorders>
              <w:top w:val="single" w:sz="4" w:space="0" w:color="000000"/>
              <w:bottom w:val="single" w:sz="4" w:space="0" w:color="A59C94"/>
            </w:tcBorders>
            <w:noWrap/>
            <w:vAlign w:val="bottom"/>
          </w:tcPr>
          <w:p w14:paraId="0E09CE1C" w14:textId="77777777" w:rsidR="00D06894" w:rsidRPr="00D90082" w:rsidRDefault="00D06894" w:rsidP="003B0CA5">
            <w:pPr>
              <w:pStyle w:val="TBodynormalText"/>
              <w:rPr>
                <w:lang w:val="pt-BR"/>
              </w:rPr>
            </w:pPr>
            <w:proofErr w:type="spellStart"/>
            <w:r w:rsidRPr="00D90082">
              <w:rPr>
                <w:lang w:val="pt-BR"/>
              </w:rPr>
              <w:t>Specialty</w:t>
            </w:r>
            <w:proofErr w:type="spellEnd"/>
            <w:r w:rsidRPr="00D90082">
              <w:rPr>
                <w:lang w:val="pt-BR"/>
              </w:rPr>
              <w:t xml:space="preserve"> </w:t>
            </w:r>
            <w:proofErr w:type="spellStart"/>
            <w:r w:rsidRPr="00D90082">
              <w:rPr>
                <w:lang w:val="pt-BR"/>
              </w:rPr>
              <w:t>Additives</w:t>
            </w:r>
            <w:proofErr w:type="spellEnd"/>
          </w:p>
        </w:tc>
        <w:tc>
          <w:tcPr>
            <w:tcW w:w="119" w:type="dxa"/>
            <w:noWrap/>
            <w:vAlign w:val="bottom"/>
          </w:tcPr>
          <w:p w14:paraId="2934D1FA" w14:textId="77777777" w:rsidR="00D06894" w:rsidRPr="00D90082" w:rsidRDefault="00D06894" w:rsidP="003B0CA5">
            <w:pPr>
              <w:pStyle w:val="TBodynormalNumber"/>
              <w:keepNext/>
              <w:rPr>
                <w:lang w:val="pt-BR"/>
              </w:rPr>
            </w:pPr>
          </w:p>
        </w:tc>
        <w:tc>
          <w:tcPr>
            <w:tcW w:w="1021" w:type="dxa"/>
            <w:tcBorders>
              <w:top w:val="single" w:sz="4" w:space="0" w:color="000000"/>
              <w:bottom w:val="single" w:sz="4" w:space="0" w:color="A59C94"/>
            </w:tcBorders>
            <w:noWrap/>
            <w:vAlign w:val="bottom"/>
          </w:tcPr>
          <w:p w14:paraId="6A683A6F" w14:textId="77777777" w:rsidR="00D06894" w:rsidRPr="00D90082" w:rsidRDefault="00D06894" w:rsidP="003B0CA5">
            <w:pPr>
              <w:pStyle w:val="TBodynormalNumber"/>
              <w:keepNext/>
              <w:rPr>
                <w:lang w:val="pt-BR"/>
              </w:rPr>
            </w:pPr>
            <w:r w:rsidRPr="00D90082">
              <w:rPr>
                <w:lang w:val="pt-BR"/>
              </w:rPr>
              <w:t>934</w:t>
            </w:r>
          </w:p>
        </w:tc>
        <w:tc>
          <w:tcPr>
            <w:tcW w:w="119" w:type="dxa"/>
            <w:noWrap/>
            <w:vAlign w:val="bottom"/>
          </w:tcPr>
          <w:p w14:paraId="3B96B3A1" w14:textId="77777777" w:rsidR="00D06894" w:rsidRPr="00D90082" w:rsidRDefault="00D06894" w:rsidP="003B0CA5">
            <w:pPr>
              <w:pStyle w:val="TBodynormalNumber"/>
              <w:keepNext/>
              <w:rPr>
                <w:lang w:val="pt-BR"/>
              </w:rPr>
            </w:pPr>
          </w:p>
        </w:tc>
        <w:tc>
          <w:tcPr>
            <w:tcW w:w="1021" w:type="dxa"/>
            <w:tcBorders>
              <w:top w:val="single" w:sz="4" w:space="0" w:color="000000"/>
              <w:bottom w:val="single" w:sz="4" w:space="0" w:color="A59C94"/>
            </w:tcBorders>
            <w:shd w:val="clear" w:color="000000" w:fill="DAD5C9"/>
            <w:noWrap/>
            <w:vAlign w:val="bottom"/>
          </w:tcPr>
          <w:p w14:paraId="1F75F245" w14:textId="008F3DBC" w:rsidR="00D06894" w:rsidRPr="00D90082" w:rsidRDefault="00D06894" w:rsidP="003B0CA5">
            <w:pPr>
              <w:pStyle w:val="TBodynormalNumber"/>
              <w:keepNext/>
              <w:rPr>
                <w:lang w:val="pt-BR"/>
              </w:rPr>
            </w:pPr>
            <w:r w:rsidRPr="00D90082">
              <w:rPr>
                <w:lang w:val="pt-BR"/>
              </w:rPr>
              <w:t>1</w:t>
            </w:r>
            <w:r w:rsidR="00D90082" w:rsidRPr="00D90082">
              <w:rPr>
                <w:lang w:val="pt-BR"/>
              </w:rPr>
              <w:t>.</w:t>
            </w:r>
            <w:r w:rsidRPr="00D90082">
              <w:rPr>
                <w:lang w:val="pt-BR"/>
              </w:rPr>
              <w:t>113</w:t>
            </w:r>
          </w:p>
        </w:tc>
        <w:tc>
          <w:tcPr>
            <w:tcW w:w="119" w:type="dxa"/>
            <w:noWrap/>
            <w:vAlign w:val="bottom"/>
          </w:tcPr>
          <w:p w14:paraId="0ADBFF2F" w14:textId="77777777" w:rsidR="00D06894" w:rsidRPr="00D90082" w:rsidRDefault="00D06894" w:rsidP="003B0CA5">
            <w:pPr>
              <w:pStyle w:val="TBodynormalNumber"/>
              <w:keepNext/>
              <w:rPr>
                <w:lang w:val="pt-BR"/>
              </w:rPr>
            </w:pPr>
          </w:p>
        </w:tc>
        <w:tc>
          <w:tcPr>
            <w:tcW w:w="1021" w:type="dxa"/>
            <w:tcBorders>
              <w:top w:val="single" w:sz="4" w:space="0" w:color="000000"/>
              <w:bottom w:val="single" w:sz="4" w:space="0" w:color="A59C94"/>
            </w:tcBorders>
            <w:noWrap/>
            <w:vAlign w:val="bottom"/>
          </w:tcPr>
          <w:p w14:paraId="34D977CE" w14:textId="77777777" w:rsidR="00D06894" w:rsidRPr="00D90082" w:rsidRDefault="00D06894" w:rsidP="003B0CA5">
            <w:pPr>
              <w:pStyle w:val="TBodynormalNumber"/>
              <w:keepNext/>
              <w:rPr>
                <w:lang w:val="pt-BR"/>
              </w:rPr>
            </w:pPr>
            <w:r w:rsidRPr="00D90082">
              <w:rPr>
                <w:lang w:val="pt-BR"/>
              </w:rPr>
              <w:t>19</w:t>
            </w:r>
          </w:p>
        </w:tc>
        <w:tc>
          <w:tcPr>
            <w:tcW w:w="119" w:type="dxa"/>
            <w:noWrap/>
            <w:vAlign w:val="bottom"/>
          </w:tcPr>
          <w:p w14:paraId="15D5E97D" w14:textId="77777777" w:rsidR="00D06894" w:rsidRPr="00D90082" w:rsidRDefault="00D06894" w:rsidP="003B0CA5">
            <w:pPr>
              <w:pStyle w:val="TBodynormalNumber"/>
              <w:keepNext/>
              <w:rPr>
                <w:lang w:val="pt-BR"/>
              </w:rPr>
            </w:pPr>
          </w:p>
        </w:tc>
        <w:tc>
          <w:tcPr>
            <w:tcW w:w="1021" w:type="dxa"/>
            <w:tcBorders>
              <w:top w:val="single" w:sz="4" w:space="0" w:color="000000"/>
              <w:bottom w:val="single" w:sz="4" w:space="0" w:color="A59C94"/>
            </w:tcBorders>
            <w:noWrap/>
            <w:vAlign w:val="bottom"/>
          </w:tcPr>
          <w:p w14:paraId="4A6B171C" w14:textId="77777777" w:rsidR="00D06894" w:rsidRPr="00D90082" w:rsidRDefault="00D06894" w:rsidP="003B0CA5">
            <w:pPr>
              <w:pStyle w:val="TBodynormalNumber"/>
              <w:keepNext/>
              <w:rPr>
                <w:lang w:val="pt-BR"/>
              </w:rPr>
            </w:pPr>
            <w:r w:rsidRPr="00D90082">
              <w:rPr>
                <w:lang w:val="pt-BR"/>
              </w:rPr>
              <w:t>224</w:t>
            </w:r>
          </w:p>
        </w:tc>
        <w:tc>
          <w:tcPr>
            <w:tcW w:w="119" w:type="dxa"/>
            <w:noWrap/>
            <w:vAlign w:val="bottom"/>
          </w:tcPr>
          <w:p w14:paraId="09625794" w14:textId="77777777" w:rsidR="00D06894" w:rsidRPr="00D90082" w:rsidRDefault="00D06894" w:rsidP="003B0CA5">
            <w:pPr>
              <w:pStyle w:val="TBodynormalNumber"/>
              <w:keepNext/>
              <w:rPr>
                <w:lang w:val="pt-BR"/>
              </w:rPr>
            </w:pPr>
          </w:p>
        </w:tc>
        <w:tc>
          <w:tcPr>
            <w:tcW w:w="1021" w:type="dxa"/>
            <w:tcBorders>
              <w:top w:val="single" w:sz="4" w:space="0" w:color="000000"/>
              <w:bottom w:val="single" w:sz="4" w:space="0" w:color="A59C94"/>
            </w:tcBorders>
            <w:shd w:val="clear" w:color="000000" w:fill="DAD5C9"/>
            <w:noWrap/>
            <w:vAlign w:val="bottom"/>
          </w:tcPr>
          <w:p w14:paraId="1CC68A68" w14:textId="77777777" w:rsidR="00D06894" w:rsidRPr="00D90082" w:rsidRDefault="00D06894" w:rsidP="003B0CA5">
            <w:pPr>
              <w:pStyle w:val="TBodynormalNumber"/>
              <w:keepNext/>
              <w:rPr>
                <w:lang w:val="pt-BR"/>
              </w:rPr>
            </w:pPr>
            <w:r w:rsidRPr="00D90082">
              <w:rPr>
                <w:lang w:val="pt-BR"/>
              </w:rPr>
              <w:t>243</w:t>
            </w:r>
          </w:p>
        </w:tc>
        <w:tc>
          <w:tcPr>
            <w:tcW w:w="119" w:type="dxa"/>
            <w:noWrap/>
            <w:vAlign w:val="bottom"/>
          </w:tcPr>
          <w:p w14:paraId="07B86FC2" w14:textId="77777777" w:rsidR="00D06894" w:rsidRPr="00D90082" w:rsidRDefault="00D06894" w:rsidP="003B0CA5">
            <w:pPr>
              <w:pStyle w:val="TBodynormalNumber"/>
              <w:keepNext/>
              <w:rPr>
                <w:lang w:val="pt-BR"/>
              </w:rPr>
            </w:pPr>
          </w:p>
        </w:tc>
        <w:tc>
          <w:tcPr>
            <w:tcW w:w="1021" w:type="dxa"/>
            <w:tcBorders>
              <w:top w:val="single" w:sz="4" w:space="0" w:color="000000"/>
              <w:bottom w:val="single" w:sz="4" w:space="0" w:color="A59C94"/>
            </w:tcBorders>
            <w:noWrap/>
            <w:vAlign w:val="bottom"/>
          </w:tcPr>
          <w:p w14:paraId="49A40CE3" w14:textId="77777777" w:rsidR="00D06894" w:rsidRPr="00D90082" w:rsidRDefault="00D06894" w:rsidP="003B0CA5">
            <w:pPr>
              <w:pStyle w:val="TBodynormalNumber"/>
              <w:keepNext/>
              <w:rPr>
                <w:lang w:val="pt-BR"/>
              </w:rPr>
            </w:pPr>
            <w:r w:rsidRPr="00D90082">
              <w:rPr>
                <w:lang w:val="pt-BR"/>
              </w:rPr>
              <w:t>8</w:t>
            </w:r>
          </w:p>
        </w:tc>
      </w:tr>
      <w:tr w:rsidR="00D06894" w:rsidRPr="00D90082" w14:paraId="7D265295" w14:textId="77777777" w:rsidTr="003B0CA5">
        <w:tc>
          <w:tcPr>
            <w:tcW w:w="2914" w:type="dxa"/>
            <w:tcBorders>
              <w:top w:val="single" w:sz="4" w:space="0" w:color="A59C94"/>
              <w:bottom w:val="single" w:sz="4" w:space="0" w:color="A59C94"/>
            </w:tcBorders>
            <w:noWrap/>
            <w:vAlign w:val="bottom"/>
          </w:tcPr>
          <w:p w14:paraId="55DBB00E" w14:textId="77777777" w:rsidR="00D06894" w:rsidRPr="00D90082" w:rsidRDefault="00D06894" w:rsidP="003B0CA5">
            <w:pPr>
              <w:pStyle w:val="TBodynormalText"/>
              <w:rPr>
                <w:lang w:val="pt-BR"/>
              </w:rPr>
            </w:pPr>
            <w:r w:rsidRPr="00D90082">
              <w:rPr>
                <w:lang w:val="pt-BR"/>
              </w:rPr>
              <w:t>Nutrition &amp; Care</w:t>
            </w:r>
          </w:p>
        </w:tc>
        <w:tc>
          <w:tcPr>
            <w:tcW w:w="119" w:type="dxa"/>
            <w:noWrap/>
            <w:vAlign w:val="bottom"/>
          </w:tcPr>
          <w:p w14:paraId="67FDE7B8" w14:textId="77777777" w:rsidR="00D06894" w:rsidRPr="00D90082"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12AF677F" w14:textId="77777777" w:rsidR="00D06894" w:rsidRPr="00D90082" w:rsidRDefault="00D06894" w:rsidP="003B0CA5">
            <w:pPr>
              <w:pStyle w:val="TBodynormalNumber"/>
              <w:keepNext/>
              <w:rPr>
                <w:lang w:val="pt-BR"/>
              </w:rPr>
            </w:pPr>
            <w:r w:rsidRPr="00D90082">
              <w:rPr>
                <w:lang w:val="pt-BR"/>
              </w:rPr>
              <w:t>931</w:t>
            </w:r>
          </w:p>
        </w:tc>
        <w:tc>
          <w:tcPr>
            <w:tcW w:w="119" w:type="dxa"/>
            <w:noWrap/>
            <w:vAlign w:val="bottom"/>
          </w:tcPr>
          <w:p w14:paraId="6E222AF5" w14:textId="77777777" w:rsidR="00D06894" w:rsidRPr="00D90082" w:rsidRDefault="00D06894" w:rsidP="003B0CA5">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2FD6DF35" w14:textId="6313518D" w:rsidR="00D06894" w:rsidRPr="00D90082" w:rsidRDefault="00D06894" w:rsidP="003B0CA5">
            <w:pPr>
              <w:pStyle w:val="TBodynormalNumber"/>
              <w:keepNext/>
              <w:rPr>
                <w:lang w:val="pt-BR"/>
              </w:rPr>
            </w:pPr>
            <w:r w:rsidRPr="00D90082">
              <w:rPr>
                <w:lang w:val="pt-BR"/>
              </w:rPr>
              <w:t>1</w:t>
            </w:r>
            <w:r w:rsidR="00D90082" w:rsidRPr="00D90082">
              <w:rPr>
                <w:lang w:val="pt-BR"/>
              </w:rPr>
              <w:t>.</w:t>
            </w:r>
            <w:r w:rsidRPr="00D90082">
              <w:rPr>
                <w:lang w:val="pt-BR"/>
              </w:rPr>
              <w:t>062</w:t>
            </w:r>
          </w:p>
        </w:tc>
        <w:tc>
          <w:tcPr>
            <w:tcW w:w="119" w:type="dxa"/>
            <w:noWrap/>
            <w:vAlign w:val="bottom"/>
          </w:tcPr>
          <w:p w14:paraId="613DC4CD" w14:textId="77777777" w:rsidR="00D06894" w:rsidRPr="00D90082"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19B3D06E" w14:textId="77777777" w:rsidR="00D06894" w:rsidRPr="00D90082" w:rsidRDefault="00D06894" w:rsidP="003B0CA5">
            <w:pPr>
              <w:pStyle w:val="TBodynormalNumber"/>
              <w:keepNext/>
              <w:rPr>
                <w:lang w:val="pt-BR"/>
              </w:rPr>
            </w:pPr>
            <w:r w:rsidRPr="00D90082">
              <w:rPr>
                <w:lang w:val="pt-BR"/>
              </w:rPr>
              <w:t>14</w:t>
            </w:r>
          </w:p>
        </w:tc>
        <w:tc>
          <w:tcPr>
            <w:tcW w:w="119" w:type="dxa"/>
            <w:noWrap/>
            <w:vAlign w:val="bottom"/>
          </w:tcPr>
          <w:p w14:paraId="224FCB47" w14:textId="77777777" w:rsidR="00D06894" w:rsidRPr="00D90082"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6A3628EC" w14:textId="77777777" w:rsidR="00D06894" w:rsidRPr="00D90082" w:rsidRDefault="00D06894" w:rsidP="003B0CA5">
            <w:pPr>
              <w:pStyle w:val="TBodynormalNumber"/>
              <w:keepNext/>
              <w:rPr>
                <w:lang w:val="pt-BR"/>
              </w:rPr>
            </w:pPr>
            <w:r w:rsidRPr="00D90082">
              <w:rPr>
                <w:lang w:val="pt-BR"/>
              </w:rPr>
              <w:t>192</w:t>
            </w:r>
          </w:p>
        </w:tc>
        <w:tc>
          <w:tcPr>
            <w:tcW w:w="119" w:type="dxa"/>
            <w:noWrap/>
            <w:vAlign w:val="bottom"/>
          </w:tcPr>
          <w:p w14:paraId="3ACCE689" w14:textId="77777777" w:rsidR="00D06894" w:rsidRPr="00D90082" w:rsidRDefault="00D06894" w:rsidP="003B0CA5">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61B4F8D3" w14:textId="77777777" w:rsidR="00D06894" w:rsidRPr="00D90082" w:rsidRDefault="00D06894" w:rsidP="003B0CA5">
            <w:pPr>
              <w:pStyle w:val="TBodynormalNumber"/>
              <w:keepNext/>
              <w:rPr>
                <w:lang w:val="pt-BR"/>
              </w:rPr>
            </w:pPr>
            <w:r w:rsidRPr="00D90082">
              <w:rPr>
                <w:lang w:val="pt-BR"/>
              </w:rPr>
              <w:t>148</w:t>
            </w:r>
          </w:p>
        </w:tc>
        <w:tc>
          <w:tcPr>
            <w:tcW w:w="119" w:type="dxa"/>
            <w:noWrap/>
            <w:vAlign w:val="bottom"/>
          </w:tcPr>
          <w:p w14:paraId="76BA956F" w14:textId="77777777" w:rsidR="00D06894" w:rsidRPr="00D90082"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6F03BAE8" w14:textId="77777777" w:rsidR="00D06894" w:rsidRPr="00D90082" w:rsidRDefault="00D06894" w:rsidP="003B0CA5">
            <w:pPr>
              <w:pStyle w:val="TBodynormalNumber"/>
              <w:keepNext/>
              <w:rPr>
                <w:lang w:val="pt-BR"/>
              </w:rPr>
            </w:pPr>
            <w:r w:rsidRPr="00D90082">
              <w:rPr>
                <w:lang w:val="pt-BR"/>
              </w:rPr>
              <w:t>-23</w:t>
            </w:r>
          </w:p>
        </w:tc>
      </w:tr>
      <w:tr w:rsidR="00D06894" w:rsidRPr="00D90082" w14:paraId="75D8A97D" w14:textId="77777777" w:rsidTr="003B0CA5">
        <w:tc>
          <w:tcPr>
            <w:tcW w:w="2914" w:type="dxa"/>
            <w:tcBorders>
              <w:top w:val="single" w:sz="4" w:space="0" w:color="A59C94"/>
              <w:bottom w:val="single" w:sz="4" w:space="0" w:color="A59C94"/>
            </w:tcBorders>
            <w:noWrap/>
            <w:vAlign w:val="bottom"/>
          </w:tcPr>
          <w:p w14:paraId="423B2B85" w14:textId="77777777" w:rsidR="00D06894" w:rsidRPr="00D90082" w:rsidRDefault="00D06894" w:rsidP="003B0CA5">
            <w:pPr>
              <w:pStyle w:val="TBodynormalText"/>
              <w:rPr>
                <w:lang w:val="pt-BR"/>
              </w:rPr>
            </w:pPr>
            <w:proofErr w:type="spellStart"/>
            <w:r w:rsidRPr="00D90082">
              <w:rPr>
                <w:lang w:val="pt-BR"/>
              </w:rPr>
              <w:t>Smart</w:t>
            </w:r>
            <w:proofErr w:type="spellEnd"/>
            <w:r w:rsidRPr="00D90082">
              <w:rPr>
                <w:lang w:val="pt-BR"/>
              </w:rPr>
              <w:t xml:space="preserve"> </w:t>
            </w:r>
            <w:proofErr w:type="spellStart"/>
            <w:r w:rsidRPr="00D90082">
              <w:rPr>
                <w:lang w:val="pt-BR"/>
              </w:rPr>
              <w:t>Materials</w:t>
            </w:r>
            <w:proofErr w:type="spellEnd"/>
          </w:p>
        </w:tc>
        <w:tc>
          <w:tcPr>
            <w:tcW w:w="119" w:type="dxa"/>
            <w:noWrap/>
            <w:vAlign w:val="bottom"/>
          </w:tcPr>
          <w:p w14:paraId="73015DDD" w14:textId="77777777" w:rsidR="00D06894" w:rsidRPr="00D90082"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167ACB3E" w14:textId="4A667E56" w:rsidR="00D06894" w:rsidRPr="00D90082" w:rsidRDefault="00D06894" w:rsidP="003B0CA5">
            <w:pPr>
              <w:pStyle w:val="TBodynormalNumber"/>
              <w:keepNext/>
              <w:rPr>
                <w:lang w:val="pt-BR"/>
              </w:rPr>
            </w:pPr>
            <w:r w:rsidRPr="00D90082">
              <w:rPr>
                <w:lang w:val="pt-BR"/>
              </w:rPr>
              <w:t>1</w:t>
            </w:r>
            <w:r w:rsidR="00D90082" w:rsidRPr="00D90082">
              <w:rPr>
                <w:lang w:val="pt-BR"/>
              </w:rPr>
              <w:t>.</w:t>
            </w:r>
            <w:r w:rsidRPr="00D90082">
              <w:rPr>
                <w:lang w:val="pt-BR"/>
              </w:rPr>
              <w:t>002</w:t>
            </w:r>
          </w:p>
        </w:tc>
        <w:tc>
          <w:tcPr>
            <w:tcW w:w="119" w:type="dxa"/>
            <w:noWrap/>
            <w:vAlign w:val="bottom"/>
          </w:tcPr>
          <w:p w14:paraId="7FD3C8FC" w14:textId="77777777" w:rsidR="00D06894" w:rsidRPr="00D90082" w:rsidRDefault="00D06894" w:rsidP="003B0CA5">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7AD265FA" w14:textId="365251E7" w:rsidR="00D06894" w:rsidRPr="00D90082" w:rsidRDefault="00D06894" w:rsidP="003B0CA5">
            <w:pPr>
              <w:pStyle w:val="TBodynormalNumber"/>
              <w:keepNext/>
              <w:rPr>
                <w:lang w:val="pt-BR"/>
              </w:rPr>
            </w:pPr>
            <w:r w:rsidRPr="00D90082">
              <w:rPr>
                <w:lang w:val="pt-BR"/>
              </w:rPr>
              <w:t>1</w:t>
            </w:r>
            <w:r w:rsidR="00D90082" w:rsidRPr="00D90082">
              <w:rPr>
                <w:lang w:val="pt-BR"/>
              </w:rPr>
              <w:t>.</w:t>
            </w:r>
            <w:r w:rsidRPr="00D90082">
              <w:rPr>
                <w:lang w:val="pt-BR"/>
              </w:rPr>
              <w:t>259</w:t>
            </w:r>
          </w:p>
        </w:tc>
        <w:tc>
          <w:tcPr>
            <w:tcW w:w="119" w:type="dxa"/>
            <w:noWrap/>
            <w:vAlign w:val="bottom"/>
          </w:tcPr>
          <w:p w14:paraId="749F2087" w14:textId="77777777" w:rsidR="00D06894" w:rsidRPr="00D90082"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17AFCCDD" w14:textId="77777777" w:rsidR="00D06894" w:rsidRPr="00D90082" w:rsidRDefault="00D06894" w:rsidP="003B0CA5">
            <w:pPr>
              <w:pStyle w:val="TBodynormalNumber"/>
              <w:keepNext/>
              <w:rPr>
                <w:lang w:val="pt-BR"/>
              </w:rPr>
            </w:pPr>
            <w:r w:rsidRPr="00D90082">
              <w:rPr>
                <w:lang w:val="pt-BR"/>
              </w:rPr>
              <w:t>26</w:t>
            </w:r>
          </w:p>
        </w:tc>
        <w:tc>
          <w:tcPr>
            <w:tcW w:w="119" w:type="dxa"/>
            <w:noWrap/>
            <w:vAlign w:val="bottom"/>
          </w:tcPr>
          <w:p w14:paraId="4E52EA77" w14:textId="77777777" w:rsidR="00D06894" w:rsidRPr="00D90082"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5DF9A933" w14:textId="77777777" w:rsidR="00D06894" w:rsidRPr="00D90082" w:rsidRDefault="00D06894" w:rsidP="003B0CA5">
            <w:pPr>
              <w:pStyle w:val="TBodynormalNumber"/>
              <w:keepNext/>
              <w:rPr>
                <w:lang w:val="pt-BR"/>
              </w:rPr>
            </w:pPr>
            <w:r w:rsidRPr="00D90082">
              <w:rPr>
                <w:lang w:val="pt-BR"/>
              </w:rPr>
              <w:t>177</w:t>
            </w:r>
          </w:p>
        </w:tc>
        <w:tc>
          <w:tcPr>
            <w:tcW w:w="119" w:type="dxa"/>
            <w:noWrap/>
            <w:vAlign w:val="bottom"/>
          </w:tcPr>
          <w:p w14:paraId="4DDCFECA" w14:textId="77777777" w:rsidR="00D06894" w:rsidRPr="00D90082" w:rsidRDefault="00D06894" w:rsidP="003B0CA5">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32276F7D" w14:textId="77777777" w:rsidR="00D06894" w:rsidRPr="00D90082" w:rsidRDefault="00D06894" w:rsidP="003B0CA5">
            <w:pPr>
              <w:pStyle w:val="TBodynormalNumber"/>
              <w:keepNext/>
              <w:rPr>
                <w:lang w:val="pt-BR"/>
              </w:rPr>
            </w:pPr>
            <w:r w:rsidRPr="00D90082">
              <w:rPr>
                <w:lang w:val="pt-BR"/>
              </w:rPr>
              <w:t>177</w:t>
            </w:r>
          </w:p>
        </w:tc>
        <w:tc>
          <w:tcPr>
            <w:tcW w:w="119" w:type="dxa"/>
            <w:noWrap/>
            <w:vAlign w:val="bottom"/>
          </w:tcPr>
          <w:p w14:paraId="2DECDBAA" w14:textId="77777777" w:rsidR="00D06894" w:rsidRPr="00D90082"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72B3C6A5" w14:textId="77777777" w:rsidR="00D06894" w:rsidRPr="00D90082" w:rsidRDefault="00D06894" w:rsidP="003B0CA5">
            <w:pPr>
              <w:pStyle w:val="TBodynormalNumber"/>
              <w:keepNext/>
              <w:rPr>
                <w:lang w:val="pt-BR"/>
              </w:rPr>
            </w:pPr>
            <w:r w:rsidRPr="00D90082">
              <w:rPr>
                <w:lang w:val="pt-BR"/>
              </w:rPr>
              <w:t>–</w:t>
            </w:r>
          </w:p>
        </w:tc>
      </w:tr>
      <w:tr w:rsidR="00D06894" w:rsidRPr="00D90082" w14:paraId="0BD1D46C" w14:textId="77777777" w:rsidTr="003B0CA5">
        <w:tc>
          <w:tcPr>
            <w:tcW w:w="2914" w:type="dxa"/>
            <w:tcBorders>
              <w:top w:val="single" w:sz="4" w:space="0" w:color="A59C94"/>
              <w:bottom w:val="single" w:sz="4" w:space="0" w:color="A59C94"/>
            </w:tcBorders>
            <w:noWrap/>
            <w:vAlign w:val="bottom"/>
          </w:tcPr>
          <w:p w14:paraId="13EB22DD" w14:textId="77777777" w:rsidR="00D06894" w:rsidRPr="00D90082" w:rsidRDefault="00D06894" w:rsidP="003B0CA5">
            <w:pPr>
              <w:pStyle w:val="TBodynormalText"/>
              <w:rPr>
                <w:lang w:val="pt-BR"/>
              </w:rPr>
            </w:pPr>
            <w:r w:rsidRPr="00D90082">
              <w:rPr>
                <w:lang w:val="pt-BR"/>
              </w:rPr>
              <w:t xml:space="preserve">Performance </w:t>
            </w:r>
            <w:proofErr w:type="spellStart"/>
            <w:r w:rsidRPr="00D90082">
              <w:rPr>
                <w:lang w:val="pt-BR"/>
              </w:rPr>
              <w:t>Materials</w:t>
            </w:r>
            <w:proofErr w:type="spellEnd"/>
          </w:p>
        </w:tc>
        <w:tc>
          <w:tcPr>
            <w:tcW w:w="119" w:type="dxa"/>
            <w:noWrap/>
            <w:vAlign w:val="bottom"/>
          </w:tcPr>
          <w:p w14:paraId="3EA534E7" w14:textId="77777777" w:rsidR="00D06894" w:rsidRPr="00D90082"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62EB59BB" w14:textId="77777777" w:rsidR="00D06894" w:rsidRPr="00D90082" w:rsidRDefault="00D06894" w:rsidP="003B0CA5">
            <w:pPr>
              <w:pStyle w:val="TBodynormalNumber"/>
              <w:keepNext/>
              <w:rPr>
                <w:lang w:val="pt-BR"/>
              </w:rPr>
            </w:pPr>
            <w:r w:rsidRPr="00D90082">
              <w:rPr>
                <w:lang w:val="pt-BR"/>
              </w:rPr>
              <w:t>784</w:t>
            </w:r>
          </w:p>
        </w:tc>
        <w:tc>
          <w:tcPr>
            <w:tcW w:w="119" w:type="dxa"/>
            <w:noWrap/>
            <w:vAlign w:val="bottom"/>
          </w:tcPr>
          <w:p w14:paraId="79DE56A3" w14:textId="77777777" w:rsidR="00D06894" w:rsidRPr="00D90082" w:rsidRDefault="00D06894" w:rsidP="003B0CA5">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61AEA725" w14:textId="77777777" w:rsidR="00D06894" w:rsidRPr="00D90082" w:rsidRDefault="00D06894" w:rsidP="003B0CA5">
            <w:pPr>
              <w:pStyle w:val="TBodynormalNumber"/>
              <w:keepNext/>
              <w:rPr>
                <w:lang w:val="pt-BR"/>
              </w:rPr>
            </w:pPr>
            <w:r w:rsidRPr="00D90082">
              <w:rPr>
                <w:lang w:val="pt-BR"/>
              </w:rPr>
              <w:t>903</w:t>
            </w:r>
          </w:p>
        </w:tc>
        <w:tc>
          <w:tcPr>
            <w:tcW w:w="119" w:type="dxa"/>
            <w:noWrap/>
            <w:vAlign w:val="bottom"/>
          </w:tcPr>
          <w:p w14:paraId="044F2111" w14:textId="77777777" w:rsidR="00D06894" w:rsidRPr="00D90082"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6AB44EDB" w14:textId="77777777" w:rsidR="00D06894" w:rsidRPr="00D90082" w:rsidRDefault="00D06894" w:rsidP="003B0CA5">
            <w:pPr>
              <w:pStyle w:val="TBodynormalNumber"/>
              <w:keepNext/>
              <w:rPr>
                <w:lang w:val="pt-BR"/>
              </w:rPr>
            </w:pPr>
            <w:r w:rsidRPr="00D90082">
              <w:rPr>
                <w:lang w:val="pt-BR"/>
              </w:rPr>
              <w:t>15</w:t>
            </w:r>
          </w:p>
        </w:tc>
        <w:tc>
          <w:tcPr>
            <w:tcW w:w="119" w:type="dxa"/>
            <w:noWrap/>
            <w:vAlign w:val="bottom"/>
          </w:tcPr>
          <w:p w14:paraId="224224EA" w14:textId="77777777" w:rsidR="00D06894" w:rsidRPr="00D90082"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5E8EFA6D" w14:textId="77777777" w:rsidR="00D06894" w:rsidRPr="00D90082" w:rsidRDefault="00D06894" w:rsidP="003B0CA5">
            <w:pPr>
              <w:pStyle w:val="TBodynormalNumber"/>
              <w:keepNext/>
              <w:rPr>
                <w:lang w:val="pt-BR"/>
              </w:rPr>
            </w:pPr>
            <w:r w:rsidRPr="00D90082">
              <w:rPr>
                <w:lang w:val="pt-BR"/>
              </w:rPr>
              <w:t>97</w:t>
            </w:r>
          </w:p>
        </w:tc>
        <w:tc>
          <w:tcPr>
            <w:tcW w:w="119" w:type="dxa"/>
            <w:noWrap/>
            <w:vAlign w:val="bottom"/>
          </w:tcPr>
          <w:p w14:paraId="2E2A0423" w14:textId="77777777" w:rsidR="00D06894" w:rsidRPr="00D90082" w:rsidRDefault="00D06894" w:rsidP="003B0CA5">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1CED72B5" w14:textId="77777777" w:rsidR="00D06894" w:rsidRPr="00D90082" w:rsidRDefault="00D06894" w:rsidP="003B0CA5">
            <w:pPr>
              <w:pStyle w:val="TBodynormalNumber"/>
              <w:keepNext/>
              <w:rPr>
                <w:lang w:val="pt-BR"/>
              </w:rPr>
            </w:pPr>
            <w:r w:rsidRPr="00D90082">
              <w:rPr>
                <w:lang w:val="pt-BR"/>
              </w:rPr>
              <w:t>74</w:t>
            </w:r>
          </w:p>
        </w:tc>
        <w:tc>
          <w:tcPr>
            <w:tcW w:w="119" w:type="dxa"/>
            <w:noWrap/>
            <w:vAlign w:val="bottom"/>
          </w:tcPr>
          <w:p w14:paraId="5C5641E0" w14:textId="77777777" w:rsidR="00D06894" w:rsidRPr="00D90082"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742A0A16" w14:textId="77777777" w:rsidR="00D06894" w:rsidRPr="00D90082" w:rsidRDefault="00D06894" w:rsidP="003B0CA5">
            <w:pPr>
              <w:pStyle w:val="TBodynormalNumber"/>
              <w:keepNext/>
              <w:rPr>
                <w:lang w:val="pt-BR"/>
              </w:rPr>
            </w:pPr>
            <w:r w:rsidRPr="00D90082">
              <w:rPr>
                <w:lang w:val="pt-BR"/>
              </w:rPr>
              <w:t>-24</w:t>
            </w:r>
          </w:p>
        </w:tc>
      </w:tr>
      <w:tr w:rsidR="00D06894" w:rsidRPr="00D90082" w14:paraId="205FF02A" w14:textId="77777777" w:rsidTr="003B0CA5">
        <w:tc>
          <w:tcPr>
            <w:tcW w:w="2914" w:type="dxa"/>
            <w:tcBorders>
              <w:top w:val="single" w:sz="4" w:space="0" w:color="A59C94"/>
              <w:bottom w:val="single" w:sz="4" w:space="0" w:color="A59C94"/>
            </w:tcBorders>
            <w:noWrap/>
            <w:vAlign w:val="bottom"/>
          </w:tcPr>
          <w:p w14:paraId="0BCEF267" w14:textId="77777777" w:rsidR="00D06894" w:rsidRPr="00D90082" w:rsidRDefault="00D06894" w:rsidP="003B0CA5">
            <w:pPr>
              <w:pStyle w:val="TBodynormalText"/>
              <w:rPr>
                <w:lang w:val="pt-BR"/>
              </w:rPr>
            </w:pPr>
            <w:r w:rsidRPr="00D90082">
              <w:rPr>
                <w:lang w:val="pt-BR"/>
              </w:rPr>
              <w:t>Technology &amp; Infrastructure</w:t>
            </w:r>
          </w:p>
        </w:tc>
        <w:tc>
          <w:tcPr>
            <w:tcW w:w="119" w:type="dxa"/>
            <w:noWrap/>
            <w:vAlign w:val="bottom"/>
          </w:tcPr>
          <w:p w14:paraId="1D36119E" w14:textId="77777777" w:rsidR="00D06894" w:rsidRPr="00D90082"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3E4E96B7" w14:textId="77777777" w:rsidR="00D06894" w:rsidRPr="00D90082" w:rsidRDefault="00D06894" w:rsidP="003B0CA5">
            <w:pPr>
              <w:pStyle w:val="TBodynormalNumber"/>
              <w:keepNext/>
              <w:rPr>
                <w:lang w:val="pt-BR"/>
              </w:rPr>
            </w:pPr>
            <w:r w:rsidRPr="00D90082">
              <w:rPr>
                <w:lang w:val="pt-BR"/>
              </w:rPr>
              <w:t>204</w:t>
            </w:r>
          </w:p>
        </w:tc>
        <w:tc>
          <w:tcPr>
            <w:tcW w:w="119" w:type="dxa"/>
            <w:noWrap/>
            <w:vAlign w:val="bottom"/>
          </w:tcPr>
          <w:p w14:paraId="67F8CCC9" w14:textId="77777777" w:rsidR="00D06894" w:rsidRPr="00D90082" w:rsidRDefault="00D06894" w:rsidP="003B0CA5">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4ED520D9" w14:textId="77777777" w:rsidR="00D06894" w:rsidRPr="00D90082" w:rsidRDefault="00D06894" w:rsidP="003B0CA5">
            <w:pPr>
              <w:pStyle w:val="TBodynormalNumber"/>
              <w:keepNext/>
              <w:rPr>
                <w:lang w:val="pt-BR"/>
              </w:rPr>
            </w:pPr>
            <w:r w:rsidRPr="00D90082">
              <w:rPr>
                <w:lang w:val="pt-BR"/>
              </w:rPr>
              <w:t>525</w:t>
            </w:r>
          </w:p>
        </w:tc>
        <w:tc>
          <w:tcPr>
            <w:tcW w:w="119" w:type="dxa"/>
            <w:noWrap/>
            <w:vAlign w:val="bottom"/>
          </w:tcPr>
          <w:p w14:paraId="6159F8E6" w14:textId="77777777" w:rsidR="00D06894" w:rsidRPr="00D90082"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53AE881D" w14:textId="77777777" w:rsidR="00D06894" w:rsidRPr="00D90082" w:rsidRDefault="00D06894" w:rsidP="003B0CA5">
            <w:pPr>
              <w:pStyle w:val="TBodynormalNumber"/>
              <w:keepNext/>
              <w:rPr>
                <w:lang w:val="pt-BR"/>
              </w:rPr>
            </w:pPr>
            <w:r w:rsidRPr="00D90082">
              <w:rPr>
                <w:lang w:val="pt-BR"/>
              </w:rPr>
              <w:t>157</w:t>
            </w:r>
          </w:p>
        </w:tc>
        <w:tc>
          <w:tcPr>
            <w:tcW w:w="119" w:type="dxa"/>
            <w:noWrap/>
            <w:vAlign w:val="bottom"/>
          </w:tcPr>
          <w:p w14:paraId="69A8A456" w14:textId="77777777" w:rsidR="00D06894" w:rsidRPr="00D90082"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05B5755A" w14:textId="77777777" w:rsidR="00D06894" w:rsidRPr="00D90082" w:rsidRDefault="00D06894" w:rsidP="003B0CA5">
            <w:pPr>
              <w:pStyle w:val="TBodynormalNumber"/>
              <w:keepNext/>
              <w:rPr>
                <w:lang w:val="pt-BR"/>
              </w:rPr>
            </w:pPr>
            <w:r w:rsidRPr="00D90082">
              <w:rPr>
                <w:lang w:val="pt-BR"/>
              </w:rPr>
              <w:t>27</w:t>
            </w:r>
          </w:p>
        </w:tc>
        <w:tc>
          <w:tcPr>
            <w:tcW w:w="119" w:type="dxa"/>
            <w:noWrap/>
            <w:vAlign w:val="bottom"/>
          </w:tcPr>
          <w:p w14:paraId="1D63A5B6" w14:textId="77777777" w:rsidR="00D06894" w:rsidRPr="00D90082" w:rsidRDefault="00D06894" w:rsidP="003B0CA5">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12D8EA72" w14:textId="77777777" w:rsidR="00D06894" w:rsidRPr="00D90082" w:rsidRDefault="00D06894" w:rsidP="003B0CA5">
            <w:pPr>
              <w:pStyle w:val="TBodynormalNumber"/>
              <w:keepNext/>
              <w:rPr>
                <w:lang w:val="pt-BR"/>
              </w:rPr>
            </w:pPr>
            <w:r w:rsidRPr="00D90082">
              <w:rPr>
                <w:lang w:val="pt-BR"/>
              </w:rPr>
              <w:t>35</w:t>
            </w:r>
          </w:p>
        </w:tc>
        <w:tc>
          <w:tcPr>
            <w:tcW w:w="119" w:type="dxa"/>
            <w:noWrap/>
            <w:vAlign w:val="bottom"/>
          </w:tcPr>
          <w:p w14:paraId="26A6DB27" w14:textId="77777777" w:rsidR="00D06894" w:rsidRPr="00D90082"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6A32226F" w14:textId="77777777" w:rsidR="00D06894" w:rsidRPr="00D90082" w:rsidRDefault="00D06894" w:rsidP="003B0CA5">
            <w:pPr>
              <w:pStyle w:val="TBodynormalNumber"/>
              <w:keepNext/>
              <w:rPr>
                <w:lang w:val="pt-BR"/>
              </w:rPr>
            </w:pPr>
            <w:r w:rsidRPr="00D90082">
              <w:rPr>
                <w:lang w:val="pt-BR"/>
              </w:rPr>
              <w:t>30</w:t>
            </w:r>
          </w:p>
        </w:tc>
      </w:tr>
      <w:tr w:rsidR="00D06894" w:rsidRPr="00D90082" w14:paraId="3B6FFE20" w14:textId="77777777" w:rsidTr="003B0CA5">
        <w:tc>
          <w:tcPr>
            <w:tcW w:w="2914" w:type="dxa"/>
            <w:tcBorders>
              <w:top w:val="single" w:sz="4" w:space="0" w:color="A59C94"/>
              <w:bottom w:val="single" w:sz="4" w:space="0" w:color="A59C94"/>
            </w:tcBorders>
            <w:noWrap/>
            <w:vAlign w:val="bottom"/>
          </w:tcPr>
          <w:p w14:paraId="1B8D4E0E" w14:textId="40FC3F9E" w:rsidR="00D06894" w:rsidRPr="00D90082" w:rsidRDefault="00544C7C" w:rsidP="003B0CA5">
            <w:pPr>
              <w:pStyle w:val="TBodynormalText"/>
              <w:rPr>
                <w:lang w:val="pt-BR"/>
              </w:rPr>
            </w:pPr>
            <w:r w:rsidRPr="00D90082">
              <w:rPr>
                <w:lang w:val="pt-BR"/>
              </w:rPr>
              <w:t>Funções Essenciais, Outras Atividades, Consolidação</w:t>
            </w:r>
          </w:p>
        </w:tc>
        <w:tc>
          <w:tcPr>
            <w:tcW w:w="119" w:type="dxa"/>
            <w:noWrap/>
            <w:vAlign w:val="bottom"/>
          </w:tcPr>
          <w:p w14:paraId="16F83DEA" w14:textId="77777777" w:rsidR="00D06894" w:rsidRPr="00D90082"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4C6BF0C8" w14:textId="77777777" w:rsidR="00D06894" w:rsidRPr="00D90082" w:rsidRDefault="00D06894" w:rsidP="003B0CA5">
            <w:pPr>
              <w:pStyle w:val="TBodynormalNumber"/>
              <w:keepNext/>
              <w:rPr>
                <w:lang w:val="pt-BR"/>
              </w:rPr>
            </w:pPr>
            <w:r w:rsidRPr="00D90082">
              <w:rPr>
                <w:lang w:val="pt-BR"/>
              </w:rPr>
              <w:t>16</w:t>
            </w:r>
          </w:p>
        </w:tc>
        <w:tc>
          <w:tcPr>
            <w:tcW w:w="119" w:type="dxa"/>
            <w:noWrap/>
            <w:vAlign w:val="bottom"/>
          </w:tcPr>
          <w:p w14:paraId="6400FA07" w14:textId="77777777" w:rsidR="00D06894" w:rsidRPr="00D90082" w:rsidRDefault="00D06894" w:rsidP="003B0CA5">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1484C26D" w14:textId="77777777" w:rsidR="00D06894" w:rsidRPr="00D90082" w:rsidRDefault="00D06894" w:rsidP="003B0CA5">
            <w:pPr>
              <w:pStyle w:val="TBodynormalNumber"/>
              <w:keepNext/>
              <w:rPr>
                <w:lang w:val="pt-BR"/>
              </w:rPr>
            </w:pPr>
            <w:r w:rsidRPr="00D90082">
              <w:rPr>
                <w:lang w:val="pt-BR"/>
              </w:rPr>
              <w:t>16</w:t>
            </w:r>
          </w:p>
        </w:tc>
        <w:tc>
          <w:tcPr>
            <w:tcW w:w="119" w:type="dxa"/>
            <w:noWrap/>
            <w:vAlign w:val="bottom"/>
          </w:tcPr>
          <w:p w14:paraId="442387F2" w14:textId="77777777" w:rsidR="00D06894" w:rsidRPr="00D90082"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2223192C" w14:textId="77777777" w:rsidR="00D06894" w:rsidRPr="00D90082" w:rsidRDefault="00D06894" w:rsidP="003B0CA5">
            <w:pPr>
              <w:pStyle w:val="TBodynormalNumber"/>
              <w:keepNext/>
              <w:rPr>
                <w:lang w:val="pt-BR"/>
              </w:rPr>
            </w:pPr>
            <w:r w:rsidRPr="00D90082">
              <w:rPr>
                <w:lang w:val="pt-BR"/>
              </w:rPr>
              <w:t>–</w:t>
            </w:r>
          </w:p>
        </w:tc>
        <w:tc>
          <w:tcPr>
            <w:tcW w:w="119" w:type="dxa"/>
            <w:noWrap/>
            <w:vAlign w:val="bottom"/>
          </w:tcPr>
          <w:p w14:paraId="378960B0" w14:textId="77777777" w:rsidR="00D06894" w:rsidRPr="00D90082"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2C4F0027" w14:textId="77777777" w:rsidR="00D06894" w:rsidRPr="00D90082" w:rsidRDefault="00D06894" w:rsidP="003B0CA5">
            <w:pPr>
              <w:pStyle w:val="TBodynormalNumber"/>
              <w:keepNext/>
              <w:rPr>
                <w:lang w:val="pt-BR"/>
              </w:rPr>
            </w:pPr>
            <w:r w:rsidRPr="00D90082">
              <w:rPr>
                <w:lang w:val="pt-BR"/>
              </w:rPr>
              <w:t>-72</w:t>
            </w:r>
          </w:p>
        </w:tc>
        <w:tc>
          <w:tcPr>
            <w:tcW w:w="119" w:type="dxa"/>
            <w:noWrap/>
            <w:vAlign w:val="bottom"/>
          </w:tcPr>
          <w:p w14:paraId="6DC5A531" w14:textId="77777777" w:rsidR="00D06894" w:rsidRPr="00D90082" w:rsidRDefault="00D06894" w:rsidP="003B0CA5">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525F3E83" w14:textId="77777777" w:rsidR="00D06894" w:rsidRPr="00D90082" w:rsidRDefault="00D06894" w:rsidP="003B0CA5">
            <w:pPr>
              <w:pStyle w:val="TBodynormalNumber"/>
              <w:keepNext/>
              <w:rPr>
                <w:lang w:val="pt-BR"/>
              </w:rPr>
            </w:pPr>
            <w:r w:rsidRPr="00D90082">
              <w:rPr>
                <w:lang w:val="pt-BR"/>
              </w:rPr>
              <w:t>-62</w:t>
            </w:r>
          </w:p>
        </w:tc>
        <w:tc>
          <w:tcPr>
            <w:tcW w:w="119" w:type="dxa"/>
            <w:noWrap/>
            <w:vAlign w:val="bottom"/>
          </w:tcPr>
          <w:p w14:paraId="2AEE0F38" w14:textId="77777777" w:rsidR="00D06894" w:rsidRPr="00D90082"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09CA92D7" w14:textId="77777777" w:rsidR="00D06894" w:rsidRPr="00D90082" w:rsidRDefault="00D06894" w:rsidP="003B0CA5">
            <w:pPr>
              <w:pStyle w:val="TBodynormalNumber"/>
              <w:keepNext/>
              <w:rPr>
                <w:lang w:val="pt-BR"/>
              </w:rPr>
            </w:pPr>
            <w:r w:rsidRPr="00D90082">
              <w:rPr>
                <w:lang w:val="pt-BR"/>
              </w:rPr>
              <w:t>14</w:t>
            </w:r>
          </w:p>
        </w:tc>
      </w:tr>
      <w:tr w:rsidR="00D06894" w:rsidRPr="00D90082" w14:paraId="4CE514AC" w14:textId="77777777" w:rsidTr="003B0CA5">
        <w:tc>
          <w:tcPr>
            <w:tcW w:w="2914" w:type="dxa"/>
            <w:tcBorders>
              <w:top w:val="single" w:sz="4" w:space="0" w:color="A59C94"/>
              <w:bottom w:val="single" w:sz="16" w:space="0" w:color="991D85"/>
            </w:tcBorders>
            <w:noWrap/>
            <w:vAlign w:val="bottom"/>
          </w:tcPr>
          <w:p w14:paraId="5274D80F" w14:textId="37699BEE" w:rsidR="00D06894" w:rsidRPr="00D90082" w:rsidRDefault="00544C7C" w:rsidP="003B0CA5">
            <w:pPr>
              <w:pStyle w:val="TBodytotalText"/>
              <w:rPr>
                <w:lang w:val="pt-BR"/>
              </w:rPr>
            </w:pPr>
            <w:bookmarkStart w:id="9" w:name="RANGE!B33:N33"/>
            <w:bookmarkEnd w:id="9"/>
            <w:r w:rsidRPr="00D90082">
              <w:rPr>
                <w:lang w:val="pt-BR"/>
              </w:rPr>
              <w:t xml:space="preserve">Grupo </w:t>
            </w:r>
            <w:r w:rsidR="00D06894" w:rsidRPr="00D90082">
              <w:rPr>
                <w:lang w:val="pt-BR"/>
              </w:rPr>
              <w:t xml:space="preserve">Evonik </w:t>
            </w:r>
          </w:p>
        </w:tc>
        <w:tc>
          <w:tcPr>
            <w:tcW w:w="119" w:type="dxa"/>
            <w:tcBorders>
              <w:bottom w:val="single" w:sz="16" w:space="0" w:color="991D85"/>
            </w:tcBorders>
            <w:noWrap/>
            <w:vAlign w:val="bottom"/>
          </w:tcPr>
          <w:p w14:paraId="67918765" w14:textId="77777777" w:rsidR="00D06894" w:rsidRPr="00D90082" w:rsidRDefault="00D06894" w:rsidP="003B0CA5">
            <w:pPr>
              <w:pStyle w:val="TBodytotalNumber"/>
              <w:rPr>
                <w:lang w:val="pt-BR"/>
              </w:rPr>
            </w:pPr>
          </w:p>
        </w:tc>
        <w:tc>
          <w:tcPr>
            <w:tcW w:w="1021" w:type="dxa"/>
            <w:tcBorders>
              <w:top w:val="single" w:sz="4" w:space="0" w:color="A59C94"/>
              <w:bottom w:val="single" w:sz="16" w:space="0" w:color="991D85"/>
            </w:tcBorders>
            <w:noWrap/>
            <w:vAlign w:val="bottom"/>
          </w:tcPr>
          <w:p w14:paraId="550426A0" w14:textId="5AC7777E" w:rsidR="00D06894" w:rsidRPr="00D90082" w:rsidRDefault="00D06894" w:rsidP="003B0CA5">
            <w:pPr>
              <w:pStyle w:val="TBodytotalNumber"/>
              <w:rPr>
                <w:lang w:val="pt-BR"/>
              </w:rPr>
            </w:pPr>
            <w:r w:rsidRPr="00D90082">
              <w:rPr>
                <w:lang w:val="pt-BR"/>
              </w:rPr>
              <w:t>3</w:t>
            </w:r>
            <w:r w:rsidR="00D90082" w:rsidRPr="00D90082">
              <w:rPr>
                <w:lang w:val="pt-BR"/>
              </w:rPr>
              <w:t>.</w:t>
            </w:r>
            <w:r w:rsidRPr="00D90082">
              <w:rPr>
                <w:lang w:val="pt-BR"/>
              </w:rPr>
              <w:t>871</w:t>
            </w:r>
          </w:p>
        </w:tc>
        <w:tc>
          <w:tcPr>
            <w:tcW w:w="119" w:type="dxa"/>
            <w:tcBorders>
              <w:bottom w:val="single" w:sz="16" w:space="0" w:color="991D85"/>
            </w:tcBorders>
            <w:noWrap/>
            <w:vAlign w:val="bottom"/>
          </w:tcPr>
          <w:p w14:paraId="1B4AA869" w14:textId="77777777" w:rsidR="00D06894" w:rsidRPr="00D90082" w:rsidRDefault="00D06894" w:rsidP="003B0CA5">
            <w:pPr>
              <w:pStyle w:val="TBodytotalNumber"/>
              <w:rPr>
                <w:lang w:val="pt-BR"/>
              </w:rPr>
            </w:pPr>
          </w:p>
        </w:tc>
        <w:tc>
          <w:tcPr>
            <w:tcW w:w="1021" w:type="dxa"/>
            <w:tcBorders>
              <w:top w:val="single" w:sz="4" w:space="0" w:color="A59C94"/>
              <w:bottom w:val="single" w:sz="16" w:space="0" w:color="991D85"/>
            </w:tcBorders>
            <w:shd w:val="clear" w:color="000000" w:fill="DAD5C9"/>
            <w:noWrap/>
            <w:vAlign w:val="bottom"/>
          </w:tcPr>
          <w:p w14:paraId="1A2B8748" w14:textId="7DBC7884" w:rsidR="00D06894" w:rsidRPr="00D90082" w:rsidRDefault="00D06894" w:rsidP="003B0CA5">
            <w:pPr>
              <w:pStyle w:val="TBodytotalNumber"/>
              <w:rPr>
                <w:lang w:val="pt-BR"/>
              </w:rPr>
            </w:pPr>
            <w:r w:rsidRPr="00D90082">
              <w:rPr>
                <w:lang w:val="pt-BR"/>
              </w:rPr>
              <w:t>4</w:t>
            </w:r>
            <w:r w:rsidR="00D90082" w:rsidRPr="00D90082">
              <w:rPr>
                <w:lang w:val="pt-BR"/>
              </w:rPr>
              <w:t>.</w:t>
            </w:r>
            <w:r w:rsidRPr="00D90082">
              <w:rPr>
                <w:lang w:val="pt-BR"/>
              </w:rPr>
              <w:t>878</w:t>
            </w:r>
          </w:p>
        </w:tc>
        <w:tc>
          <w:tcPr>
            <w:tcW w:w="119" w:type="dxa"/>
            <w:tcBorders>
              <w:bottom w:val="single" w:sz="16" w:space="0" w:color="991D85"/>
            </w:tcBorders>
            <w:noWrap/>
            <w:vAlign w:val="bottom"/>
          </w:tcPr>
          <w:p w14:paraId="12F1A568" w14:textId="77777777" w:rsidR="00D06894" w:rsidRPr="00D90082" w:rsidRDefault="00D06894" w:rsidP="003B0CA5">
            <w:pPr>
              <w:pStyle w:val="TBodytotalNumber"/>
              <w:rPr>
                <w:lang w:val="pt-BR"/>
              </w:rPr>
            </w:pPr>
          </w:p>
        </w:tc>
        <w:tc>
          <w:tcPr>
            <w:tcW w:w="1021" w:type="dxa"/>
            <w:tcBorders>
              <w:top w:val="single" w:sz="4" w:space="0" w:color="A59C94"/>
              <w:bottom w:val="single" w:sz="16" w:space="0" w:color="991D85"/>
            </w:tcBorders>
            <w:noWrap/>
            <w:vAlign w:val="bottom"/>
          </w:tcPr>
          <w:p w14:paraId="5B634EDC" w14:textId="77777777" w:rsidR="00D06894" w:rsidRPr="00D90082" w:rsidRDefault="00D06894" w:rsidP="003B0CA5">
            <w:pPr>
              <w:pStyle w:val="TBodytotalNumber"/>
              <w:rPr>
                <w:lang w:val="pt-BR"/>
              </w:rPr>
            </w:pPr>
            <w:r w:rsidRPr="00D90082">
              <w:rPr>
                <w:lang w:val="pt-BR"/>
              </w:rPr>
              <w:t>26</w:t>
            </w:r>
          </w:p>
        </w:tc>
        <w:tc>
          <w:tcPr>
            <w:tcW w:w="119" w:type="dxa"/>
            <w:tcBorders>
              <w:bottom w:val="single" w:sz="16" w:space="0" w:color="991D85"/>
            </w:tcBorders>
            <w:noWrap/>
            <w:vAlign w:val="bottom"/>
          </w:tcPr>
          <w:p w14:paraId="0BD54416" w14:textId="77777777" w:rsidR="00D06894" w:rsidRPr="00D90082" w:rsidRDefault="00D06894" w:rsidP="003B0CA5">
            <w:pPr>
              <w:pStyle w:val="TBodytotalNumber"/>
              <w:rPr>
                <w:lang w:val="pt-BR"/>
              </w:rPr>
            </w:pPr>
          </w:p>
        </w:tc>
        <w:tc>
          <w:tcPr>
            <w:tcW w:w="1021" w:type="dxa"/>
            <w:tcBorders>
              <w:top w:val="single" w:sz="4" w:space="0" w:color="A59C94"/>
              <w:bottom w:val="single" w:sz="16" w:space="0" w:color="991D85"/>
            </w:tcBorders>
            <w:noWrap/>
            <w:vAlign w:val="bottom"/>
          </w:tcPr>
          <w:p w14:paraId="0FA1C4A1" w14:textId="77777777" w:rsidR="00D06894" w:rsidRPr="00D90082" w:rsidRDefault="00D06894" w:rsidP="003B0CA5">
            <w:pPr>
              <w:pStyle w:val="TBodytotalNumber"/>
              <w:rPr>
                <w:lang w:val="pt-BR"/>
              </w:rPr>
            </w:pPr>
            <w:r w:rsidRPr="00D90082">
              <w:rPr>
                <w:lang w:val="pt-BR"/>
              </w:rPr>
              <w:t>645</w:t>
            </w:r>
          </w:p>
        </w:tc>
        <w:tc>
          <w:tcPr>
            <w:tcW w:w="119" w:type="dxa"/>
            <w:tcBorders>
              <w:bottom w:val="single" w:sz="16" w:space="0" w:color="991D85"/>
            </w:tcBorders>
            <w:noWrap/>
            <w:vAlign w:val="bottom"/>
          </w:tcPr>
          <w:p w14:paraId="4C0116A6" w14:textId="77777777" w:rsidR="00D06894" w:rsidRPr="00D90082" w:rsidRDefault="00D06894" w:rsidP="003B0CA5">
            <w:pPr>
              <w:pStyle w:val="TBodytotalNumber"/>
              <w:rPr>
                <w:lang w:val="pt-BR"/>
              </w:rPr>
            </w:pPr>
          </w:p>
        </w:tc>
        <w:tc>
          <w:tcPr>
            <w:tcW w:w="1021" w:type="dxa"/>
            <w:tcBorders>
              <w:top w:val="single" w:sz="4" w:space="0" w:color="A59C94"/>
              <w:bottom w:val="single" w:sz="16" w:space="0" w:color="991D85"/>
            </w:tcBorders>
            <w:shd w:val="clear" w:color="000000" w:fill="DAD5C9"/>
            <w:noWrap/>
            <w:vAlign w:val="bottom"/>
          </w:tcPr>
          <w:p w14:paraId="60CEC70E" w14:textId="77777777" w:rsidR="00D06894" w:rsidRPr="00D90082" w:rsidRDefault="00D06894" w:rsidP="003B0CA5">
            <w:pPr>
              <w:pStyle w:val="TBodytotalNumber"/>
              <w:rPr>
                <w:lang w:val="pt-BR"/>
              </w:rPr>
            </w:pPr>
            <w:r w:rsidRPr="00D90082">
              <w:rPr>
                <w:lang w:val="pt-BR"/>
              </w:rPr>
              <w:t>615</w:t>
            </w:r>
          </w:p>
        </w:tc>
        <w:tc>
          <w:tcPr>
            <w:tcW w:w="119" w:type="dxa"/>
            <w:tcBorders>
              <w:bottom w:val="single" w:sz="16" w:space="0" w:color="991D85"/>
            </w:tcBorders>
            <w:noWrap/>
            <w:vAlign w:val="bottom"/>
          </w:tcPr>
          <w:p w14:paraId="77B73B60" w14:textId="77777777" w:rsidR="00D06894" w:rsidRPr="00D90082" w:rsidRDefault="00D06894" w:rsidP="003B0CA5">
            <w:pPr>
              <w:pStyle w:val="TBodytotalNumber"/>
              <w:rPr>
                <w:lang w:val="pt-BR"/>
              </w:rPr>
            </w:pPr>
          </w:p>
        </w:tc>
        <w:tc>
          <w:tcPr>
            <w:tcW w:w="1021" w:type="dxa"/>
            <w:tcBorders>
              <w:top w:val="single" w:sz="4" w:space="0" w:color="A59C94"/>
              <w:bottom w:val="single" w:sz="16" w:space="0" w:color="991D85"/>
            </w:tcBorders>
            <w:noWrap/>
            <w:vAlign w:val="bottom"/>
          </w:tcPr>
          <w:p w14:paraId="4B6DC32B" w14:textId="77777777" w:rsidR="00D06894" w:rsidRPr="00D90082" w:rsidRDefault="00D06894" w:rsidP="003B0CA5">
            <w:pPr>
              <w:pStyle w:val="TBodytotalNumber"/>
              <w:rPr>
                <w:lang w:val="pt-BR"/>
              </w:rPr>
            </w:pPr>
            <w:r w:rsidRPr="00D90082">
              <w:rPr>
                <w:lang w:val="pt-BR"/>
              </w:rPr>
              <w:t>-5</w:t>
            </w:r>
          </w:p>
        </w:tc>
      </w:tr>
      <w:bookmarkEnd w:id="1"/>
    </w:tbl>
    <w:p w14:paraId="3E06A99E" w14:textId="77777777" w:rsidR="00D06894" w:rsidRPr="00D90082" w:rsidRDefault="00D06894" w:rsidP="00D06894"/>
    <w:p w14:paraId="20A5E13A" w14:textId="77777777" w:rsidR="00D06894" w:rsidRPr="0067174A" w:rsidRDefault="00D06894" w:rsidP="00D06894">
      <w:pPr>
        <w:rPr>
          <w:lang w:val="en-US"/>
        </w:rPr>
      </w:pPr>
      <w:bookmarkStart w:id="10" w:name="_Hlk37164917"/>
    </w:p>
    <w:bookmarkEnd w:id="10"/>
    <w:p w14:paraId="16BE24D9" w14:textId="77777777" w:rsidR="00D06894" w:rsidRPr="0067174A" w:rsidRDefault="00D06894" w:rsidP="00D06894">
      <w:pPr>
        <w:rPr>
          <w:lang w:val="en-US"/>
        </w:rPr>
      </w:pPr>
    </w:p>
    <w:tbl>
      <w:tblPr>
        <w:tblW w:w="9752" w:type="dxa"/>
        <w:tblLayout w:type="fixed"/>
        <w:tblCellMar>
          <w:left w:w="0" w:type="dxa"/>
          <w:right w:w="0" w:type="dxa"/>
        </w:tblCellMar>
        <w:tblLook w:val="04A0" w:firstRow="1" w:lastRow="0" w:firstColumn="1" w:lastColumn="0" w:noHBand="0" w:noVBand="1"/>
        <w:tblCaption w:val="Pressemitteilung - Tabelle en!outarea_halbjahr"/>
        <w:tblDescription w:val="SNEID_c62dec0fc810469592f6cb012e699811"/>
      </w:tblPr>
      <w:tblGrid>
        <w:gridCol w:w="2912"/>
        <w:gridCol w:w="119"/>
        <w:gridCol w:w="1021"/>
        <w:gridCol w:w="119"/>
        <w:gridCol w:w="1021"/>
        <w:gridCol w:w="119"/>
        <w:gridCol w:w="1021"/>
        <w:gridCol w:w="119"/>
        <w:gridCol w:w="1021"/>
        <w:gridCol w:w="119"/>
        <w:gridCol w:w="1021"/>
        <w:gridCol w:w="119"/>
        <w:gridCol w:w="1021"/>
      </w:tblGrid>
      <w:tr w:rsidR="00D06894" w:rsidRPr="00277A9B" w14:paraId="476F72FC" w14:textId="77777777" w:rsidTr="003B0CA5">
        <w:tc>
          <w:tcPr>
            <w:tcW w:w="9754" w:type="dxa"/>
            <w:gridSpan w:val="13"/>
            <w:noWrap/>
            <w:vAlign w:val="bottom"/>
          </w:tcPr>
          <w:p w14:paraId="179843D8" w14:textId="3435D030" w:rsidR="00D06894" w:rsidRPr="000B4B5A" w:rsidRDefault="00D90082" w:rsidP="003B0CA5">
            <w:pPr>
              <w:pStyle w:val="TTitleText"/>
              <w:rPr>
                <w:lang w:val="pt-BR"/>
              </w:rPr>
            </w:pPr>
            <w:bookmarkStart w:id="11" w:name="SNEID_c62dec0fc810469592f6cb012e699811"/>
            <w:r w:rsidRPr="000B4B5A">
              <w:rPr>
                <w:lang w:val="pt-BR"/>
              </w:rPr>
              <w:t xml:space="preserve">Desempenho por Divisão </w:t>
            </w:r>
            <w:r w:rsidR="00D06894" w:rsidRPr="000B4B5A">
              <w:rPr>
                <w:lang w:val="pt-BR"/>
              </w:rPr>
              <w:t xml:space="preserve">– </w:t>
            </w:r>
            <w:r w:rsidRPr="000B4B5A">
              <w:rPr>
                <w:lang w:val="pt-BR"/>
              </w:rPr>
              <w:t>Primeiros nove meses</w:t>
            </w:r>
          </w:p>
        </w:tc>
      </w:tr>
      <w:tr w:rsidR="00D06894" w:rsidRPr="00277A9B" w14:paraId="487798B9" w14:textId="77777777" w:rsidTr="003B0CA5">
        <w:tc>
          <w:tcPr>
            <w:tcW w:w="2914" w:type="dxa"/>
            <w:tcBorders>
              <w:top w:val="single" w:sz="8" w:space="0" w:color="000000"/>
            </w:tcBorders>
            <w:noWrap/>
            <w:vAlign w:val="bottom"/>
          </w:tcPr>
          <w:p w14:paraId="199B0C42" w14:textId="77777777" w:rsidR="00D06894" w:rsidRPr="000B4B5A" w:rsidRDefault="00D06894" w:rsidP="003B0CA5">
            <w:pPr>
              <w:pStyle w:val="TDummy"/>
              <w:keepNext/>
              <w:rPr>
                <w:lang w:val="pt-BR"/>
              </w:rPr>
            </w:pPr>
          </w:p>
        </w:tc>
        <w:tc>
          <w:tcPr>
            <w:tcW w:w="119" w:type="dxa"/>
            <w:tcBorders>
              <w:top w:val="single" w:sz="8" w:space="0" w:color="000000"/>
            </w:tcBorders>
            <w:noWrap/>
            <w:vAlign w:val="bottom"/>
          </w:tcPr>
          <w:p w14:paraId="6C320A3A" w14:textId="77777777" w:rsidR="00D06894" w:rsidRPr="000B4B5A" w:rsidRDefault="00D06894" w:rsidP="003B0CA5">
            <w:pPr>
              <w:pStyle w:val="TDummy"/>
              <w:keepNext/>
              <w:rPr>
                <w:lang w:val="pt-BR"/>
              </w:rPr>
            </w:pPr>
          </w:p>
        </w:tc>
        <w:tc>
          <w:tcPr>
            <w:tcW w:w="1021" w:type="dxa"/>
            <w:tcBorders>
              <w:top w:val="single" w:sz="8" w:space="0" w:color="000000"/>
            </w:tcBorders>
            <w:noWrap/>
            <w:vAlign w:val="bottom"/>
          </w:tcPr>
          <w:p w14:paraId="56BF537F" w14:textId="77777777" w:rsidR="00D06894" w:rsidRPr="000B4B5A" w:rsidRDefault="00D06894" w:rsidP="003B0CA5">
            <w:pPr>
              <w:pStyle w:val="TDummy"/>
              <w:keepNext/>
              <w:rPr>
                <w:lang w:val="pt-BR"/>
              </w:rPr>
            </w:pPr>
          </w:p>
        </w:tc>
        <w:tc>
          <w:tcPr>
            <w:tcW w:w="119" w:type="dxa"/>
            <w:tcBorders>
              <w:top w:val="single" w:sz="8" w:space="0" w:color="000000"/>
            </w:tcBorders>
            <w:noWrap/>
            <w:vAlign w:val="bottom"/>
          </w:tcPr>
          <w:p w14:paraId="04F315DE" w14:textId="77777777" w:rsidR="00D06894" w:rsidRPr="000B4B5A" w:rsidRDefault="00D06894" w:rsidP="003B0CA5">
            <w:pPr>
              <w:pStyle w:val="TDummy"/>
              <w:keepNext/>
              <w:rPr>
                <w:lang w:val="pt-BR"/>
              </w:rPr>
            </w:pPr>
          </w:p>
        </w:tc>
        <w:tc>
          <w:tcPr>
            <w:tcW w:w="1021" w:type="dxa"/>
            <w:tcBorders>
              <w:top w:val="single" w:sz="8" w:space="0" w:color="000000"/>
            </w:tcBorders>
            <w:noWrap/>
            <w:vAlign w:val="bottom"/>
          </w:tcPr>
          <w:p w14:paraId="7C9A9A3F" w14:textId="77777777" w:rsidR="00D06894" w:rsidRPr="000B4B5A" w:rsidRDefault="00D06894" w:rsidP="003B0CA5">
            <w:pPr>
              <w:pStyle w:val="TDummy"/>
              <w:keepNext/>
              <w:rPr>
                <w:lang w:val="pt-BR"/>
              </w:rPr>
            </w:pPr>
          </w:p>
        </w:tc>
        <w:tc>
          <w:tcPr>
            <w:tcW w:w="119" w:type="dxa"/>
            <w:tcBorders>
              <w:top w:val="single" w:sz="8" w:space="0" w:color="000000"/>
            </w:tcBorders>
            <w:noWrap/>
            <w:vAlign w:val="bottom"/>
          </w:tcPr>
          <w:p w14:paraId="521C505B" w14:textId="77777777" w:rsidR="00D06894" w:rsidRPr="000B4B5A" w:rsidRDefault="00D06894" w:rsidP="003B0CA5">
            <w:pPr>
              <w:pStyle w:val="TDummy"/>
              <w:keepNext/>
              <w:rPr>
                <w:lang w:val="pt-BR"/>
              </w:rPr>
            </w:pPr>
          </w:p>
        </w:tc>
        <w:tc>
          <w:tcPr>
            <w:tcW w:w="1021" w:type="dxa"/>
            <w:tcBorders>
              <w:top w:val="single" w:sz="8" w:space="0" w:color="000000"/>
            </w:tcBorders>
            <w:noWrap/>
            <w:vAlign w:val="bottom"/>
          </w:tcPr>
          <w:p w14:paraId="23439B70" w14:textId="77777777" w:rsidR="00D06894" w:rsidRPr="000B4B5A" w:rsidRDefault="00D06894" w:rsidP="003B0CA5">
            <w:pPr>
              <w:pStyle w:val="TDummy"/>
              <w:keepNext/>
              <w:rPr>
                <w:lang w:val="pt-BR"/>
              </w:rPr>
            </w:pPr>
          </w:p>
        </w:tc>
        <w:tc>
          <w:tcPr>
            <w:tcW w:w="119" w:type="dxa"/>
            <w:tcBorders>
              <w:top w:val="single" w:sz="8" w:space="0" w:color="000000"/>
            </w:tcBorders>
            <w:noWrap/>
            <w:vAlign w:val="bottom"/>
          </w:tcPr>
          <w:p w14:paraId="73AECC22" w14:textId="77777777" w:rsidR="00D06894" w:rsidRPr="000B4B5A" w:rsidRDefault="00D06894" w:rsidP="003B0CA5">
            <w:pPr>
              <w:pStyle w:val="TDummy"/>
              <w:keepNext/>
              <w:rPr>
                <w:lang w:val="pt-BR"/>
              </w:rPr>
            </w:pPr>
          </w:p>
        </w:tc>
        <w:tc>
          <w:tcPr>
            <w:tcW w:w="1021" w:type="dxa"/>
            <w:tcBorders>
              <w:top w:val="single" w:sz="8" w:space="0" w:color="000000"/>
            </w:tcBorders>
            <w:noWrap/>
            <w:vAlign w:val="bottom"/>
          </w:tcPr>
          <w:p w14:paraId="13DA3A40" w14:textId="77777777" w:rsidR="00D06894" w:rsidRPr="000B4B5A" w:rsidRDefault="00D06894" w:rsidP="003B0CA5">
            <w:pPr>
              <w:pStyle w:val="TDummy"/>
              <w:keepNext/>
              <w:rPr>
                <w:lang w:val="pt-BR"/>
              </w:rPr>
            </w:pPr>
          </w:p>
        </w:tc>
        <w:tc>
          <w:tcPr>
            <w:tcW w:w="119" w:type="dxa"/>
            <w:tcBorders>
              <w:top w:val="single" w:sz="8" w:space="0" w:color="000000"/>
            </w:tcBorders>
            <w:noWrap/>
            <w:vAlign w:val="bottom"/>
          </w:tcPr>
          <w:p w14:paraId="35F97381" w14:textId="77777777" w:rsidR="00D06894" w:rsidRPr="000B4B5A" w:rsidRDefault="00D06894" w:rsidP="003B0CA5">
            <w:pPr>
              <w:pStyle w:val="TDummy"/>
              <w:keepNext/>
              <w:rPr>
                <w:lang w:val="pt-BR"/>
              </w:rPr>
            </w:pPr>
          </w:p>
        </w:tc>
        <w:tc>
          <w:tcPr>
            <w:tcW w:w="1021" w:type="dxa"/>
            <w:tcBorders>
              <w:top w:val="single" w:sz="8" w:space="0" w:color="000000"/>
            </w:tcBorders>
            <w:noWrap/>
            <w:vAlign w:val="bottom"/>
          </w:tcPr>
          <w:p w14:paraId="3DD0F5ED" w14:textId="77777777" w:rsidR="00D06894" w:rsidRPr="000B4B5A" w:rsidRDefault="00D06894" w:rsidP="003B0CA5">
            <w:pPr>
              <w:pStyle w:val="TDummy"/>
              <w:keepNext/>
              <w:rPr>
                <w:lang w:val="pt-BR"/>
              </w:rPr>
            </w:pPr>
          </w:p>
        </w:tc>
        <w:tc>
          <w:tcPr>
            <w:tcW w:w="119" w:type="dxa"/>
            <w:tcBorders>
              <w:top w:val="single" w:sz="8" w:space="0" w:color="000000"/>
            </w:tcBorders>
            <w:noWrap/>
            <w:vAlign w:val="bottom"/>
          </w:tcPr>
          <w:p w14:paraId="14776BAD" w14:textId="77777777" w:rsidR="00D06894" w:rsidRPr="000B4B5A" w:rsidRDefault="00D06894" w:rsidP="003B0CA5">
            <w:pPr>
              <w:pStyle w:val="TDummy"/>
              <w:keepNext/>
              <w:rPr>
                <w:lang w:val="pt-BR"/>
              </w:rPr>
            </w:pPr>
          </w:p>
        </w:tc>
        <w:tc>
          <w:tcPr>
            <w:tcW w:w="1021" w:type="dxa"/>
            <w:tcBorders>
              <w:top w:val="single" w:sz="8" w:space="0" w:color="000000"/>
            </w:tcBorders>
            <w:noWrap/>
            <w:vAlign w:val="bottom"/>
          </w:tcPr>
          <w:p w14:paraId="446A98E0" w14:textId="77777777" w:rsidR="00D06894" w:rsidRPr="000B4B5A" w:rsidRDefault="00D06894" w:rsidP="003B0CA5">
            <w:pPr>
              <w:pStyle w:val="TDummy"/>
              <w:keepNext/>
              <w:rPr>
                <w:lang w:val="pt-BR"/>
              </w:rPr>
            </w:pPr>
          </w:p>
        </w:tc>
      </w:tr>
      <w:tr w:rsidR="00D06894" w14:paraId="44589325" w14:textId="77777777" w:rsidTr="003B0CA5">
        <w:tc>
          <w:tcPr>
            <w:tcW w:w="2914" w:type="dxa"/>
            <w:shd w:val="clear" w:color="000000" w:fill="FFFFFF"/>
            <w:noWrap/>
            <w:vAlign w:val="bottom"/>
          </w:tcPr>
          <w:p w14:paraId="2F2AD8C2" w14:textId="77777777" w:rsidR="00D06894" w:rsidRPr="000B4B5A" w:rsidRDefault="00D06894" w:rsidP="003B0CA5">
            <w:pPr>
              <w:pStyle w:val="THeadfirstNumber"/>
              <w:rPr>
                <w:lang w:val="pt-BR"/>
              </w:rPr>
            </w:pPr>
            <w:bookmarkStart w:id="12" w:name="RANGE!B37:N37"/>
            <w:bookmarkStart w:id="13" w:name="RANGE!B37"/>
            <w:bookmarkEnd w:id="12"/>
            <w:bookmarkEnd w:id="13"/>
          </w:p>
        </w:tc>
        <w:tc>
          <w:tcPr>
            <w:tcW w:w="119" w:type="dxa"/>
            <w:noWrap/>
            <w:vAlign w:val="bottom"/>
          </w:tcPr>
          <w:p w14:paraId="19CA655E" w14:textId="77777777" w:rsidR="00D06894" w:rsidRPr="000B4B5A" w:rsidRDefault="00D06894" w:rsidP="003B0CA5">
            <w:pPr>
              <w:pStyle w:val="THeadfirstNumber"/>
              <w:rPr>
                <w:lang w:val="pt-BR"/>
              </w:rPr>
            </w:pPr>
          </w:p>
        </w:tc>
        <w:tc>
          <w:tcPr>
            <w:tcW w:w="3301" w:type="dxa"/>
            <w:gridSpan w:val="5"/>
            <w:tcBorders>
              <w:bottom w:val="single" w:sz="4" w:space="0" w:color="A59C94"/>
            </w:tcBorders>
            <w:shd w:val="clear" w:color="000000" w:fill="FFFFFF"/>
            <w:vAlign w:val="bottom"/>
          </w:tcPr>
          <w:p w14:paraId="049F874A" w14:textId="68EA8975" w:rsidR="00D06894" w:rsidRPr="000B4B5A" w:rsidRDefault="008729E6" w:rsidP="003B0CA5">
            <w:pPr>
              <w:pStyle w:val="THeadfirstNumber"/>
              <w:rPr>
                <w:lang w:val="pt-BR"/>
              </w:rPr>
            </w:pPr>
            <w:r w:rsidRPr="000B4B5A">
              <w:rPr>
                <w:lang w:val="pt-BR"/>
              </w:rPr>
              <w:t>Vendas</w:t>
            </w:r>
          </w:p>
        </w:tc>
        <w:tc>
          <w:tcPr>
            <w:tcW w:w="119" w:type="dxa"/>
            <w:vAlign w:val="bottom"/>
          </w:tcPr>
          <w:p w14:paraId="7715E7F0" w14:textId="77777777" w:rsidR="00D06894" w:rsidRPr="000B4B5A" w:rsidRDefault="00D06894" w:rsidP="003B0CA5">
            <w:pPr>
              <w:pStyle w:val="THeadfirstNumber"/>
              <w:rPr>
                <w:lang w:val="pt-BR"/>
              </w:rPr>
            </w:pPr>
          </w:p>
        </w:tc>
        <w:tc>
          <w:tcPr>
            <w:tcW w:w="3301" w:type="dxa"/>
            <w:gridSpan w:val="5"/>
            <w:tcBorders>
              <w:bottom w:val="single" w:sz="4" w:space="0" w:color="A59C94"/>
            </w:tcBorders>
            <w:shd w:val="clear" w:color="000000" w:fill="FFFFFF"/>
            <w:vAlign w:val="bottom"/>
          </w:tcPr>
          <w:p w14:paraId="1E6FDC06" w14:textId="4EE46FF6" w:rsidR="00D06894" w:rsidRPr="000B4B5A" w:rsidRDefault="00D06894" w:rsidP="003B0CA5">
            <w:pPr>
              <w:pStyle w:val="THeadfirstNumber"/>
              <w:rPr>
                <w:lang w:val="pt-BR"/>
              </w:rPr>
            </w:pPr>
            <w:r w:rsidRPr="000B4B5A">
              <w:rPr>
                <w:lang w:val="pt-BR"/>
              </w:rPr>
              <w:t>EBITDA</w:t>
            </w:r>
            <w:r w:rsidR="00D90082" w:rsidRPr="000B4B5A">
              <w:rPr>
                <w:lang w:val="pt-BR"/>
              </w:rPr>
              <w:t xml:space="preserve"> ajustado</w:t>
            </w:r>
          </w:p>
        </w:tc>
      </w:tr>
      <w:tr w:rsidR="00D06894" w14:paraId="2871EDC3" w14:textId="77777777" w:rsidTr="003B0CA5">
        <w:tc>
          <w:tcPr>
            <w:tcW w:w="2914" w:type="dxa"/>
            <w:tcBorders>
              <w:bottom w:val="single" w:sz="4" w:space="0" w:color="000000"/>
            </w:tcBorders>
            <w:shd w:val="clear" w:color="000000" w:fill="FFFFFF"/>
            <w:noWrap/>
            <w:vAlign w:val="bottom"/>
          </w:tcPr>
          <w:p w14:paraId="1511B86D" w14:textId="55FB4E92" w:rsidR="00D06894" w:rsidRPr="000B4B5A" w:rsidRDefault="00D90082" w:rsidP="003B0CA5">
            <w:pPr>
              <w:pStyle w:val="THeadlastText"/>
              <w:rPr>
                <w:lang w:val="pt-BR"/>
              </w:rPr>
            </w:pPr>
            <w:r w:rsidRPr="000B4B5A">
              <w:rPr>
                <w:lang w:val="pt-BR"/>
              </w:rPr>
              <w:t>em milhões de euros</w:t>
            </w:r>
          </w:p>
        </w:tc>
        <w:tc>
          <w:tcPr>
            <w:tcW w:w="119" w:type="dxa"/>
            <w:noWrap/>
            <w:vAlign w:val="bottom"/>
          </w:tcPr>
          <w:p w14:paraId="63DCFA19" w14:textId="77777777" w:rsidR="00D06894" w:rsidRPr="000B4B5A" w:rsidRDefault="00D06894" w:rsidP="003B0CA5">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2F737C61" w14:textId="77777777" w:rsidR="00D06894" w:rsidRPr="000B4B5A" w:rsidRDefault="00D06894" w:rsidP="003B0CA5">
            <w:pPr>
              <w:pStyle w:val="THeadlastNumber"/>
              <w:rPr>
                <w:lang w:val="pt-BR"/>
              </w:rPr>
            </w:pPr>
            <w:r w:rsidRPr="000B4B5A">
              <w:rPr>
                <w:lang w:val="pt-BR"/>
              </w:rPr>
              <w:t>2021</w:t>
            </w:r>
          </w:p>
        </w:tc>
        <w:tc>
          <w:tcPr>
            <w:tcW w:w="119" w:type="dxa"/>
            <w:vAlign w:val="bottom"/>
          </w:tcPr>
          <w:p w14:paraId="7C777345" w14:textId="77777777" w:rsidR="00D06894" w:rsidRPr="000B4B5A" w:rsidRDefault="00D06894" w:rsidP="003B0CA5">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0D8E1CB3" w14:textId="77777777" w:rsidR="00D06894" w:rsidRPr="000B4B5A" w:rsidRDefault="00D06894" w:rsidP="003B0CA5">
            <w:pPr>
              <w:pStyle w:val="THeadlastNumberbold"/>
              <w:rPr>
                <w:lang w:val="pt-BR"/>
              </w:rPr>
            </w:pPr>
            <w:bookmarkStart w:id="14" w:name="RANGE!F38:F45"/>
            <w:bookmarkEnd w:id="14"/>
            <w:r w:rsidRPr="000B4B5A">
              <w:rPr>
                <w:lang w:val="pt-BR"/>
              </w:rPr>
              <w:t>2022</w:t>
            </w:r>
          </w:p>
        </w:tc>
        <w:tc>
          <w:tcPr>
            <w:tcW w:w="119" w:type="dxa"/>
            <w:vAlign w:val="bottom"/>
          </w:tcPr>
          <w:p w14:paraId="1FEFB19B" w14:textId="77777777" w:rsidR="00D06894" w:rsidRPr="000B4B5A" w:rsidRDefault="00D06894" w:rsidP="003B0CA5">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497D5216" w14:textId="2F806536" w:rsidR="00D06894" w:rsidRPr="000B4B5A" w:rsidRDefault="008729E6" w:rsidP="003B0CA5">
            <w:pPr>
              <w:pStyle w:val="THeaddifferenceNumber"/>
              <w:keepNext/>
              <w:rPr>
                <w:lang w:val="pt-BR"/>
              </w:rPr>
            </w:pPr>
            <w:bookmarkStart w:id="15" w:name="RANGE!H38:H45"/>
            <w:bookmarkEnd w:id="15"/>
            <w:r w:rsidRPr="000B4B5A">
              <w:rPr>
                <w:lang w:val="pt-BR"/>
              </w:rPr>
              <w:t>Variação em %</w:t>
            </w:r>
          </w:p>
        </w:tc>
        <w:tc>
          <w:tcPr>
            <w:tcW w:w="119" w:type="dxa"/>
            <w:vAlign w:val="bottom"/>
          </w:tcPr>
          <w:p w14:paraId="67C2FA78" w14:textId="77777777" w:rsidR="00D06894" w:rsidRPr="000B4B5A" w:rsidRDefault="00D06894" w:rsidP="003B0CA5">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3E0FBDB0" w14:textId="77777777" w:rsidR="00D06894" w:rsidRPr="000B4B5A" w:rsidRDefault="00D06894" w:rsidP="003B0CA5">
            <w:pPr>
              <w:pStyle w:val="THeadlastNumber"/>
              <w:rPr>
                <w:lang w:val="pt-BR"/>
              </w:rPr>
            </w:pPr>
            <w:r w:rsidRPr="000B4B5A">
              <w:rPr>
                <w:lang w:val="pt-BR"/>
              </w:rPr>
              <w:t>2021</w:t>
            </w:r>
          </w:p>
        </w:tc>
        <w:tc>
          <w:tcPr>
            <w:tcW w:w="119" w:type="dxa"/>
            <w:vAlign w:val="bottom"/>
          </w:tcPr>
          <w:p w14:paraId="7CECD895" w14:textId="77777777" w:rsidR="00D06894" w:rsidRPr="000B4B5A" w:rsidRDefault="00D06894" w:rsidP="003B0CA5">
            <w:pPr>
              <w:pStyle w:val="THeadlastNumber"/>
              <w:rPr>
                <w:lang w:val="pt-BR"/>
              </w:rPr>
            </w:pPr>
          </w:p>
        </w:tc>
        <w:tc>
          <w:tcPr>
            <w:tcW w:w="1021" w:type="dxa"/>
            <w:tcBorders>
              <w:top w:val="single" w:sz="4" w:space="0" w:color="A59C94"/>
              <w:bottom w:val="single" w:sz="4" w:space="0" w:color="000000"/>
            </w:tcBorders>
            <w:shd w:val="clear" w:color="000000" w:fill="FFFFFF"/>
            <w:vAlign w:val="bottom"/>
          </w:tcPr>
          <w:p w14:paraId="253DCF8E" w14:textId="77777777" w:rsidR="00D06894" w:rsidRPr="000B4B5A" w:rsidRDefault="00D06894" w:rsidP="003B0CA5">
            <w:pPr>
              <w:pStyle w:val="THeadlastNumberbold"/>
              <w:rPr>
                <w:lang w:val="pt-BR"/>
              </w:rPr>
            </w:pPr>
            <w:bookmarkStart w:id="16" w:name="RANGE!L38:L45"/>
            <w:bookmarkEnd w:id="16"/>
            <w:r w:rsidRPr="000B4B5A">
              <w:rPr>
                <w:lang w:val="pt-BR"/>
              </w:rPr>
              <w:t>2022</w:t>
            </w:r>
          </w:p>
        </w:tc>
        <w:tc>
          <w:tcPr>
            <w:tcW w:w="119" w:type="dxa"/>
            <w:vAlign w:val="bottom"/>
          </w:tcPr>
          <w:p w14:paraId="4F504524" w14:textId="77777777" w:rsidR="00D06894" w:rsidRPr="000B4B5A" w:rsidRDefault="00D06894" w:rsidP="003B0CA5">
            <w:pPr>
              <w:pStyle w:val="THeadlastNumber"/>
              <w:rPr>
                <w:lang w:val="pt-BR"/>
              </w:rPr>
            </w:pPr>
          </w:p>
        </w:tc>
        <w:tc>
          <w:tcPr>
            <w:tcW w:w="1021" w:type="dxa"/>
            <w:tcBorders>
              <w:top w:val="single" w:sz="4" w:space="0" w:color="A59C94"/>
              <w:bottom w:val="single" w:sz="4" w:space="0" w:color="000000"/>
            </w:tcBorders>
            <w:shd w:val="clear" w:color="000000" w:fill="FFFFFF"/>
            <w:noWrap/>
            <w:vAlign w:val="bottom"/>
          </w:tcPr>
          <w:p w14:paraId="557945A7" w14:textId="7BBB5862" w:rsidR="00D06894" w:rsidRPr="000B4B5A" w:rsidRDefault="008729E6" w:rsidP="003B0CA5">
            <w:pPr>
              <w:pStyle w:val="THeaddifferenceNumber"/>
              <w:keepNext/>
              <w:rPr>
                <w:lang w:val="pt-BR"/>
              </w:rPr>
            </w:pPr>
            <w:bookmarkStart w:id="17" w:name="RANGE!N38:N45"/>
            <w:bookmarkEnd w:id="17"/>
            <w:r w:rsidRPr="000B4B5A">
              <w:rPr>
                <w:lang w:val="pt-BR"/>
              </w:rPr>
              <w:t>Variação em %</w:t>
            </w:r>
          </w:p>
        </w:tc>
      </w:tr>
      <w:tr w:rsidR="00D06894" w14:paraId="1FC167B9" w14:textId="77777777" w:rsidTr="003B0CA5">
        <w:tc>
          <w:tcPr>
            <w:tcW w:w="2914" w:type="dxa"/>
            <w:tcBorders>
              <w:top w:val="single" w:sz="4" w:space="0" w:color="000000"/>
              <w:bottom w:val="single" w:sz="4" w:space="0" w:color="A59C94"/>
            </w:tcBorders>
            <w:noWrap/>
            <w:vAlign w:val="bottom"/>
          </w:tcPr>
          <w:p w14:paraId="35BB205E" w14:textId="77777777" w:rsidR="00D06894" w:rsidRPr="000B4B5A" w:rsidRDefault="00D06894" w:rsidP="003B0CA5">
            <w:pPr>
              <w:pStyle w:val="TBodynormalText"/>
              <w:rPr>
                <w:lang w:val="pt-BR"/>
              </w:rPr>
            </w:pPr>
            <w:proofErr w:type="spellStart"/>
            <w:r w:rsidRPr="000B4B5A">
              <w:rPr>
                <w:lang w:val="pt-BR"/>
              </w:rPr>
              <w:t>Specialty</w:t>
            </w:r>
            <w:proofErr w:type="spellEnd"/>
            <w:r w:rsidRPr="000B4B5A">
              <w:rPr>
                <w:lang w:val="pt-BR"/>
              </w:rPr>
              <w:t xml:space="preserve"> </w:t>
            </w:r>
            <w:proofErr w:type="spellStart"/>
            <w:r w:rsidRPr="000B4B5A">
              <w:rPr>
                <w:lang w:val="pt-BR"/>
              </w:rPr>
              <w:t>Additives</w:t>
            </w:r>
            <w:proofErr w:type="spellEnd"/>
          </w:p>
        </w:tc>
        <w:tc>
          <w:tcPr>
            <w:tcW w:w="119" w:type="dxa"/>
            <w:noWrap/>
            <w:vAlign w:val="bottom"/>
          </w:tcPr>
          <w:p w14:paraId="66D57769" w14:textId="77777777" w:rsidR="00D06894" w:rsidRPr="000B4B5A" w:rsidRDefault="00D06894" w:rsidP="003B0CA5">
            <w:pPr>
              <w:pStyle w:val="TBodynormalNumber"/>
              <w:keepNext/>
              <w:rPr>
                <w:lang w:val="pt-BR"/>
              </w:rPr>
            </w:pPr>
          </w:p>
        </w:tc>
        <w:tc>
          <w:tcPr>
            <w:tcW w:w="1021" w:type="dxa"/>
            <w:tcBorders>
              <w:top w:val="single" w:sz="4" w:space="0" w:color="000000"/>
              <w:bottom w:val="single" w:sz="4" w:space="0" w:color="A59C94"/>
            </w:tcBorders>
            <w:noWrap/>
            <w:vAlign w:val="bottom"/>
          </w:tcPr>
          <w:p w14:paraId="2652D901" w14:textId="4717D3DB" w:rsidR="00D06894" w:rsidRPr="000B4B5A" w:rsidRDefault="00D06894" w:rsidP="003B0CA5">
            <w:pPr>
              <w:pStyle w:val="TBodynormalNumber"/>
              <w:keepNext/>
              <w:rPr>
                <w:lang w:val="pt-BR"/>
              </w:rPr>
            </w:pPr>
            <w:r w:rsidRPr="000B4B5A">
              <w:rPr>
                <w:lang w:val="pt-BR"/>
              </w:rPr>
              <w:t>2</w:t>
            </w:r>
            <w:r w:rsidR="00D90082" w:rsidRPr="000B4B5A">
              <w:rPr>
                <w:lang w:val="pt-BR"/>
              </w:rPr>
              <w:t>.</w:t>
            </w:r>
            <w:r w:rsidRPr="000B4B5A">
              <w:rPr>
                <w:lang w:val="pt-BR"/>
              </w:rPr>
              <w:t>763</w:t>
            </w:r>
          </w:p>
        </w:tc>
        <w:tc>
          <w:tcPr>
            <w:tcW w:w="119" w:type="dxa"/>
            <w:noWrap/>
            <w:vAlign w:val="bottom"/>
          </w:tcPr>
          <w:p w14:paraId="535BB761" w14:textId="77777777" w:rsidR="00D06894" w:rsidRPr="000B4B5A" w:rsidRDefault="00D06894" w:rsidP="003B0CA5">
            <w:pPr>
              <w:pStyle w:val="TBodynormalNumber"/>
              <w:keepNext/>
              <w:rPr>
                <w:lang w:val="pt-BR"/>
              </w:rPr>
            </w:pPr>
          </w:p>
        </w:tc>
        <w:tc>
          <w:tcPr>
            <w:tcW w:w="1021" w:type="dxa"/>
            <w:tcBorders>
              <w:top w:val="single" w:sz="4" w:space="0" w:color="000000"/>
              <w:bottom w:val="single" w:sz="4" w:space="0" w:color="A59C94"/>
            </w:tcBorders>
            <w:shd w:val="clear" w:color="000000" w:fill="DAD5C9"/>
            <w:noWrap/>
            <w:vAlign w:val="bottom"/>
          </w:tcPr>
          <w:p w14:paraId="0096F10A" w14:textId="2602A329" w:rsidR="00D06894" w:rsidRPr="000B4B5A" w:rsidRDefault="00D06894" w:rsidP="003B0CA5">
            <w:pPr>
              <w:pStyle w:val="TBodynormalNumber"/>
              <w:keepNext/>
              <w:rPr>
                <w:lang w:val="pt-BR"/>
              </w:rPr>
            </w:pPr>
            <w:r w:rsidRPr="000B4B5A">
              <w:rPr>
                <w:lang w:val="pt-BR"/>
              </w:rPr>
              <w:t>3</w:t>
            </w:r>
            <w:r w:rsidR="000B4B5A" w:rsidRPr="000B4B5A">
              <w:rPr>
                <w:lang w:val="pt-BR"/>
              </w:rPr>
              <w:t>.</w:t>
            </w:r>
            <w:r w:rsidRPr="000B4B5A">
              <w:rPr>
                <w:lang w:val="pt-BR"/>
              </w:rPr>
              <w:t>278</w:t>
            </w:r>
          </w:p>
        </w:tc>
        <w:tc>
          <w:tcPr>
            <w:tcW w:w="119" w:type="dxa"/>
            <w:noWrap/>
            <w:vAlign w:val="bottom"/>
          </w:tcPr>
          <w:p w14:paraId="39A9B638" w14:textId="77777777" w:rsidR="00D06894" w:rsidRPr="000B4B5A" w:rsidRDefault="00D06894" w:rsidP="003B0CA5">
            <w:pPr>
              <w:pStyle w:val="TBodynormalNumber"/>
              <w:keepNext/>
              <w:rPr>
                <w:lang w:val="pt-BR"/>
              </w:rPr>
            </w:pPr>
          </w:p>
        </w:tc>
        <w:tc>
          <w:tcPr>
            <w:tcW w:w="1021" w:type="dxa"/>
            <w:tcBorders>
              <w:top w:val="single" w:sz="4" w:space="0" w:color="000000"/>
              <w:bottom w:val="single" w:sz="4" w:space="0" w:color="A59C94"/>
            </w:tcBorders>
            <w:noWrap/>
            <w:vAlign w:val="bottom"/>
          </w:tcPr>
          <w:p w14:paraId="3EC054EB" w14:textId="77777777" w:rsidR="00D06894" w:rsidRPr="000B4B5A" w:rsidRDefault="00D06894" w:rsidP="003B0CA5">
            <w:pPr>
              <w:pStyle w:val="TBodynormalNumber"/>
              <w:keepNext/>
              <w:rPr>
                <w:lang w:val="pt-BR"/>
              </w:rPr>
            </w:pPr>
            <w:r w:rsidRPr="000B4B5A">
              <w:rPr>
                <w:lang w:val="pt-BR"/>
              </w:rPr>
              <w:t>19</w:t>
            </w:r>
          </w:p>
        </w:tc>
        <w:tc>
          <w:tcPr>
            <w:tcW w:w="119" w:type="dxa"/>
            <w:noWrap/>
            <w:vAlign w:val="bottom"/>
          </w:tcPr>
          <w:p w14:paraId="738680C0" w14:textId="77777777" w:rsidR="00D06894" w:rsidRPr="000B4B5A" w:rsidRDefault="00D06894" w:rsidP="003B0CA5">
            <w:pPr>
              <w:pStyle w:val="TBodynormalNumber"/>
              <w:keepNext/>
              <w:rPr>
                <w:lang w:val="pt-BR"/>
              </w:rPr>
            </w:pPr>
          </w:p>
        </w:tc>
        <w:tc>
          <w:tcPr>
            <w:tcW w:w="1021" w:type="dxa"/>
            <w:tcBorders>
              <w:top w:val="single" w:sz="4" w:space="0" w:color="000000"/>
              <w:bottom w:val="single" w:sz="4" w:space="0" w:color="A59C94"/>
            </w:tcBorders>
            <w:noWrap/>
            <w:vAlign w:val="bottom"/>
          </w:tcPr>
          <w:p w14:paraId="0A064D99" w14:textId="77777777" w:rsidR="00D06894" w:rsidRPr="000B4B5A" w:rsidRDefault="00D06894" w:rsidP="003B0CA5">
            <w:pPr>
              <w:pStyle w:val="TBodynormalNumber"/>
              <w:keepNext/>
              <w:rPr>
                <w:lang w:val="pt-BR"/>
              </w:rPr>
            </w:pPr>
            <w:r w:rsidRPr="000B4B5A">
              <w:rPr>
                <w:lang w:val="pt-BR"/>
              </w:rPr>
              <w:t>739</w:t>
            </w:r>
          </w:p>
        </w:tc>
        <w:tc>
          <w:tcPr>
            <w:tcW w:w="119" w:type="dxa"/>
            <w:noWrap/>
            <w:vAlign w:val="bottom"/>
          </w:tcPr>
          <w:p w14:paraId="2EDBA633" w14:textId="77777777" w:rsidR="00D06894" w:rsidRPr="000B4B5A" w:rsidRDefault="00D06894" w:rsidP="003B0CA5">
            <w:pPr>
              <w:pStyle w:val="TBodynormalNumber"/>
              <w:keepNext/>
              <w:rPr>
                <w:lang w:val="pt-BR"/>
              </w:rPr>
            </w:pPr>
          </w:p>
        </w:tc>
        <w:tc>
          <w:tcPr>
            <w:tcW w:w="1021" w:type="dxa"/>
            <w:tcBorders>
              <w:top w:val="single" w:sz="4" w:space="0" w:color="000000"/>
              <w:bottom w:val="single" w:sz="4" w:space="0" w:color="A59C94"/>
            </w:tcBorders>
            <w:shd w:val="clear" w:color="000000" w:fill="DAD5C9"/>
            <w:noWrap/>
            <w:vAlign w:val="bottom"/>
          </w:tcPr>
          <w:p w14:paraId="3B83AE2C" w14:textId="77777777" w:rsidR="00D06894" w:rsidRPr="000B4B5A" w:rsidRDefault="00D06894" w:rsidP="003B0CA5">
            <w:pPr>
              <w:pStyle w:val="TBodynormalNumber"/>
              <w:keepNext/>
              <w:rPr>
                <w:lang w:val="pt-BR"/>
              </w:rPr>
            </w:pPr>
            <w:r w:rsidRPr="000B4B5A">
              <w:rPr>
                <w:lang w:val="pt-BR"/>
              </w:rPr>
              <w:t>758</w:t>
            </w:r>
          </w:p>
        </w:tc>
        <w:tc>
          <w:tcPr>
            <w:tcW w:w="119" w:type="dxa"/>
            <w:noWrap/>
            <w:vAlign w:val="bottom"/>
          </w:tcPr>
          <w:p w14:paraId="45BD97F0" w14:textId="77777777" w:rsidR="00D06894" w:rsidRPr="000B4B5A" w:rsidRDefault="00D06894" w:rsidP="003B0CA5">
            <w:pPr>
              <w:pStyle w:val="TBodynormalNumber"/>
              <w:keepNext/>
              <w:rPr>
                <w:lang w:val="pt-BR"/>
              </w:rPr>
            </w:pPr>
          </w:p>
        </w:tc>
        <w:tc>
          <w:tcPr>
            <w:tcW w:w="1021" w:type="dxa"/>
            <w:tcBorders>
              <w:top w:val="single" w:sz="4" w:space="0" w:color="000000"/>
              <w:bottom w:val="single" w:sz="4" w:space="0" w:color="A59C94"/>
            </w:tcBorders>
            <w:noWrap/>
            <w:vAlign w:val="bottom"/>
          </w:tcPr>
          <w:p w14:paraId="157AB6BF" w14:textId="77777777" w:rsidR="00D06894" w:rsidRPr="000B4B5A" w:rsidRDefault="00D06894" w:rsidP="003B0CA5">
            <w:pPr>
              <w:pStyle w:val="TBodynormalNumber"/>
              <w:keepNext/>
              <w:rPr>
                <w:lang w:val="pt-BR"/>
              </w:rPr>
            </w:pPr>
            <w:r w:rsidRPr="000B4B5A">
              <w:rPr>
                <w:lang w:val="pt-BR"/>
              </w:rPr>
              <w:t>3</w:t>
            </w:r>
          </w:p>
        </w:tc>
      </w:tr>
      <w:tr w:rsidR="00D06894" w14:paraId="5D9D8051" w14:textId="77777777" w:rsidTr="003B0CA5">
        <w:tc>
          <w:tcPr>
            <w:tcW w:w="2914" w:type="dxa"/>
            <w:tcBorders>
              <w:top w:val="single" w:sz="4" w:space="0" w:color="A59C94"/>
              <w:bottom w:val="single" w:sz="4" w:space="0" w:color="A59C94"/>
            </w:tcBorders>
            <w:noWrap/>
            <w:vAlign w:val="bottom"/>
          </w:tcPr>
          <w:p w14:paraId="59B4EFBC" w14:textId="77777777" w:rsidR="00D06894" w:rsidRPr="000B4B5A" w:rsidRDefault="00D06894" w:rsidP="003B0CA5">
            <w:pPr>
              <w:pStyle w:val="TBodynormalText"/>
              <w:rPr>
                <w:lang w:val="pt-BR"/>
              </w:rPr>
            </w:pPr>
            <w:r w:rsidRPr="000B4B5A">
              <w:rPr>
                <w:lang w:val="pt-BR"/>
              </w:rPr>
              <w:t>Nutrition &amp; Care</w:t>
            </w:r>
          </w:p>
        </w:tc>
        <w:tc>
          <w:tcPr>
            <w:tcW w:w="119" w:type="dxa"/>
            <w:noWrap/>
            <w:vAlign w:val="bottom"/>
          </w:tcPr>
          <w:p w14:paraId="0D5DDCBC" w14:textId="77777777" w:rsidR="00D06894" w:rsidRPr="000B4B5A"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64E9DF2D" w14:textId="16773167" w:rsidR="00D06894" w:rsidRPr="000B4B5A" w:rsidRDefault="00D06894" w:rsidP="003B0CA5">
            <w:pPr>
              <w:pStyle w:val="TBodynormalNumber"/>
              <w:keepNext/>
              <w:rPr>
                <w:lang w:val="pt-BR"/>
              </w:rPr>
            </w:pPr>
            <w:r w:rsidRPr="000B4B5A">
              <w:rPr>
                <w:lang w:val="pt-BR"/>
              </w:rPr>
              <w:t>2</w:t>
            </w:r>
            <w:r w:rsidR="00D90082" w:rsidRPr="000B4B5A">
              <w:rPr>
                <w:lang w:val="pt-BR"/>
              </w:rPr>
              <w:t>.</w:t>
            </w:r>
            <w:r w:rsidRPr="000B4B5A">
              <w:rPr>
                <w:lang w:val="pt-BR"/>
              </w:rPr>
              <w:t>549</w:t>
            </w:r>
          </w:p>
        </w:tc>
        <w:tc>
          <w:tcPr>
            <w:tcW w:w="119" w:type="dxa"/>
            <w:noWrap/>
            <w:vAlign w:val="bottom"/>
          </w:tcPr>
          <w:p w14:paraId="7B23BB1A" w14:textId="77777777" w:rsidR="00D06894" w:rsidRPr="000B4B5A" w:rsidRDefault="00D06894" w:rsidP="003B0CA5">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24CDDB05" w14:textId="2707632F" w:rsidR="00D06894" w:rsidRPr="000B4B5A" w:rsidRDefault="00D06894" w:rsidP="003B0CA5">
            <w:pPr>
              <w:pStyle w:val="TBodynormalNumber"/>
              <w:keepNext/>
              <w:rPr>
                <w:lang w:val="pt-BR"/>
              </w:rPr>
            </w:pPr>
            <w:r w:rsidRPr="000B4B5A">
              <w:rPr>
                <w:lang w:val="pt-BR"/>
              </w:rPr>
              <w:t>3</w:t>
            </w:r>
            <w:r w:rsidR="000B4B5A" w:rsidRPr="000B4B5A">
              <w:rPr>
                <w:lang w:val="pt-BR"/>
              </w:rPr>
              <w:t>.</w:t>
            </w:r>
            <w:r w:rsidRPr="000B4B5A">
              <w:rPr>
                <w:lang w:val="pt-BR"/>
              </w:rPr>
              <w:t>127</w:t>
            </w:r>
          </w:p>
        </w:tc>
        <w:tc>
          <w:tcPr>
            <w:tcW w:w="119" w:type="dxa"/>
            <w:noWrap/>
            <w:vAlign w:val="bottom"/>
          </w:tcPr>
          <w:p w14:paraId="08580AFD" w14:textId="77777777" w:rsidR="00D06894" w:rsidRPr="000B4B5A"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34AA39EB" w14:textId="77777777" w:rsidR="00D06894" w:rsidRPr="000B4B5A" w:rsidRDefault="00D06894" w:rsidP="003B0CA5">
            <w:pPr>
              <w:pStyle w:val="TBodynormalNumber"/>
              <w:keepNext/>
              <w:rPr>
                <w:lang w:val="pt-BR"/>
              </w:rPr>
            </w:pPr>
            <w:r w:rsidRPr="000B4B5A">
              <w:rPr>
                <w:lang w:val="pt-BR"/>
              </w:rPr>
              <w:t>23</w:t>
            </w:r>
          </w:p>
        </w:tc>
        <w:tc>
          <w:tcPr>
            <w:tcW w:w="119" w:type="dxa"/>
            <w:noWrap/>
            <w:vAlign w:val="bottom"/>
          </w:tcPr>
          <w:p w14:paraId="017CB415" w14:textId="77777777" w:rsidR="00D06894" w:rsidRPr="000B4B5A"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28153696" w14:textId="77777777" w:rsidR="00D06894" w:rsidRPr="000B4B5A" w:rsidRDefault="00D06894" w:rsidP="003B0CA5">
            <w:pPr>
              <w:pStyle w:val="TBodynormalNumber"/>
              <w:keepNext/>
              <w:rPr>
                <w:lang w:val="pt-BR"/>
              </w:rPr>
            </w:pPr>
            <w:r w:rsidRPr="000B4B5A">
              <w:rPr>
                <w:lang w:val="pt-BR"/>
              </w:rPr>
              <w:t>517</w:t>
            </w:r>
          </w:p>
        </w:tc>
        <w:tc>
          <w:tcPr>
            <w:tcW w:w="119" w:type="dxa"/>
            <w:noWrap/>
            <w:vAlign w:val="bottom"/>
          </w:tcPr>
          <w:p w14:paraId="50DBF1BB" w14:textId="77777777" w:rsidR="00D06894" w:rsidRPr="000B4B5A" w:rsidRDefault="00D06894" w:rsidP="003B0CA5">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20D58517" w14:textId="77777777" w:rsidR="00D06894" w:rsidRPr="000B4B5A" w:rsidRDefault="00D06894" w:rsidP="003B0CA5">
            <w:pPr>
              <w:pStyle w:val="TBodynormalNumber"/>
              <w:keepNext/>
              <w:rPr>
                <w:lang w:val="pt-BR"/>
              </w:rPr>
            </w:pPr>
            <w:r w:rsidRPr="000B4B5A">
              <w:rPr>
                <w:lang w:val="pt-BR"/>
              </w:rPr>
              <w:t>555</w:t>
            </w:r>
          </w:p>
        </w:tc>
        <w:tc>
          <w:tcPr>
            <w:tcW w:w="119" w:type="dxa"/>
            <w:noWrap/>
            <w:vAlign w:val="bottom"/>
          </w:tcPr>
          <w:p w14:paraId="3A5F7F99" w14:textId="77777777" w:rsidR="00D06894" w:rsidRPr="000B4B5A"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7CAEEBEB" w14:textId="77777777" w:rsidR="00D06894" w:rsidRPr="000B4B5A" w:rsidRDefault="00D06894" w:rsidP="003B0CA5">
            <w:pPr>
              <w:pStyle w:val="TBodynormalNumber"/>
              <w:keepNext/>
              <w:rPr>
                <w:lang w:val="pt-BR"/>
              </w:rPr>
            </w:pPr>
            <w:r w:rsidRPr="000B4B5A">
              <w:rPr>
                <w:lang w:val="pt-BR"/>
              </w:rPr>
              <w:t>7</w:t>
            </w:r>
          </w:p>
        </w:tc>
      </w:tr>
      <w:tr w:rsidR="00D06894" w14:paraId="1D06B9F1" w14:textId="77777777" w:rsidTr="003B0CA5">
        <w:tc>
          <w:tcPr>
            <w:tcW w:w="2914" w:type="dxa"/>
            <w:tcBorders>
              <w:top w:val="single" w:sz="4" w:space="0" w:color="A59C94"/>
              <w:bottom w:val="single" w:sz="4" w:space="0" w:color="A59C94"/>
            </w:tcBorders>
            <w:noWrap/>
            <w:vAlign w:val="bottom"/>
          </w:tcPr>
          <w:p w14:paraId="7E509DA1" w14:textId="77777777" w:rsidR="00D06894" w:rsidRPr="000B4B5A" w:rsidRDefault="00D06894" w:rsidP="003B0CA5">
            <w:pPr>
              <w:pStyle w:val="TBodynormalText"/>
              <w:rPr>
                <w:lang w:val="pt-BR"/>
              </w:rPr>
            </w:pPr>
            <w:proofErr w:type="spellStart"/>
            <w:r w:rsidRPr="000B4B5A">
              <w:rPr>
                <w:lang w:val="pt-BR"/>
              </w:rPr>
              <w:t>Smart</w:t>
            </w:r>
            <w:proofErr w:type="spellEnd"/>
            <w:r w:rsidRPr="000B4B5A">
              <w:rPr>
                <w:lang w:val="pt-BR"/>
              </w:rPr>
              <w:t xml:space="preserve"> </w:t>
            </w:r>
            <w:proofErr w:type="spellStart"/>
            <w:r w:rsidRPr="000B4B5A">
              <w:rPr>
                <w:lang w:val="pt-BR"/>
              </w:rPr>
              <w:t>Materials</w:t>
            </w:r>
            <w:proofErr w:type="spellEnd"/>
          </w:p>
        </w:tc>
        <w:tc>
          <w:tcPr>
            <w:tcW w:w="119" w:type="dxa"/>
            <w:noWrap/>
            <w:vAlign w:val="bottom"/>
          </w:tcPr>
          <w:p w14:paraId="75BC3381" w14:textId="77777777" w:rsidR="00D06894" w:rsidRPr="000B4B5A"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5010CC2E" w14:textId="562CD3B8" w:rsidR="00D06894" w:rsidRPr="000B4B5A" w:rsidRDefault="00D06894" w:rsidP="003B0CA5">
            <w:pPr>
              <w:pStyle w:val="TBodynormalNumber"/>
              <w:keepNext/>
              <w:rPr>
                <w:lang w:val="pt-BR"/>
              </w:rPr>
            </w:pPr>
            <w:r w:rsidRPr="000B4B5A">
              <w:rPr>
                <w:lang w:val="pt-BR"/>
              </w:rPr>
              <w:t>2</w:t>
            </w:r>
            <w:r w:rsidR="00D90082" w:rsidRPr="000B4B5A">
              <w:rPr>
                <w:lang w:val="pt-BR"/>
              </w:rPr>
              <w:t>.</w:t>
            </w:r>
            <w:r w:rsidRPr="000B4B5A">
              <w:rPr>
                <w:lang w:val="pt-BR"/>
              </w:rPr>
              <w:t>885</w:t>
            </w:r>
          </w:p>
        </w:tc>
        <w:tc>
          <w:tcPr>
            <w:tcW w:w="119" w:type="dxa"/>
            <w:noWrap/>
            <w:vAlign w:val="bottom"/>
          </w:tcPr>
          <w:p w14:paraId="2F75E557" w14:textId="77777777" w:rsidR="00D06894" w:rsidRPr="000B4B5A" w:rsidRDefault="00D06894" w:rsidP="003B0CA5">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58EC1245" w14:textId="55C76F7F" w:rsidR="00D06894" w:rsidRPr="000B4B5A" w:rsidRDefault="00D06894" w:rsidP="003B0CA5">
            <w:pPr>
              <w:pStyle w:val="TBodynormalNumber"/>
              <w:keepNext/>
              <w:rPr>
                <w:lang w:val="pt-BR"/>
              </w:rPr>
            </w:pPr>
            <w:r w:rsidRPr="000B4B5A">
              <w:rPr>
                <w:lang w:val="pt-BR"/>
              </w:rPr>
              <w:t>3</w:t>
            </w:r>
            <w:r w:rsidR="000B4B5A" w:rsidRPr="000B4B5A">
              <w:rPr>
                <w:lang w:val="pt-BR"/>
              </w:rPr>
              <w:t>.</w:t>
            </w:r>
            <w:r w:rsidRPr="000B4B5A">
              <w:rPr>
                <w:lang w:val="pt-BR"/>
              </w:rPr>
              <w:t>677</w:t>
            </w:r>
          </w:p>
        </w:tc>
        <w:tc>
          <w:tcPr>
            <w:tcW w:w="119" w:type="dxa"/>
            <w:noWrap/>
            <w:vAlign w:val="bottom"/>
          </w:tcPr>
          <w:p w14:paraId="7385CED5" w14:textId="77777777" w:rsidR="00D06894" w:rsidRPr="000B4B5A"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6F5CC58D" w14:textId="77777777" w:rsidR="00D06894" w:rsidRPr="000B4B5A" w:rsidRDefault="00D06894" w:rsidP="003B0CA5">
            <w:pPr>
              <w:pStyle w:val="TBodynormalNumber"/>
              <w:keepNext/>
              <w:rPr>
                <w:lang w:val="pt-BR"/>
              </w:rPr>
            </w:pPr>
            <w:r w:rsidRPr="000B4B5A">
              <w:rPr>
                <w:lang w:val="pt-BR"/>
              </w:rPr>
              <w:t>27</w:t>
            </w:r>
          </w:p>
        </w:tc>
        <w:tc>
          <w:tcPr>
            <w:tcW w:w="119" w:type="dxa"/>
            <w:noWrap/>
            <w:vAlign w:val="bottom"/>
          </w:tcPr>
          <w:p w14:paraId="55139BF2" w14:textId="77777777" w:rsidR="00D06894" w:rsidRPr="000B4B5A"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6C527824" w14:textId="77777777" w:rsidR="00D06894" w:rsidRPr="000B4B5A" w:rsidRDefault="00D06894" w:rsidP="003B0CA5">
            <w:pPr>
              <w:pStyle w:val="TBodynormalNumber"/>
              <w:keepNext/>
              <w:rPr>
                <w:lang w:val="pt-BR"/>
              </w:rPr>
            </w:pPr>
            <w:r w:rsidRPr="000B4B5A">
              <w:rPr>
                <w:lang w:val="pt-BR"/>
              </w:rPr>
              <w:t>527</w:t>
            </w:r>
          </w:p>
        </w:tc>
        <w:tc>
          <w:tcPr>
            <w:tcW w:w="119" w:type="dxa"/>
            <w:noWrap/>
            <w:vAlign w:val="bottom"/>
          </w:tcPr>
          <w:p w14:paraId="32D7E621" w14:textId="77777777" w:rsidR="00D06894" w:rsidRPr="000B4B5A" w:rsidRDefault="00D06894" w:rsidP="003B0CA5">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1FA44CF1" w14:textId="77777777" w:rsidR="00D06894" w:rsidRPr="000B4B5A" w:rsidRDefault="00D06894" w:rsidP="003B0CA5">
            <w:pPr>
              <w:pStyle w:val="TBodynormalNumber"/>
              <w:keepNext/>
              <w:rPr>
                <w:lang w:val="pt-BR"/>
              </w:rPr>
            </w:pPr>
            <w:r w:rsidRPr="000B4B5A">
              <w:rPr>
                <w:lang w:val="pt-BR"/>
              </w:rPr>
              <w:t>572</w:t>
            </w:r>
          </w:p>
        </w:tc>
        <w:tc>
          <w:tcPr>
            <w:tcW w:w="119" w:type="dxa"/>
            <w:noWrap/>
            <w:vAlign w:val="bottom"/>
          </w:tcPr>
          <w:p w14:paraId="7D2881EE" w14:textId="77777777" w:rsidR="00D06894" w:rsidRPr="000B4B5A"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160D7323" w14:textId="77777777" w:rsidR="00D06894" w:rsidRPr="000B4B5A" w:rsidRDefault="00D06894" w:rsidP="003B0CA5">
            <w:pPr>
              <w:pStyle w:val="TBodynormalNumber"/>
              <w:keepNext/>
              <w:rPr>
                <w:lang w:val="pt-BR"/>
              </w:rPr>
            </w:pPr>
            <w:r w:rsidRPr="000B4B5A">
              <w:rPr>
                <w:lang w:val="pt-BR"/>
              </w:rPr>
              <w:t>9</w:t>
            </w:r>
          </w:p>
        </w:tc>
      </w:tr>
      <w:tr w:rsidR="00D06894" w14:paraId="0CC7793D" w14:textId="77777777" w:rsidTr="003B0CA5">
        <w:tc>
          <w:tcPr>
            <w:tcW w:w="2914" w:type="dxa"/>
            <w:tcBorders>
              <w:top w:val="single" w:sz="4" w:space="0" w:color="A59C94"/>
              <w:bottom w:val="single" w:sz="4" w:space="0" w:color="A59C94"/>
            </w:tcBorders>
            <w:noWrap/>
            <w:vAlign w:val="bottom"/>
          </w:tcPr>
          <w:p w14:paraId="26181D2E" w14:textId="77777777" w:rsidR="00D06894" w:rsidRPr="000B4B5A" w:rsidRDefault="00D06894" w:rsidP="003B0CA5">
            <w:pPr>
              <w:pStyle w:val="TBodynormalText"/>
              <w:rPr>
                <w:lang w:val="pt-BR"/>
              </w:rPr>
            </w:pPr>
            <w:r w:rsidRPr="000B4B5A">
              <w:rPr>
                <w:lang w:val="pt-BR"/>
              </w:rPr>
              <w:t xml:space="preserve">Performance </w:t>
            </w:r>
            <w:proofErr w:type="spellStart"/>
            <w:r w:rsidRPr="000B4B5A">
              <w:rPr>
                <w:lang w:val="pt-BR"/>
              </w:rPr>
              <w:t>Materials</w:t>
            </w:r>
            <w:proofErr w:type="spellEnd"/>
          </w:p>
        </w:tc>
        <w:tc>
          <w:tcPr>
            <w:tcW w:w="119" w:type="dxa"/>
            <w:noWrap/>
            <w:vAlign w:val="bottom"/>
          </w:tcPr>
          <w:p w14:paraId="06244442" w14:textId="77777777" w:rsidR="00D06894" w:rsidRPr="000B4B5A"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385B4396" w14:textId="2A7A4859" w:rsidR="00D06894" w:rsidRPr="000B4B5A" w:rsidRDefault="00D06894" w:rsidP="003B0CA5">
            <w:pPr>
              <w:pStyle w:val="TBodynormalNumber"/>
              <w:keepNext/>
              <w:rPr>
                <w:lang w:val="pt-BR"/>
              </w:rPr>
            </w:pPr>
            <w:r w:rsidRPr="000B4B5A">
              <w:rPr>
                <w:lang w:val="pt-BR"/>
              </w:rPr>
              <w:t>2</w:t>
            </w:r>
            <w:r w:rsidR="00D90082" w:rsidRPr="000B4B5A">
              <w:rPr>
                <w:lang w:val="pt-BR"/>
              </w:rPr>
              <w:t>.</w:t>
            </w:r>
            <w:r w:rsidRPr="000B4B5A">
              <w:rPr>
                <w:lang w:val="pt-BR"/>
              </w:rPr>
              <w:t>071</w:t>
            </w:r>
          </w:p>
        </w:tc>
        <w:tc>
          <w:tcPr>
            <w:tcW w:w="119" w:type="dxa"/>
            <w:noWrap/>
            <w:vAlign w:val="bottom"/>
          </w:tcPr>
          <w:p w14:paraId="203CA065" w14:textId="77777777" w:rsidR="00D06894" w:rsidRPr="000B4B5A" w:rsidRDefault="00D06894" w:rsidP="003B0CA5">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50E2006E" w14:textId="1AA49640" w:rsidR="00D06894" w:rsidRPr="000B4B5A" w:rsidRDefault="00D06894" w:rsidP="003B0CA5">
            <w:pPr>
              <w:pStyle w:val="TBodynormalNumber"/>
              <w:keepNext/>
              <w:rPr>
                <w:lang w:val="pt-BR"/>
              </w:rPr>
            </w:pPr>
            <w:r w:rsidRPr="000B4B5A">
              <w:rPr>
                <w:lang w:val="pt-BR"/>
              </w:rPr>
              <w:t>2</w:t>
            </w:r>
            <w:r w:rsidR="000B4B5A" w:rsidRPr="000B4B5A">
              <w:rPr>
                <w:lang w:val="pt-BR"/>
              </w:rPr>
              <w:t>.</w:t>
            </w:r>
            <w:r w:rsidRPr="000B4B5A">
              <w:rPr>
                <w:lang w:val="pt-BR"/>
              </w:rPr>
              <w:t>893</w:t>
            </w:r>
          </w:p>
        </w:tc>
        <w:tc>
          <w:tcPr>
            <w:tcW w:w="119" w:type="dxa"/>
            <w:noWrap/>
            <w:vAlign w:val="bottom"/>
          </w:tcPr>
          <w:p w14:paraId="09376F94" w14:textId="77777777" w:rsidR="00D06894" w:rsidRPr="000B4B5A"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2EC03EA8" w14:textId="77777777" w:rsidR="00D06894" w:rsidRPr="000B4B5A" w:rsidRDefault="00D06894" w:rsidP="003B0CA5">
            <w:pPr>
              <w:pStyle w:val="TBodynormalNumber"/>
              <w:keepNext/>
              <w:rPr>
                <w:lang w:val="pt-BR"/>
              </w:rPr>
            </w:pPr>
            <w:r w:rsidRPr="000B4B5A">
              <w:rPr>
                <w:lang w:val="pt-BR"/>
              </w:rPr>
              <w:t>40</w:t>
            </w:r>
          </w:p>
        </w:tc>
        <w:tc>
          <w:tcPr>
            <w:tcW w:w="119" w:type="dxa"/>
            <w:noWrap/>
            <w:vAlign w:val="bottom"/>
          </w:tcPr>
          <w:p w14:paraId="20308E39" w14:textId="77777777" w:rsidR="00D06894" w:rsidRPr="000B4B5A"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01CCD65C" w14:textId="77777777" w:rsidR="00D06894" w:rsidRPr="000B4B5A" w:rsidRDefault="00D06894" w:rsidP="003B0CA5">
            <w:pPr>
              <w:pStyle w:val="TBodynormalNumber"/>
              <w:keepNext/>
              <w:rPr>
                <w:lang w:val="pt-BR"/>
              </w:rPr>
            </w:pPr>
            <w:r w:rsidRPr="000B4B5A">
              <w:rPr>
                <w:lang w:val="pt-BR"/>
              </w:rPr>
              <w:t>237</w:t>
            </w:r>
          </w:p>
        </w:tc>
        <w:tc>
          <w:tcPr>
            <w:tcW w:w="119" w:type="dxa"/>
            <w:noWrap/>
            <w:vAlign w:val="bottom"/>
          </w:tcPr>
          <w:p w14:paraId="2A483CFF" w14:textId="77777777" w:rsidR="00D06894" w:rsidRPr="000B4B5A" w:rsidRDefault="00D06894" w:rsidP="003B0CA5">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3058D79C" w14:textId="77777777" w:rsidR="00D06894" w:rsidRPr="000B4B5A" w:rsidRDefault="00D06894" w:rsidP="003B0CA5">
            <w:pPr>
              <w:pStyle w:val="TBodynormalNumber"/>
              <w:keepNext/>
              <w:rPr>
                <w:lang w:val="pt-BR"/>
              </w:rPr>
            </w:pPr>
            <w:r w:rsidRPr="000B4B5A">
              <w:rPr>
                <w:lang w:val="pt-BR"/>
              </w:rPr>
              <w:t>334</w:t>
            </w:r>
          </w:p>
        </w:tc>
        <w:tc>
          <w:tcPr>
            <w:tcW w:w="119" w:type="dxa"/>
            <w:noWrap/>
            <w:vAlign w:val="bottom"/>
          </w:tcPr>
          <w:p w14:paraId="5B544566" w14:textId="77777777" w:rsidR="00D06894" w:rsidRPr="000B4B5A"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4AF75011" w14:textId="77777777" w:rsidR="00D06894" w:rsidRPr="000B4B5A" w:rsidRDefault="00D06894" w:rsidP="003B0CA5">
            <w:pPr>
              <w:pStyle w:val="TBodynormalNumber"/>
              <w:keepNext/>
              <w:rPr>
                <w:lang w:val="pt-BR"/>
              </w:rPr>
            </w:pPr>
            <w:r w:rsidRPr="000B4B5A">
              <w:rPr>
                <w:lang w:val="pt-BR"/>
              </w:rPr>
              <w:t>41</w:t>
            </w:r>
          </w:p>
        </w:tc>
      </w:tr>
      <w:tr w:rsidR="00D06894" w14:paraId="586B82B9" w14:textId="77777777" w:rsidTr="003B0CA5">
        <w:tc>
          <w:tcPr>
            <w:tcW w:w="2914" w:type="dxa"/>
            <w:tcBorders>
              <w:top w:val="single" w:sz="4" w:space="0" w:color="A59C94"/>
              <w:bottom w:val="single" w:sz="4" w:space="0" w:color="A59C94"/>
            </w:tcBorders>
            <w:noWrap/>
            <w:vAlign w:val="bottom"/>
          </w:tcPr>
          <w:p w14:paraId="5B82E390" w14:textId="77777777" w:rsidR="00D06894" w:rsidRPr="000B4B5A" w:rsidRDefault="00D06894" w:rsidP="003B0CA5">
            <w:pPr>
              <w:pStyle w:val="TBodynormalText"/>
              <w:rPr>
                <w:lang w:val="pt-BR"/>
              </w:rPr>
            </w:pPr>
            <w:r w:rsidRPr="000B4B5A">
              <w:rPr>
                <w:lang w:val="pt-BR"/>
              </w:rPr>
              <w:t>Technology &amp; Infrastructure</w:t>
            </w:r>
          </w:p>
        </w:tc>
        <w:tc>
          <w:tcPr>
            <w:tcW w:w="119" w:type="dxa"/>
            <w:noWrap/>
            <w:vAlign w:val="bottom"/>
          </w:tcPr>
          <w:p w14:paraId="4760F350" w14:textId="77777777" w:rsidR="00D06894" w:rsidRPr="000B4B5A"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6D632265" w14:textId="77777777" w:rsidR="00D06894" w:rsidRPr="000B4B5A" w:rsidRDefault="00D06894" w:rsidP="003B0CA5">
            <w:pPr>
              <w:pStyle w:val="TBodynormalNumber"/>
              <w:keepNext/>
              <w:rPr>
                <w:lang w:val="pt-BR"/>
              </w:rPr>
            </w:pPr>
            <w:r w:rsidRPr="000B4B5A">
              <w:rPr>
                <w:lang w:val="pt-BR"/>
              </w:rPr>
              <w:t>553</w:t>
            </w:r>
          </w:p>
        </w:tc>
        <w:tc>
          <w:tcPr>
            <w:tcW w:w="119" w:type="dxa"/>
            <w:noWrap/>
            <w:vAlign w:val="bottom"/>
          </w:tcPr>
          <w:p w14:paraId="0F2B70D5" w14:textId="77777777" w:rsidR="00D06894" w:rsidRPr="000B4B5A" w:rsidRDefault="00D06894" w:rsidP="003B0CA5">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109463D6" w14:textId="1C26775C" w:rsidR="00D06894" w:rsidRPr="000B4B5A" w:rsidRDefault="00D06894" w:rsidP="003B0CA5">
            <w:pPr>
              <w:pStyle w:val="TBodynormalNumber"/>
              <w:keepNext/>
              <w:rPr>
                <w:lang w:val="pt-BR"/>
              </w:rPr>
            </w:pPr>
            <w:r w:rsidRPr="000B4B5A">
              <w:rPr>
                <w:lang w:val="pt-BR"/>
              </w:rPr>
              <w:t>1</w:t>
            </w:r>
            <w:r w:rsidR="000B4B5A" w:rsidRPr="000B4B5A">
              <w:rPr>
                <w:lang w:val="pt-BR"/>
              </w:rPr>
              <w:t>.</w:t>
            </w:r>
            <w:r w:rsidRPr="000B4B5A">
              <w:rPr>
                <w:lang w:val="pt-BR"/>
              </w:rPr>
              <w:t>124</w:t>
            </w:r>
          </w:p>
        </w:tc>
        <w:tc>
          <w:tcPr>
            <w:tcW w:w="119" w:type="dxa"/>
            <w:noWrap/>
            <w:vAlign w:val="bottom"/>
          </w:tcPr>
          <w:p w14:paraId="27C6D505" w14:textId="77777777" w:rsidR="00D06894" w:rsidRPr="000B4B5A"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11E6F736" w14:textId="77777777" w:rsidR="00D06894" w:rsidRPr="000B4B5A" w:rsidRDefault="00D06894" w:rsidP="003B0CA5">
            <w:pPr>
              <w:pStyle w:val="TBodynormalNumber"/>
              <w:keepNext/>
              <w:rPr>
                <w:lang w:val="pt-BR"/>
              </w:rPr>
            </w:pPr>
            <w:r w:rsidRPr="000B4B5A">
              <w:rPr>
                <w:lang w:val="pt-BR"/>
              </w:rPr>
              <w:t>103</w:t>
            </w:r>
          </w:p>
        </w:tc>
        <w:tc>
          <w:tcPr>
            <w:tcW w:w="119" w:type="dxa"/>
            <w:noWrap/>
            <w:vAlign w:val="bottom"/>
          </w:tcPr>
          <w:p w14:paraId="64A696A6" w14:textId="77777777" w:rsidR="00D06894" w:rsidRPr="000B4B5A"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65EE5BCF" w14:textId="77777777" w:rsidR="00D06894" w:rsidRPr="000B4B5A" w:rsidRDefault="00D06894" w:rsidP="003B0CA5">
            <w:pPr>
              <w:pStyle w:val="TBodynormalNumber"/>
              <w:keepNext/>
              <w:rPr>
                <w:lang w:val="pt-BR"/>
              </w:rPr>
            </w:pPr>
            <w:r w:rsidRPr="000B4B5A">
              <w:rPr>
                <w:lang w:val="pt-BR"/>
              </w:rPr>
              <w:t>82</w:t>
            </w:r>
          </w:p>
        </w:tc>
        <w:tc>
          <w:tcPr>
            <w:tcW w:w="119" w:type="dxa"/>
            <w:noWrap/>
            <w:vAlign w:val="bottom"/>
          </w:tcPr>
          <w:p w14:paraId="0444F78F" w14:textId="77777777" w:rsidR="00D06894" w:rsidRPr="000B4B5A" w:rsidRDefault="00D06894" w:rsidP="003B0CA5">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64D9D6E1" w14:textId="77777777" w:rsidR="00D06894" w:rsidRPr="000B4B5A" w:rsidRDefault="00D06894" w:rsidP="003B0CA5">
            <w:pPr>
              <w:pStyle w:val="TBodynormalNumber"/>
              <w:keepNext/>
              <w:rPr>
                <w:lang w:val="pt-BR"/>
              </w:rPr>
            </w:pPr>
            <w:r w:rsidRPr="000B4B5A">
              <w:rPr>
                <w:lang w:val="pt-BR"/>
              </w:rPr>
              <w:t>65</w:t>
            </w:r>
          </w:p>
        </w:tc>
        <w:tc>
          <w:tcPr>
            <w:tcW w:w="119" w:type="dxa"/>
            <w:noWrap/>
            <w:vAlign w:val="bottom"/>
          </w:tcPr>
          <w:p w14:paraId="14155CD8" w14:textId="77777777" w:rsidR="00D06894" w:rsidRPr="000B4B5A"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12977B8D" w14:textId="77777777" w:rsidR="00D06894" w:rsidRPr="000B4B5A" w:rsidRDefault="00D06894" w:rsidP="003B0CA5">
            <w:pPr>
              <w:pStyle w:val="TBodynormalNumber"/>
              <w:keepNext/>
              <w:rPr>
                <w:lang w:val="pt-BR"/>
              </w:rPr>
            </w:pPr>
            <w:r w:rsidRPr="000B4B5A">
              <w:rPr>
                <w:lang w:val="pt-BR"/>
              </w:rPr>
              <w:t>-21</w:t>
            </w:r>
          </w:p>
        </w:tc>
      </w:tr>
      <w:tr w:rsidR="00D06894" w14:paraId="22F453F6" w14:textId="77777777" w:rsidTr="003B0CA5">
        <w:tc>
          <w:tcPr>
            <w:tcW w:w="2914" w:type="dxa"/>
            <w:tcBorders>
              <w:top w:val="single" w:sz="4" w:space="0" w:color="A59C94"/>
              <w:bottom w:val="single" w:sz="4" w:space="0" w:color="A59C94"/>
            </w:tcBorders>
            <w:noWrap/>
            <w:vAlign w:val="bottom"/>
          </w:tcPr>
          <w:p w14:paraId="2F82DD62" w14:textId="22358CF4" w:rsidR="00D06894" w:rsidRPr="000B4B5A" w:rsidRDefault="000A4396" w:rsidP="003B0CA5">
            <w:pPr>
              <w:pStyle w:val="TBodynormalText"/>
              <w:rPr>
                <w:lang w:val="pt-BR"/>
              </w:rPr>
            </w:pPr>
            <w:r w:rsidRPr="00D90082">
              <w:rPr>
                <w:lang w:val="pt-BR"/>
              </w:rPr>
              <w:t>Funções Essenciais, Outras Atividades, Consolidação</w:t>
            </w:r>
          </w:p>
        </w:tc>
        <w:tc>
          <w:tcPr>
            <w:tcW w:w="119" w:type="dxa"/>
            <w:noWrap/>
            <w:vAlign w:val="bottom"/>
          </w:tcPr>
          <w:p w14:paraId="4A73BAD6" w14:textId="77777777" w:rsidR="00D06894" w:rsidRPr="000B4B5A"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54D39376" w14:textId="77777777" w:rsidR="00D06894" w:rsidRPr="000B4B5A" w:rsidRDefault="00D06894" w:rsidP="003B0CA5">
            <w:pPr>
              <w:pStyle w:val="TBodynormalNumber"/>
              <w:keepNext/>
              <w:rPr>
                <w:lang w:val="pt-BR"/>
              </w:rPr>
            </w:pPr>
            <w:r w:rsidRPr="000B4B5A">
              <w:rPr>
                <w:lang w:val="pt-BR"/>
              </w:rPr>
              <w:t>44</w:t>
            </w:r>
          </w:p>
        </w:tc>
        <w:tc>
          <w:tcPr>
            <w:tcW w:w="119" w:type="dxa"/>
            <w:noWrap/>
            <w:vAlign w:val="bottom"/>
          </w:tcPr>
          <w:p w14:paraId="53CCE909" w14:textId="77777777" w:rsidR="00D06894" w:rsidRPr="000B4B5A" w:rsidRDefault="00D06894" w:rsidP="003B0CA5">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7714EFEF" w14:textId="77777777" w:rsidR="00D06894" w:rsidRPr="000B4B5A" w:rsidRDefault="00D06894" w:rsidP="003B0CA5">
            <w:pPr>
              <w:pStyle w:val="TBodynormalNumber"/>
              <w:keepNext/>
              <w:rPr>
                <w:lang w:val="pt-BR"/>
              </w:rPr>
            </w:pPr>
            <w:r w:rsidRPr="000B4B5A">
              <w:rPr>
                <w:lang w:val="pt-BR"/>
              </w:rPr>
              <w:t>49</w:t>
            </w:r>
          </w:p>
        </w:tc>
        <w:tc>
          <w:tcPr>
            <w:tcW w:w="119" w:type="dxa"/>
            <w:noWrap/>
            <w:vAlign w:val="bottom"/>
          </w:tcPr>
          <w:p w14:paraId="794592B7" w14:textId="77777777" w:rsidR="00D06894" w:rsidRPr="000B4B5A"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7D1A7016" w14:textId="77777777" w:rsidR="00D06894" w:rsidRPr="000B4B5A" w:rsidRDefault="00D06894" w:rsidP="003B0CA5">
            <w:pPr>
              <w:pStyle w:val="TBodynormalNumber"/>
              <w:keepNext/>
              <w:rPr>
                <w:lang w:val="pt-BR"/>
              </w:rPr>
            </w:pPr>
            <w:r w:rsidRPr="000B4B5A">
              <w:rPr>
                <w:lang w:val="pt-BR"/>
              </w:rPr>
              <w:t>11</w:t>
            </w:r>
          </w:p>
        </w:tc>
        <w:tc>
          <w:tcPr>
            <w:tcW w:w="119" w:type="dxa"/>
            <w:noWrap/>
            <w:vAlign w:val="bottom"/>
          </w:tcPr>
          <w:p w14:paraId="7A4AF4B3" w14:textId="77777777" w:rsidR="00D06894" w:rsidRPr="000B4B5A"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289A68D8" w14:textId="77777777" w:rsidR="00D06894" w:rsidRPr="000B4B5A" w:rsidRDefault="00D06894" w:rsidP="003B0CA5">
            <w:pPr>
              <w:pStyle w:val="TBodynormalNumber"/>
              <w:keepNext/>
              <w:rPr>
                <w:lang w:val="pt-BR"/>
              </w:rPr>
            </w:pPr>
            <w:r w:rsidRPr="000B4B5A">
              <w:rPr>
                <w:lang w:val="pt-BR"/>
              </w:rPr>
              <w:t>-221</w:t>
            </w:r>
          </w:p>
        </w:tc>
        <w:tc>
          <w:tcPr>
            <w:tcW w:w="119" w:type="dxa"/>
            <w:noWrap/>
            <w:vAlign w:val="bottom"/>
          </w:tcPr>
          <w:p w14:paraId="46B4FD03" w14:textId="77777777" w:rsidR="00D06894" w:rsidRPr="000B4B5A" w:rsidRDefault="00D06894" w:rsidP="003B0CA5">
            <w:pPr>
              <w:pStyle w:val="TBodynormalNumber"/>
              <w:keepNext/>
              <w:rPr>
                <w:lang w:val="pt-BR"/>
              </w:rPr>
            </w:pPr>
          </w:p>
        </w:tc>
        <w:tc>
          <w:tcPr>
            <w:tcW w:w="1021" w:type="dxa"/>
            <w:tcBorders>
              <w:top w:val="single" w:sz="4" w:space="0" w:color="A59C94"/>
              <w:bottom w:val="single" w:sz="4" w:space="0" w:color="A59C94"/>
            </w:tcBorders>
            <w:shd w:val="clear" w:color="000000" w:fill="DAD5C9"/>
            <w:noWrap/>
            <w:vAlign w:val="bottom"/>
          </w:tcPr>
          <w:p w14:paraId="285B2E10" w14:textId="77777777" w:rsidR="00D06894" w:rsidRPr="000B4B5A" w:rsidRDefault="00D06894" w:rsidP="003B0CA5">
            <w:pPr>
              <w:pStyle w:val="TBodynormalNumber"/>
              <w:keepNext/>
              <w:rPr>
                <w:lang w:val="pt-BR"/>
              </w:rPr>
            </w:pPr>
            <w:r w:rsidRPr="000B4B5A">
              <w:rPr>
                <w:lang w:val="pt-BR"/>
              </w:rPr>
              <w:t>-207</w:t>
            </w:r>
          </w:p>
        </w:tc>
        <w:tc>
          <w:tcPr>
            <w:tcW w:w="119" w:type="dxa"/>
            <w:noWrap/>
            <w:vAlign w:val="bottom"/>
          </w:tcPr>
          <w:p w14:paraId="4D02EAB6" w14:textId="77777777" w:rsidR="00D06894" w:rsidRPr="000B4B5A" w:rsidRDefault="00D06894" w:rsidP="003B0CA5">
            <w:pPr>
              <w:pStyle w:val="TBodynormalNumber"/>
              <w:keepNext/>
              <w:rPr>
                <w:lang w:val="pt-BR"/>
              </w:rPr>
            </w:pPr>
          </w:p>
        </w:tc>
        <w:tc>
          <w:tcPr>
            <w:tcW w:w="1021" w:type="dxa"/>
            <w:tcBorders>
              <w:top w:val="single" w:sz="4" w:space="0" w:color="A59C94"/>
              <w:bottom w:val="single" w:sz="4" w:space="0" w:color="A59C94"/>
            </w:tcBorders>
            <w:noWrap/>
            <w:vAlign w:val="bottom"/>
          </w:tcPr>
          <w:p w14:paraId="03F32C3A" w14:textId="77777777" w:rsidR="00D06894" w:rsidRPr="000B4B5A" w:rsidRDefault="00D06894" w:rsidP="003B0CA5">
            <w:pPr>
              <w:pStyle w:val="TBodynormalNumber"/>
              <w:keepNext/>
              <w:rPr>
                <w:lang w:val="pt-BR"/>
              </w:rPr>
            </w:pPr>
            <w:r w:rsidRPr="000B4B5A">
              <w:rPr>
                <w:lang w:val="pt-BR"/>
              </w:rPr>
              <w:t>6</w:t>
            </w:r>
          </w:p>
        </w:tc>
      </w:tr>
      <w:tr w:rsidR="00D06894" w14:paraId="75EF1A29" w14:textId="77777777" w:rsidTr="003B0CA5">
        <w:tc>
          <w:tcPr>
            <w:tcW w:w="2914" w:type="dxa"/>
            <w:tcBorders>
              <w:top w:val="single" w:sz="4" w:space="0" w:color="A59C94"/>
              <w:bottom w:val="single" w:sz="16" w:space="0" w:color="991D85"/>
            </w:tcBorders>
            <w:noWrap/>
            <w:vAlign w:val="bottom"/>
          </w:tcPr>
          <w:p w14:paraId="1245C243" w14:textId="1821A0D4" w:rsidR="00D06894" w:rsidRPr="000B4B5A" w:rsidRDefault="000A4396" w:rsidP="003B0CA5">
            <w:pPr>
              <w:pStyle w:val="TBodytotalText"/>
              <w:rPr>
                <w:lang w:val="pt-BR"/>
              </w:rPr>
            </w:pPr>
            <w:bookmarkStart w:id="18" w:name="RANGE!B45:N45"/>
            <w:bookmarkEnd w:id="18"/>
            <w:r>
              <w:rPr>
                <w:lang w:val="pt-BR"/>
              </w:rPr>
              <w:t>Grupo Evonik</w:t>
            </w:r>
          </w:p>
        </w:tc>
        <w:tc>
          <w:tcPr>
            <w:tcW w:w="119" w:type="dxa"/>
            <w:tcBorders>
              <w:bottom w:val="single" w:sz="16" w:space="0" w:color="991D85"/>
            </w:tcBorders>
            <w:noWrap/>
            <w:vAlign w:val="bottom"/>
          </w:tcPr>
          <w:p w14:paraId="193A392B" w14:textId="77777777" w:rsidR="00D06894" w:rsidRPr="000B4B5A" w:rsidRDefault="00D06894" w:rsidP="003B0CA5">
            <w:pPr>
              <w:pStyle w:val="TBodytotalNumber"/>
              <w:rPr>
                <w:lang w:val="pt-BR"/>
              </w:rPr>
            </w:pPr>
          </w:p>
        </w:tc>
        <w:tc>
          <w:tcPr>
            <w:tcW w:w="1021" w:type="dxa"/>
            <w:tcBorders>
              <w:top w:val="single" w:sz="4" w:space="0" w:color="A59C94"/>
              <w:bottom w:val="single" w:sz="16" w:space="0" w:color="991D85"/>
            </w:tcBorders>
            <w:noWrap/>
            <w:vAlign w:val="bottom"/>
          </w:tcPr>
          <w:p w14:paraId="69AFDC44" w14:textId="2EE6DAB0" w:rsidR="00D06894" w:rsidRPr="000B4B5A" w:rsidRDefault="00D06894" w:rsidP="003B0CA5">
            <w:pPr>
              <w:pStyle w:val="TBodytotalNumber"/>
              <w:rPr>
                <w:lang w:val="pt-BR"/>
              </w:rPr>
            </w:pPr>
            <w:r w:rsidRPr="000B4B5A">
              <w:rPr>
                <w:lang w:val="pt-BR"/>
              </w:rPr>
              <w:t>10</w:t>
            </w:r>
            <w:r w:rsidR="000B4B5A" w:rsidRPr="000B4B5A">
              <w:rPr>
                <w:lang w:val="pt-BR"/>
              </w:rPr>
              <w:t>.</w:t>
            </w:r>
            <w:r w:rsidRPr="000B4B5A">
              <w:rPr>
                <w:lang w:val="pt-BR"/>
              </w:rPr>
              <w:t>865</w:t>
            </w:r>
          </w:p>
        </w:tc>
        <w:tc>
          <w:tcPr>
            <w:tcW w:w="119" w:type="dxa"/>
            <w:tcBorders>
              <w:bottom w:val="single" w:sz="16" w:space="0" w:color="991D85"/>
            </w:tcBorders>
            <w:noWrap/>
            <w:vAlign w:val="bottom"/>
          </w:tcPr>
          <w:p w14:paraId="1AA21F02" w14:textId="77777777" w:rsidR="00D06894" w:rsidRPr="000B4B5A" w:rsidRDefault="00D06894" w:rsidP="003B0CA5">
            <w:pPr>
              <w:pStyle w:val="TBodytotalNumber"/>
              <w:rPr>
                <w:lang w:val="pt-BR"/>
              </w:rPr>
            </w:pPr>
          </w:p>
        </w:tc>
        <w:tc>
          <w:tcPr>
            <w:tcW w:w="1021" w:type="dxa"/>
            <w:tcBorders>
              <w:top w:val="single" w:sz="4" w:space="0" w:color="A59C94"/>
              <w:bottom w:val="single" w:sz="16" w:space="0" w:color="991D85"/>
            </w:tcBorders>
            <w:shd w:val="clear" w:color="000000" w:fill="DAD5C9"/>
            <w:noWrap/>
            <w:vAlign w:val="bottom"/>
          </w:tcPr>
          <w:p w14:paraId="588C3E55" w14:textId="301E8C5C" w:rsidR="00D06894" w:rsidRPr="000B4B5A" w:rsidRDefault="00D06894" w:rsidP="003B0CA5">
            <w:pPr>
              <w:pStyle w:val="TBodytotalNumber"/>
              <w:rPr>
                <w:lang w:val="pt-BR"/>
              </w:rPr>
            </w:pPr>
            <w:r w:rsidRPr="000B4B5A">
              <w:rPr>
                <w:lang w:val="pt-BR"/>
              </w:rPr>
              <w:t>14</w:t>
            </w:r>
            <w:r w:rsidR="000B4B5A" w:rsidRPr="000B4B5A">
              <w:rPr>
                <w:lang w:val="pt-BR"/>
              </w:rPr>
              <w:t>.</w:t>
            </w:r>
            <w:r w:rsidRPr="000B4B5A">
              <w:rPr>
                <w:lang w:val="pt-BR"/>
              </w:rPr>
              <w:t>148</w:t>
            </w:r>
          </w:p>
        </w:tc>
        <w:tc>
          <w:tcPr>
            <w:tcW w:w="119" w:type="dxa"/>
            <w:tcBorders>
              <w:bottom w:val="single" w:sz="16" w:space="0" w:color="991D85"/>
            </w:tcBorders>
            <w:noWrap/>
            <w:vAlign w:val="bottom"/>
          </w:tcPr>
          <w:p w14:paraId="17401BF9" w14:textId="77777777" w:rsidR="00D06894" w:rsidRPr="000B4B5A" w:rsidRDefault="00D06894" w:rsidP="003B0CA5">
            <w:pPr>
              <w:pStyle w:val="TBodytotalNumber"/>
              <w:rPr>
                <w:lang w:val="pt-BR"/>
              </w:rPr>
            </w:pPr>
          </w:p>
        </w:tc>
        <w:tc>
          <w:tcPr>
            <w:tcW w:w="1021" w:type="dxa"/>
            <w:tcBorders>
              <w:top w:val="single" w:sz="4" w:space="0" w:color="A59C94"/>
              <w:bottom w:val="single" w:sz="16" w:space="0" w:color="991D85"/>
            </w:tcBorders>
            <w:noWrap/>
            <w:vAlign w:val="bottom"/>
          </w:tcPr>
          <w:p w14:paraId="117DD1D0" w14:textId="77777777" w:rsidR="00D06894" w:rsidRPr="000B4B5A" w:rsidRDefault="00D06894" w:rsidP="003B0CA5">
            <w:pPr>
              <w:pStyle w:val="TBodytotalNumber"/>
              <w:rPr>
                <w:lang w:val="pt-BR"/>
              </w:rPr>
            </w:pPr>
            <w:r w:rsidRPr="000B4B5A">
              <w:rPr>
                <w:lang w:val="pt-BR"/>
              </w:rPr>
              <w:t>30</w:t>
            </w:r>
          </w:p>
        </w:tc>
        <w:tc>
          <w:tcPr>
            <w:tcW w:w="119" w:type="dxa"/>
            <w:tcBorders>
              <w:bottom w:val="single" w:sz="16" w:space="0" w:color="991D85"/>
            </w:tcBorders>
            <w:noWrap/>
            <w:vAlign w:val="bottom"/>
          </w:tcPr>
          <w:p w14:paraId="22E6CE70" w14:textId="77777777" w:rsidR="00D06894" w:rsidRPr="000B4B5A" w:rsidRDefault="00D06894" w:rsidP="003B0CA5">
            <w:pPr>
              <w:pStyle w:val="TBodytotalNumber"/>
              <w:rPr>
                <w:lang w:val="pt-BR"/>
              </w:rPr>
            </w:pPr>
          </w:p>
        </w:tc>
        <w:tc>
          <w:tcPr>
            <w:tcW w:w="1021" w:type="dxa"/>
            <w:tcBorders>
              <w:top w:val="single" w:sz="4" w:space="0" w:color="A59C94"/>
              <w:bottom w:val="single" w:sz="16" w:space="0" w:color="991D85"/>
            </w:tcBorders>
            <w:noWrap/>
            <w:vAlign w:val="bottom"/>
          </w:tcPr>
          <w:p w14:paraId="0B8A692B" w14:textId="32F10485" w:rsidR="00D06894" w:rsidRPr="000B4B5A" w:rsidRDefault="00D06894" w:rsidP="003B0CA5">
            <w:pPr>
              <w:pStyle w:val="TBodytotalNumber"/>
              <w:rPr>
                <w:lang w:val="pt-BR"/>
              </w:rPr>
            </w:pPr>
            <w:r w:rsidRPr="000B4B5A">
              <w:rPr>
                <w:lang w:val="pt-BR"/>
              </w:rPr>
              <w:t>1</w:t>
            </w:r>
            <w:r w:rsidR="000B4B5A" w:rsidRPr="000B4B5A">
              <w:rPr>
                <w:lang w:val="pt-BR"/>
              </w:rPr>
              <w:t>.</w:t>
            </w:r>
            <w:r w:rsidRPr="000B4B5A">
              <w:rPr>
                <w:lang w:val="pt-BR"/>
              </w:rPr>
              <w:t>881</w:t>
            </w:r>
          </w:p>
        </w:tc>
        <w:tc>
          <w:tcPr>
            <w:tcW w:w="119" w:type="dxa"/>
            <w:tcBorders>
              <w:bottom w:val="single" w:sz="16" w:space="0" w:color="991D85"/>
            </w:tcBorders>
            <w:noWrap/>
            <w:vAlign w:val="bottom"/>
          </w:tcPr>
          <w:p w14:paraId="57F15F3A" w14:textId="77777777" w:rsidR="00D06894" w:rsidRPr="000B4B5A" w:rsidRDefault="00D06894" w:rsidP="003B0CA5">
            <w:pPr>
              <w:pStyle w:val="TBodytotalNumber"/>
              <w:rPr>
                <w:lang w:val="pt-BR"/>
              </w:rPr>
            </w:pPr>
          </w:p>
        </w:tc>
        <w:tc>
          <w:tcPr>
            <w:tcW w:w="1021" w:type="dxa"/>
            <w:tcBorders>
              <w:top w:val="single" w:sz="4" w:space="0" w:color="A59C94"/>
              <w:bottom w:val="single" w:sz="16" w:space="0" w:color="991D85"/>
            </w:tcBorders>
            <w:shd w:val="clear" w:color="000000" w:fill="DAD5C9"/>
            <w:noWrap/>
            <w:vAlign w:val="bottom"/>
          </w:tcPr>
          <w:p w14:paraId="61DF0E48" w14:textId="3AB40C0E" w:rsidR="00D06894" w:rsidRPr="000B4B5A" w:rsidRDefault="00D06894" w:rsidP="003B0CA5">
            <w:pPr>
              <w:pStyle w:val="TBodytotalNumber"/>
              <w:rPr>
                <w:lang w:val="pt-BR"/>
              </w:rPr>
            </w:pPr>
            <w:r w:rsidRPr="000B4B5A">
              <w:rPr>
                <w:lang w:val="pt-BR"/>
              </w:rPr>
              <w:t>2</w:t>
            </w:r>
            <w:r w:rsidR="000B4B5A" w:rsidRPr="000B4B5A">
              <w:rPr>
                <w:lang w:val="pt-BR"/>
              </w:rPr>
              <w:t>.</w:t>
            </w:r>
            <w:r w:rsidRPr="000B4B5A">
              <w:rPr>
                <w:lang w:val="pt-BR"/>
              </w:rPr>
              <w:t>077</w:t>
            </w:r>
          </w:p>
        </w:tc>
        <w:tc>
          <w:tcPr>
            <w:tcW w:w="119" w:type="dxa"/>
            <w:tcBorders>
              <w:bottom w:val="single" w:sz="16" w:space="0" w:color="991D85"/>
            </w:tcBorders>
            <w:noWrap/>
            <w:vAlign w:val="bottom"/>
          </w:tcPr>
          <w:p w14:paraId="4533D4AB" w14:textId="77777777" w:rsidR="00D06894" w:rsidRPr="000B4B5A" w:rsidRDefault="00D06894" w:rsidP="003B0CA5">
            <w:pPr>
              <w:pStyle w:val="TBodytotalNumber"/>
              <w:rPr>
                <w:lang w:val="pt-BR"/>
              </w:rPr>
            </w:pPr>
          </w:p>
        </w:tc>
        <w:tc>
          <w:tcPr>
            <w:tcW w:w="1021" w:type="dxa"/>
            <w:tcBorders>
              <w:top w:val="single" w:sz="4" w:space="0" w:color="A59C94"/>
              <w:bottom w:val="single" w:sz="16" w:space="0" w:color="991D85"/>
            </w:tcBorders>
            <w:noWrap/>
            <w:vAlign w:val="bottom"/>
          </w:tcPr>
          <w:p w14:paraId="70728F44" w14:textId="77777777" w:rsidR="00D06894" w:rsidRPr="000B4B5A" w:rsidRDefault="00D06894" w:rsidP="003B0CA5">
            <w:pPr>
              <w:pStyle w:val="TBodytotalNumber"/>
              <w:rPr>
                <w:lang w:val="pt-BR"/>
              </w:rPr>
            </w:pPr>
            <w:r w:rsidRPr="000B4B5A">
              <w:rPr>
                <w:lang w:val="pt-BR"/>
              </w:rPr>
              <w:t>10</w:t>
            </w:r>
          </w:p>
        </w:tc>
      </w:tr>
      <w:bookmarkEnd w:id="11"/>
    </w:tbl>
    <w:p w14:paraId="70CB9DD6" w14:textId="77777777" w:rsidR="00D06894" w:rsidRDefault="00D06894" w:rsidP="00D06894">
      <w:pPr>
        <w:spacing w:after="240" w:line="372" w:lineRule="atLeast"/>
        <w:rPr>
          <w:rFonts w:ascii="Times New Roman" w:hAnsi="Times New Roman"/>
          <w:sz w:val="24"/>
        </w:rPr>
      </w:pPr>
    </w:p>
    <w:tbl>
      <w:tblPr>
        <w:tblW w:w="9752" w:type="dxa"/>
        <w:tblLayout w:type="fixed"/>
        <w:tblCellMar>
          <w:left w:w="0" w:type="dxa"/>
          <w:right w:w="0" w:type="dxa"/>
        </w:tblCellMar>
        <w:tblLook w:val="04A0" w:firstRow="1" w:lastRow="0" w:firstColumn="1" w:lastColumn="0" w:noHBand="0" w:noVBand="1"/>
        <w:tblCaption w:val="Pressemitteilung - Tabelle en!outarea_mitarbeiter"/>
        <w:tblDescription w:val="SNEID_ff49204d453a430193fb198056f74b99"/>
      </w:tblPr>
      <w:tblGrid>
        <w:gridCol w:w="7472"/>
        <w:gridCol w:w="119"/>
        <w:gridCol w:w="1021"/>
        <w:gridCol w:w="119"/>
        <w:gridCol w:w="1021"/>
      </w:tblGrid>
      <w:tr w:rsidR="00D06894" w14:paraId="1AC8C1DE" w14:textId="77777777" w:rsidTr="003B0CA5">
        <w:tc>
          <w:tcPr>
            <w:tcW w:w="7473" w:type="dxa"/>
            <w:noWrap/>
            <w:vAlign w:val="bottom"/>
          </w:tcPr>
          <w:p w14:paraId="4E732030" w14:textId="47236A10" w:rsidR="00D06894" w:rsidRDefault="000B4B5A" w:rsidP="003B0CA5">
            <w:pPr>
              <w:pStyle w:val="TTitleText"/>
            </w:pPr>
            <w:bookmarkStart w:id="19" w:name="SNEID_ff49204d453a430193fb198056f74b99"/>
            <w:proofErr w:type="spellStart"/>
            <w:r>
              <w:t>Colaboradores</w:t>
            </w:r>
            <w:proofErr w:type="spellEnd"/>
            <w:r>
              <w:t xml:space="preserve"> </w:t>
            </w:r>
            <w:proofErr w:type="spellStart"/>
            <w:r>
              <w:t>por</w:t>
            </w:r>
            <w:proofErr w:type="spellEnd"/>
            <w:r>
              <w:t xml:space="preserve"> </w:t>
            </w:r>
            <w:proofErr w:type="spellStart"/>
            <w:r>
              <w:t>Divisão</w:t>
            </w:r>
            <w:proofErr w:type="spellEnd"/>
          </w:p>
        </w:tc>
        <w:tc>
          <w:tcPr>
            <w:tcW w:w="119" w:type="dxa"/>
            <w:noWrap/>
            <w:vAlign w:val="bottom"/>
          </w:tcPr>
          <w:p w14:paraId="31A6BE9C" w14:textId="77777777" w:rsidR="00D06894" w:rsidRDefault="00D06894" w:rsidP="003B0CA5">
            <w:pPr>
              <w:pStyle w:val="TTitleText"/>
            </w:pPr>
          </w:p>
        </w:tc>
        <w:tc>
          <w:tcPr>
            <w:tcW w:w="1021" w:type="dxa"/>
            <w:noWrap/>
            <w:vAlign w:val="bottom"/>
          </w:tcPr>
          <w:p w14:paraId="64EB3319" w14:textId="77777777" w:rsidR="00D06894" w:rsidRDefault="00D06894" w:rsidP="003B0CA5">
            <w:pPr>
              <w:pStyle w:val="TTitleText"/>
            </w:pPr>
          </w:p>
        </w:tc>
        <w:tc>
          <w:tcPr>
            <w:tcW w:w="119" w:type="dxa"/>
            <w:noWrap/>
            <w:vAlign w:val="bottom"/>
          </w:tcPr>
          <w:p w14:paraId="2E142A6A" w14:textId="77777777" w:rsidR="00D06894" w:rsidRDefault="00D06894" w:rsidP="003B0CA5">
            <w:pPr>
              <w:pStyle w:val="TTitleText"/>
            </w:pPr>
          </w:p>
        </w:tc>
        <w:tc>
          <w:tcPr>
            <w:tcW w:w="1021" w:type="dxa"/>
            <w:noWrap/>
            <w:vAlign w:val="bottom"/>
          </w:tcPr>
          <w:p w14:paraId="56ABE04D" w14:textId="77777777" w:rsidR="00D06894" w:rsidRDefault="00D06894" w:rsidP="003B0CA5">
            <w:pPr>
              <w:pStyle w:val="TTitleText"/>
            </w:pPr>
          </w:p>
        </w:tc>
      </w:tr>
      <w:tr w:rsidR="00D06894" w14:paraId="637BA38A" w14:textId="77777777" w:rsidTr="003B0CA5">
        <w:tc>
          <w:tcPr>
            <w:tcW w:w="7473" w:type="dxa"/>
            <w:tcBorders>
              <w:top w:val="single" w:sz="8" w:space="0" w:color="000000"/>
            </w:tcBorders>
            <w:noWrap/>
            <w:vAlign w:val="bottom"/>
          </w:tcPr>
          <w:p w14:paraId="22C21799" w14:textId="77777777" w:rsidR="00D06894" w:rsidRDefault="00D06894" w:rsidP="003B0CA5">
            <w:pPr>
              <w:pStyle w:val="TDummy"/>
              <w:keepNext/>
            </w:pPr>
          </w:p>
        </w:tc>
        <w:tc>
          <w:tcPr>
            <w:tcW w:w="119" w:type="dxa"/>
            <w:tcBorders>
              <w:top w:val="single" w:sz="8" w:space="0" w:color="000000"/>
            </w:tcBorders>
            <w:noWrap/>
            <w:vAlign w:val="bottom"/>
          </w:tcPr>
          <w:p w14:paraId="0B101A08" w14:textId="77777777" w:rsidR="00D06894" w:rsidRDefault="00D06894" w:rsidP="003B0CA5">
            <w:pPr>
              <w:pStyle w:val="TDummy"/>
              <w:keepNext/>
            </w:pPr>
          </w:p>
        </w:tc>
        <w:tc>
          <w:tcPr>
            <w:tcW w:w="1021" w:type="dxa"/>
            <w:tcBorders>
              <w:top w:val="single" w:sz="8" w:space="0" w:color="000000"/>
            </w:tcBorders>
            <w:noWrap/>
            <w:vAlign w:val="bottom"/>
          </w:tcPr>
          <w:p w14:paraId="03C36965" w14:textId="77777777" w:rsidR="00D06894" w:rsidRDefault="00D06894" w:rsidP="003B0CA5">
            <w:pPr>
              <w:pStyle w:val="TDummy"/>
              <w:keepNext/>
            </w:pPr>
          </w:p>
        </w:tc>
        <w:tc>
          <w:tcPr>
            <w:tcW w:w="119" w:type="dxa"/>
            <w:tcBorders>
              <w:top w:val="single" w:sz="8" w:space="0" w:color="000000"/>
            </w:tcBorders>
            <w:noWrap/>
            <w:vAlign w:val="bottom"/>
          </w:tcPr>
          <w:p w14:paraId="7AAEFBEA" w14:textId="77777777" w:rsidR="00D06894" w:rsidRDefault="00D06894" w:rsidP="003B0CA5">
            <w:pPr>
              <w:pStyle w:val="TDummy"/>
              <w:keepNext/>
            </w:pPr>
          </w:p>
        </w:tc>
        <w:tc>
          <w:tcPr>
            <w:tcW w:w="1021" w:type="dxa"/>
            <w:tcBorders>
              <w:top w:val="single" w:sz="8" w:space="0" w:color="000000"/>
            </w:tcBorders>
            <w:noWrap/>
            <w:vAlign w:val="bottom"/>
          </w:tcPr>
          <w:p w14:paraId="26033100" w14:textId="77777777" w:rsidR="00D06894" w:rsidRDefault="00D06894" w:rsidP="003B0CA5">
            <w:pPr>
              <w:pStyle w:val="TDummy"/>
              <w:keepNext/>
            </w:pPr>
          </w:p>
        </w:tc>
      </w:tr>
      <w:tr w:rsidR="00D06894" w14:paraId="3496FC72" w14:textId="77777777" w:rsidTr="003B0CA5">
        <w:tc>
          <w:tcPr>
            <w:tcW w:w="7473" w:type="dxa"/>
            <w:tcBorders>
              <w:bottom w:val="single" w:sz="4" w:space="0" w:color="000000"/>
            </w:tcBorders>
            <w:shd w:val="clear" w:color="000000" w:fill="FFFFFF"/>
            <w:noWrap/>
            <w:vAlign w:val="bottom"/>
          </w:tcPr>
          <w:p w14:paraId="193DDD78" w14:textId="77777777" w:rsidR="00D06894" w:rsidRDefault="00D06894" w:rsidP="003B0CA5">
            <w:pPr>
              <w:pStyle w:val="THeadsingleText"/>
            </w:pPr>
            <w:bookmarkStart w:id="20" w:name="RANGE!B51:F51"/>
            <w:bookmarkEnd w:id="20"/>
          </w:p>
        </w:tc>
        <w:tc>
          <w:tcPr>
            <w:tcW w:w="119" w:type="dxa"/>
            <w:noWrap/>
            <w:vAlign w:val="bottom"/>
          </w:tcPr>
          <w:p w14:paraId="7566137E" w14:textId="77777777" w:rsidR="00D06894" w:rsidRDefault="00D06894" w:rsidP="003B0CA5">
            <w:pPr>
              <w:pStyle w:val="THeadsingleNumber"/>
            </w:pPr>
          </w:p>
        </w:tc>
        <w:tc>
          <w:tcPr>
            <w:tcW w:w="1021" w:type="dxa"/>
            <w:tcBorders>
              <w:bottom w:val="single" w:sz="4" w:space="0" w:color="000000"/>
            </w:tcBorders>
            <w:shd w:val="clear" w:color="000000" w:fill="FFFFFF"/>
            <w:vAlign w:val="bottom"/>
          </w:tcPr>
          <w:p w14:paraId="6806ACE0" w14:textId="1CFE9B7B" w:rsidR="00D06894" w:rsidRDefault="000B4B5A" w:rsidP="003B0CA5">
            <w:pPr>
              <w:pStyle w:val="THeadsingleNumber"/>
            </w:pPr>
            <w:r>
              <w:t>31.12.2021</w:t>
            </w:r>
          </w:p>
        </w:tc>
        <w:tc>
          <w:tcPr>
            <w:tcW w:w="119" w:type="dxa"/>
            <w:vAlign w:val="bottom"/>
          </w:tcPr>
          <w:p w14:paraId="632300FD" w14:textId="77777777" w:rsidR="00D06894" w:rsidRDefault="00D06894" w:rsidP="003B0CA5">
            <w:pPr>
              <w:pStyle w:val="THeadsingleNumber"/>
            </w:pPr>
          </w:p>
        </w:tc>
        <w:tc>
          <w:tcPr>
            <w:tcW w:w="1021" w:type="dxa"/>
            <w:tcBorders>
              <w:bottom w:val="single" w:sz="4" w:space="0" w:color="000000"/>
            </w:tcBorders>
            <w:shd w:val="clear" w:color="000000" w:fill="FFFFFF"/>
            <w:vAlign w:val="bottom"/>
          </w:tcPr>
          <w:p w14:paraId="50E9CE2A" w14:textId="74409D55" w:rsidR="00D06894" w:rsidRDefault="000B4B5A" w:rsidP="003B0CA5">
            <w:pPr>
              <w:pStyle w:val="THeadsingleNumberbold"/>
            </w:pPr>
            <w:bookmarkStart w:id="21" w:name="RANGE!F51:F60"/>
            <w:bookmarkEnd w:id="21"/>
            <w:r>
              <w:t>30.9.2022</w:t>
            </w:r>
          </w:p>
        </w:tc>
      </w:tr>
      <w:tr w:rsidR="00D06894" w14:paraId="02086079" w14:textId="77777777" w:rsidTr="003B0CA5">
        <w:tc>
          <w:tcPr>
            <w:tcW w:w="7473" w:type="dxa"/>
            <w:tcBorders>
              <w:top w:val="single" w:sz="4" w:space="0" w:color="000000"/>
              <w:bottom w:val="single" w:sz="4" w:space="0" w:color="A59C94"/>
            </w:tcBorders>
            <w:noWrap/>
            <w:vAlign w:val="bottom"/>
          </w:tcPr>
          <w:p w14:paraId="1F5F7D6E" w14:textId="77777777" w:rsidR="00D06894" w:rsidRDefault="00D06894" w:rsidP="003B0CA5">
            <w:pPr>
              <w:pStyle w:val="TBodynormalText"/>
            </w:pPr>
            <w:r>
              <w:t>Specialty Additives</w:t>
            </w:r>
          </w:p>
        </w:tc>
        <w:tc>
          <w:tcPr>
            <w:tcW w:w="119" w:type="dxa"/>
            <w:noWrap/>
            <w:vAlign w:val="bottom"/>
          </w:tcPr>
          <w:p w14:paraId="2D5B9A89" w14:textId="77777777" w:rsidR="00D06894" w:rsidRDefault="00D06894" w:rsidP="003B0CA5">
            <w:pPr>
              <w:pStyle w:val="TBodynormalNumber"/>
              <w:keepNext/>
            </w:pPr>
          </w:p>
        </w:tc>
        <w:tc>
          <w:tcPr>
            <w:tcW w:w="1021" w:type="dxa"/>
            <w:tcBorders>
              <w:top w:val="single" w:sz="4" w:space="0" w:color="000000"/>
              <w:bottom w:val="single" w:sz="4" w:space="0" w:color="A59C94"/>
            </w:tcBorders>
            <w:noWrap/>
            <w:vAlign w:val="bottom"/>
          </w:tcPr>
          <w:p w14:paraId="2E444EBD" w14:textId="1B477E80" w:rsidR="00D06894" w:rsidRDefault="00D06894" w:rsidP="003B0CA5">
            <w:pPr>
              <w:pStyle w:val="TBodynormalNumber"/>
              <w:keepNext/>
            </w:pPr>
            <w:r>
              <w:t>3</w:t>
            </w:r>
            <w:r w:rsidR="000A4396">
              <w:t>.</w:t>
            </w:r>
            <w:r>
              <w:t>693</w:t>
            </w:r>
          </w:p>
        </w:tc>
        <w:tc>
          <w:tcPr>
            <w:tcW w:w="119" w:type="dxa"/>
            <w:noWrap/>
            <w:vAlign w:val="bottom"/>
          </w:tcPr>
          <w:p w14:paraId="0D8D81C1" w14:textId="77777777" w:rsidR="00D06894" w:rsidRDefault="00D06894" w:rsidP="003B0CA5">
            <w:pPr>
              <w:pStyle w:val="TBodynormalNumber"/>
              <w:keepNext/>
            </w:pPr>
          </w:p>
        </w:tc>
        <w:tc>
          <w:tcPr>
            <w:tcW w:w="1021" w:type="dxa"/>
            <w:tcBorders>
              <w:top w:val="single" w:sz="4" w:space="0" w:color="000000"/>
              <w:bottom w:val="single" w:sz="4" w:space="0" w:color="A59C94"/>
            </w:tcBorders>
            <w:shd w:val="clear" w:color="000000" w:fill="DAD5C9"/>
            <w:noWrap/>
            <w:vAlign w:val="bottom"/>
          </w:tcPr>
          <w:p w14:paraId="08B77B78" w14:textId="6B2D96E3" w:rsidR="00D06894" w:rsidRDefault="00D06894" w:rsidP="003B0CA5">
            <w:pPr>
              <w:pStyle w:val="TBodynormalNumber"/>
              <w:keepNext/>
            </w:pPr>
            <w:r>
              <w:t>3</w:t>
            </w:r>
            <w:r w:rsidR="000A4396">
              <w:t>.</w:t>
            </w:r>
            <w:r>
              <w:t>785</w:t>
            </w:r>
          </w:p>
        </w:tc>
      </w:tr>
      <w:tr w:rsidR="00D06894" w14:paraId="27CF753D" w14:textId="77777777" w:rsidTr="003B0CA5">
        <w:tc>
          <w:tcPr>
            <w:tcW w:w="7473" w:type="dxa"/>
            <w:tcBorders>
              <w:top w:val="single" w:sz="4" w:space="0" w:color="A59C94"/>
              <w:bottom w:val="single" w:sz="4" w:space="0" w:color="A59C94"/>
            </w:tcBorders>
            <w:noWrap/>
            <w:vAlign w:val="bottom"/>
          </w:tcPr>
          <w:p w14:paraId="1669A613" w14:textId="77777777" w:rsidR="00D06894" w:rsidRDefault="00D06894" w:rsidP="003B0CA5">
            <w:pPr>
              <w:pStyle w:val="TBodynormalText"/>
            </w:pPr>
            <w:r>
              <w:t>Nutrition &amp; Care</w:t>
            </w:r>
          </w:p>
        </w:tc>
        <w:tc>
          <w:tcPr>
            <w:tcW w:w="119" w:type="dxa"/>
            <w:noWrap/>
            <w:vAlign w:val="bottom"/>
          </w:tcPr>
          <w:p w14:paraId="6E14EF82" w14:textId="77777777" w:rsidR="00D06894" w:rsidRDefault="00D06894" w:rsidP="003B0CA5">
            <w:pPr>
              <w:pStyle w:val="TBodynormalNumber"/>
              <w:keepNext/>
            </w:pPr>
          </w:p>
        </w:tc>
        <w:tc>
          <w:tcPr>
            <w:tcW w:w="1021" w:type="dxa"/>
            <w:tcBorders>
              <w:top w:val="single" w:sz="4" w:space="0" w:color="A59C94"/>
              <w:bottom w:val="single" w:sz="4" w:space="0" w:color="A59C94"/>
            </w:tcBorders>
            <w:noWrap/>
            <w:vAlign w:val="bottom"/>
          </w:tcPr>
          <w:p w14:paraId="34353F72" w14:textId="66F30C61" w:rsidR="00D06894" w:rsidRDefault="00D06894" w:rsidP="003B0CA5">
            <w:pPr>
              <w:pStyle w:val="TBodynormalNumber"/>
              <w:keepNext/>
            </w:pPr>
            <w:r>
              <w:t>5</w:t>
            </w:r>
            <w:r w:rsidR="000A4396">
              <w:t>.</w:t>
            </w:r>
            <w:r>
              <w:t>453</w:t>
            </w:r>
          </w:p>
        </w:tc>
        <w:tc>
          <w:tcPr>
            <w:tcW w:w="119" w:type="dxa"/>
            <w:noWrap/>
            <w:vAlign w:val="bottom"/>
          </w:tcPr>
          <w:p w14:paraId="79CFBD92" w14:textId="77777777" w:rsidR="00D06894" w:rsidRDefault="00D06894" w:rsidP="003B0CA5">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31A87CFB" w14:textId="3EF2E785" w:rsidR="00D06894" w:rsidRDefault="00D06894" w:rsidP="003B0CA5">
            <w:pPr>
              <w:pStyle w:val="TBodynormalNumber"/>
              <w:keepNext/>
            </w:pPr>
            <w:r>
              <w:t>5</w:t>
            </w:r>
            <w:r w:rsidR="000A4396">
              <w:t>.</w:t>
            </w:r>
            <w:r>
              <w:t>680</w:t>
            </w:r>
          </w:p>
        </w:tc>
      </w:tr>
      <w:tr w:rsidR="00D06894" w14:paraId="0CBF976A" w14:textId="77777777" w:rsidTr="003B0CA5">
        <w:tc>
          <w:tcPr>
            <w:tcW w:w="7473" w:type="dxa"/>
            <w:tcBorders>
              <w:top w:val="single" w:sz="4" w:space="0" w:color="A59C94"/>
              <w:bottom w:val="single" w:sz="4" w:space="0" w:color="A59C94"/>
            </w:tcBorders>
            <w:noWrap/>
            <w:vAlign w:val="bottom"/>
          </w:tcPr>
          <w:p w14:paraId="5CD166A5" w14:textId="77777777" w:rsidR="00D06894" w:rsidRDefault="00D06894" w:rsidP="003B0CA5">
            <w:pPr>
              <w:pStyle w:val="TBodynormalText"/>
            </w:pPr>
            <w:r>
              <w:t>Smart Materials</w:t>
            </w:r>
          </w:p>
        </w:tc>
        <w:tc>
          <w:tcPr>
            <w:tcW w:w="119" w:type="dxa"/>
            <w:noWrap/>
            <w:vAlign w:val="bottom"/>
          </w:tcPr>
          <w:p w14:paraId="685BBEB3" w14:textId="77777777" w:rsidR="00D06894" w:rsidRDefault="00D06894" w:rsidP="003B0CA5">
            <w:pPr>
              <w:pStyle w:val="TBodynormalNumber"/>
              <w:keepNext/>
            </w:pPr>
          </w:p>
        </w:tc>
        <w:tc>
          <w:tcPr>
            <w:tcW w:w="1021" w:type="dxa"/>
            <w:tcBorders>
              <w:top w:val="single" w:sz="4" w:space="0" w:color="A59C94"/>
              <w:bottom w:val="single" w:sz="4" w:space="0" w:color="A59C94"/>
            </w:tcBorders>
            <w:noWrap/>
            <w:vAlign w:val="bottom"/>
          </w:tcPr>
          <w:p w14:paraId="22AFD569" w14:textId="3DDB0EA3" w:rsidR="00D06894" w:rsidRDefault="00D06894" w:rsidP="003B0CA5">
            <w:pPr>
              <w:pStyle w:val="TBodynormalNumber"/>
              <w:keepNext/>
            </w:pPr>
            <w:r>
              <w:t>7</w:t>
            </w:r>
            <w:r w:rsidR="000A4396">
              <w:t>.</w:t>
            </w:r>
            <w:r>
              <w:t>742</w:t>
            </w:r>
          </w:p>
        </w:tc>
        <w:tc>
          <w:tcPr>
            <w:tcW w:w="119" w:type="dxa"/>
            <w:noWrap/>
            <w:vAlign w:val="bottom"/>
          </w:tcPr>
          <w:p w14:paraId="4E9AE4B3" w14:textId="77777777" w:rsidR="00D06894" w:rsidRDefault="00D06894" w:rsidP="003B0CA5">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274492C7" w14:textId="6C81477C" w:rsidR="00D06894" w:rsidRDefault="00D06894" w:rsidP="003B0CA5">
            <w:pPr>
              <w:pStyle w:val="TBodynormalNumber"/>
              <w:keepNext/>
            </w:pPr>
            <w:r>
              <w:t>7</w:t>
            </w:r>
            <w:r w:rsidR="000A4396">
              <w:t>.</w:t>
            </w:r>
            <w:r>
              <w:t>919</w:t>
            </w:r>
          </w:p>
        </w:tc>
      </w:tr>
      <w:tr w:rsidR="00D06894" w14:paraId="46F5B23D" w14:textId="77777777" w:rsidTr="003B0CA5">
        <w:tc>
          <w:tcPr>
            <w:tcW w:w="7473" w:type="dxa"/>
            <w:tcBorders>
              <w:top w:val="single" w:sz="4" w:space="0" w:color="A59C94"/>
              <w:bottom w:val="single" w:sz="4" w:space="0" w:color="A59C94"/>
            </w:tcBorders>
            <w:noWrap/>
            <w:vAlign w:val="bottom"/>
          </w:tcPr>
          <w:p w14:paraId="2D207D0C" w14:textId="77777777" w:rsidR="00D06894" w:rsidRDefault="00D06894" w:rsidP="003B0CA5">
            <w:pPr>
              <w:pStyle w:val="TBodynormalText"/>
            </w:pPr>
            <w:r>
              <w:t>Performance Materials</w:t>
            </w:r>
          </w:p>
        </w:tc>
        <w:tc>
          <w:tcPr>
            <w:tcW w:w="119" w:type="dxa"/>
            <w:noWrap/>
            <w:vAlign w:val="bottom"/>
          </w:tcPr>
          <w:p w14:paraId="526A1065" w14:textId="77777777" w:rsidR="00D06894" w:rsidRDefault="00D06894" w:rsidP="003B0CA5">
            <w:pPr>
              <w:pStyle w:val="TBodynormalNumber"/>
              <w:keepNext/>
            </w:pPr>
          </w:p>
        </w:tc>
        <w:tc>
          <w:tcPr>
            <w:tcW w:w="1021" w:type="dxa"/>
            <w:tcBorders>
              <w:top w:val="single" w:sz="4" w:space="0" w:color="A59C94"/>
              <w:bottom w:val="single" w:sz="4" w:space="0" w:color="A59C94"/>
            </w:tcBorders>
            <w:noWrap/>
            <w:vAlign w:val="bottom"/>
          </w:tcPr>
          <w:p w14:paraId="4A03E721" w14:textId="3A136F4E" w:rsidR="00D06894" w:rsidRDefault="00D06894" w:rsidP="003B0CA5">
            <w:pPr>
              <w:pStyle w:val="TBodynormalNumber"/>
              <w:keepNext/>
            </w:pPr>
            <w:r>
              <w:t>1</w:t>
            </w:r>
            <w:r w:rsidR="000A4396">
              <w:t>.</w:t>
            </w:r>
            <w:r>
              <w:t>964</w:t>
            </w:r>
          </w:p>
        </w:tc>
        <w:tc>
          <w:tcPr>
            <w:tcW w:w="119" w:type="dxa"/>
            <w:noWrap/>
            <w:vAlign w:val="bottom"/>
          </w:tcPr>
          <w:p w14:paraId="12C6C12C" w14:textId="77777777" w:rsidR="00D06894" w:rsidRDefault="00D06894" w:rsidP="003B0CA5">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6DED62D7" w14:textId="3B1F2DCC" w:rsidR="00D06894" w:rsidRDefault="00D06894" w:rsidP="003B0CA5">
            <w:pPr>
              <w:pStyle w:val="TBodynormalNumber"/>
              <w:keepNext/>
            </w:pPr>
            <w:r>
              <w:t>2</w:t>
            </w:r>
            <w:r w:rsidR="000A4396">
              <w:t>.</w:t>
            </w:r>
            <w:r>
              <w:t>031</w:t>
            </w:r>
          </w:p>
        </w:tc>
      </w:tr>
      <w:tr w:rsidR="00D06894" w14:paraId="0D74C2C3" w14:textId="77777777" w:rsidTr="003B0CA5">
        <w:tc>
          <w:tcPr>
            <w:tcW w:w="7473" w:type="dxa"/>
            <w:tcBorders>
              <w:top w:val="single" w:sz="4" w:space="0" w:color="A59C94"/>
              <w:bottom w:val="single" w:sz="4" w:space="0" w:color="A59C94"/>
            </w:tcBorders>
            <w:noWrap/>
            <w:vAlign w:val="bottom"/>
          </w:tcPr>
          <w:p w14:paraId="5AC3A9CC" w14:textId="77777777" w:rsidR="00D06894" w:rsidRDefault="00D06894" w:rsidP="003B0CA5">
            <w:pPr>
              <w:pStyle w:val="TBodynormalText"/>
            </w:pPr>
            <w:r>
              <w:t>Technology &amp; Infrastructure</w:t>
            </w:r>
          </w:p>
        </w:tc>
        <w:tc>
          <w:tcPr>
            <w:tcW w:w="119" w:type="dxa"/>
            <w:noWrap/>
            <w:vAlign w:val="bottom"/>
          </w:tcPr>
          <w:p w14:paraId="1F55D692" w14:textId="77777777" w:rsidR="00D06894" w:rsidRDefault="00D06894" w:rsidP="003B0CA5">
            <w:pPr>
              <w:pStyle w:val="TBodynormalNumber"/>
              <w:keepNext/>
            </w:pPr>
          </w:p>
        </w:tc>
        <w:tc>
          <w:tcPr>
            <w:tcW w:w="1021" w:type="dxa"/>
            <w:tcBorders>
              <w:top w:val="single" w:sz="4" w:space="0" w:color="A59C94"/>
              <w:bottom w:val="single" w:sz="4" w:space="0" w:color="A59C94"/>
            </w:tcBorders>
            <w:noWrap/>
            <w:vAlign w:val="bottom"/>
          </w:tcPr>
          <w:p w14:paraId="3B156240" w14:textId="59EE41AF" w:rsidR="00D06894" w:rsidRDefault="00D06894" w:rsidP="003B0CA5">
            <w:pPr>
              <w:pStyle w:val="TBodynormalNumber"/>
              <w:keepNext/>
            </w:pPr>
            <w:r>
              <w:t>8</w:t>
            </w:r>
            <w:r w:rsidR="000A4396">
              <w:t>.</w:t>
            </w:r>
            <w:r>
              <w:t>152</w:t>
            </w:r>
          </w:p>
        </w:tc>
        <w:tc>
          <w:tcPr>
            <w:tcW w:w="119" w:type="dxa"/>
            <w:noWrap/>
            <w:vAlign w:val="bottom"/>
          </w:tcPr>
          <w:p w14:paraId="3E670878" w14:textId="77777777" w:rsidR="00D06894" w:rsidRDefault="00D06894" w:rsidP="003B0CA5">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11BCA78F" w14:textId="6617B413" w:rsidR="00D06894" w:rsidRDefault="00D06894" w:rsidP="003B0CA5">
            <w:pPr>
              <w:pStyle w:val="TBodynormalNumber"/>
              <w:keepNext/>
            </w:pPr>
            <w:r>
              <w:t>8</w:t>
            </w:r>
            <w:r w:rsidR="000A4396">
              <w:t>.</w:t>
            </w:r>
            <w:r>
              <w:t>308</w:t>
            </w:r>
          </w:p>
        </w:tc>
      </w:tr>
      <w:tr w:rsidR="00D06894" w14:paraId="6D7FBAF6" w14:textId="77777777" w:rsidTr="003B0CA5">
        <w:tc>
          <w:tcPr>
            <w:tcW w:w="7473" w:type="dxa"/>
            <w:tcBorders>
              <w:top w:val="single" w:sz="4" w:space="0" w:color="A59C94"/>
              <w:bottom w:val="single" w:sz="4" w:space="0" w:color="A59C94"/>
            </w:tcBorders>
            <w:noWrap/>
            <w:vAlign w:val="bottom"/>
          </w:tcPr>
          <w:p w14:paraId="536073F4" w14:textId="25C92150" w:rsidR="00D06894" w:rsidRPr="009303F4" w:rsidRDefault="000A4396" w:rsidP="003B0CA5">
            <w:pPr>
              <w:pStyle w:val="TBodynormalText"/>
              <w:rPr>
                <w:lang w:val="en-US"/>
              </w:rPr>
            </w:pPr>
            <w:r w:rsidRPr="00D90082">
              <w:rPr>
                <w:lang w:val="pt-BR"/>
              </w:rPr>
              <w:t>Funções Essenciais, Outras Atividades, Consolidação</w:t>
            </w:r>
          </w:p>
        </w:tc>
        <w:tc>
          <w:tcPr>
            <w:tcW w:w="119" w:type="dxa"/>
            <w:noWrap/>
            <w:vAlign w:val="bottom"/>
          </w:tcPr>
          <w:p w14:paraId="364D2B90" w14:textId="77777777" w:rsidR="00D06894" w:rsidRPr="009303F4" w:rsidRDefault="00D06894" w:rsidP="003B0CA5">
            <w:pPr>
              <w:pStyle w:val="TBodynormalNumber"/>
              <w:keepNext/>
              <w:rPr>
                <w:lang w:val="en-US"/>
              </w:rPr>
            </w:pPr>
          </w:p>
        </w:tc>
        <w:tc>
          <w:tcPr>
            <w:tcW w:w="1021" w:type="dxa"/>
            <w:tcBorders>
              <w:top w:val="single" w:sz="4" w:space="0" w:color="A59C94"/>
              <w:bottom w:val="single" w:sz="4" w:space="0" w:color="A59C94"/>
            </w:tcBorders>
            <w:noWrap/>
            <w:vAlign w:val="bottom"/>
          </w:tcPr>
          <w:p w14:paraId="498CF792" w14:textId="473FB7E5" w:rsidR="00D06894" w:rsidRDefault="00D06894" w:rsidP="003B0CA5">
            <w:pPr>
              <w:pStyle w:val="TBodynormalNumber"/>
              <w:keepNext/>
            </w:pPr>
            <w:r>
              <w:t>6</w:t>
            </w:r>
            <w:r w:rsidR="000A4396">
              <w:t>.</w:t>
            </w:r>
            <w:r>
              <w:t>000</w:t>
            </w:r>
          </w:p>
        </w:tc>
        <w:tc>
          <w:tcPr>
            <w:tcW w:w="119" w:type="dxa"/>
            <w:noWrap/>
            <w:vAlign w:val="bottom"/>
          </w:tcPr>
          <w:p w14:paraId="40028816" w14:textId="77777777" w:rsidR="00D06894" w:rsidRDefault="00D06894" w:rsidP="003B0CA5">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3C2B8AFC" w14:textId="4D3821C2" w:rsidR="00D06894" w:rsidRDefault="00D06894" w:rsidP="003B0CA5">
            <w:pPr>
              <w:pStyle w:val="TBodynormalNumber"/>
              <w:keepNext/>
            </w:pPr>
            <w:r>
              <w:t>6</w:t>
            </w:r>
            <w:r w:rsidR="000A4396">
              <w:t>.</w:t>
            </w:r>
            <w:r>
              <w:t>113</w:t>
            </w:r>
          </w:p>
        </w:tc>
      </w:tr>
      <w:tr w:rsidR="00D06894" w14:paraId="00A18AF4" w14:textId="77777777" w:rsidTr="003B0CA5">
        <w:tc>
          <w:tcPr>
            <w:tcW w:w="7473" w:type="dxa"/>
            <w:tcBorders>
              <w:top w:val="single" w:sz="4" w:space="0" w:color="A59C94"/>
              <w:bottom w:val="single" w:sz="16" w:space="0" w:color="991D85"/>
            </w:tcBorders>
            <w:noWrap/>
            <w:vAlign w:val="bottom"/>
          </w:tcPr>
          <w:p w14:paraId="58347244" w14:textId="782958DC" w:rsidR="00D06894" w:rsidRDefault="000A4396" w:rsidP="003B0CA5">
            <w:pPr>
              <w:pStyle w:val="TBodytotalText"/>
            </w:pPr>
            <w:bookmarkStart w:id="22" w:name="RANGE!B60:F60"/>
            <w:bookmarkEnd w:id="22"/>
            <w:r>
              <w:t xml:space="preserve">Grupo Evonik </w:t>
            </w:r>
          </w:p>
        </w:tc>
        <w:tc>
          <w:tcPr>
            <w:tcW w:w="119" w:type="dxa"/>
            <w:tcBorders>
              <w:bottom w:val="single" w:sz="16" w:space="0" w:color="991D85"/>
            </w:tcBorders>
            <w:noWrap/>
            <w:vAlign w:val="bottom"/>
          </w:tcPr>
          <w:p w14:paraId="6F108121" w14:textId="77777777" w:rsidR="00D06894" w:rsidRDefault="00D06894" w:rsidP="003B0CA5">
            <w:pPr>
              <w:pStyle w:val="TBodytotalNumber"/>
            </w:pPr>
          </w:p>
        </w:tc>
        <w:tc>
          <w:tcPr>
            <w:tcW w:w="1021" w:type="dxa"/>
            <w:tcBorders>
              <w:top w:val="single" w:sz="4" w:space="0" w:color="A59C94"/>
              <w:bottom w:val="single" w:sz="16" w:space="0" w:color="991D85"/>
            </w:tcBorders>
            <w:noWrap/>
            <w:vAlign w:val="bottom"/>
          </w:tcPr>
          <w:p w14:paraId="6736B470" w14:textId="7E7540EE" w:rsidR="00D06894" w:rsidRDefault="00D06894" w:rsidP="003B0CA5">
            <w:pPr>
              <w:pStyle w:val="TBodytotalNumber"/>
            </w:pPr>
            <w:r>
              <w:t>33</w:t>
            </w:r>
            <w:r w:rsidR="000A4396">
              <w:t>.</w:t>
            </w:r>
            <w:r>
              <w:t>004</w:t>
            </w:r>
          </w:p>
        </w:tc>
        <w:tc>
          <w:tcPr>
            <w:tcW w:w="119" w:type="dxa"/>
            <w:tcBorders>
              <w:bottom w:val="single" w:sz="16" w:space="0" w:color="991D85"/>
            </w:tcBorders>
            <w:noWrap/>
            <w:vAlign w:val="bottom"/>
          </w:tcPr>
          <w:p w14:paraId="38B52ACB" w14:textId="77777777" w:rsidR="00D06894" w:rsidRDefault="00D06894" w:rsidP="003B0CA5">
            <w:pPr>
              <w:pStyle w:val="TBodytotalNumber"/>
            </w:pPr>
          </w:p>
        </w:tc>
        <w:tc>
          <w:tcPr>
            <w:tcW w:w="1021" w:type="dxa"/>
            <w:tcBorders>
              <w:top w:val="single" w:sz="4" w:space="0" w:color="A59C94"/>
              <w:bottom w:val="single" w:sz="16" w:space="0" w:color="991D85"/>
            </w:tcBorders>
            <w:shd w:val="clear" w:color="000000" w:fill="DAD5C9"/>
            <w:noWrap/>
            <w:vAlign w:val="bottom"/>
          </w:tcPr>
          <w:p w14:paraId="19377C20" w14:textId="4EE0D332" w:rsidR="00D06894" w:rsidRDefault="00D06894" w:rsidP="003B0CA5">
            <w:pPr>
              <w:pStyle w:val="TBodytotalNumber"/>
            </w:pPr>
            <w:r>
              <w:t>33</w:t>
            </w:r>
            <w:r w:rsidR="000A4396">
              <w:t>.</w:t>
            </w:r>
            <w:r>
              <w:t>836</w:t>
            </w:r>
          </w:p>
        </w:tc>
      </w:tr>
      <w:bookmarkEnd w:id="19"/>
    </w:tbl>
    <w:p w14:paraId="505C7660" w14:textId="77777777" w:rsidR="00D06894" w:rsidRDefault="00D06894" w:rsidP="00D06894">
      <w:pPr>
        <w:spacing w:after="240" w:line="372" w:lineRule="atLeast"/>
        <w:rPr>
          <w:rFonts w:ascii="Times New Roman" w:hAnsi="Times New Roman"/>
          <w:sz w:val="24"/>
        </w:rPr>
      </w:pPr>
    </w:p>
    <w:p w14:paraId="41F91678" w14:textId="654D9077" w:rsidR="00846733" w:rsidRPr="000B5988" w:rsidRDefault="00846733" w:rsidP="00846733">
      <w:pPr>
        <w:spacing w:after="240"/>
        <w:rPr>
          <w:rFonts w:ascii="Lucida Sans" w:hAnsi="Lucida Sans"/>
          <w:szCs w:val="22"/>
        </w:rPr>
      </w:pPr>
      <w:r w:rsidRPr="000B5988">
        <w:rPr>
          <w:rFonts w:ascii="Lucida Sans" w:hAnsi="Lucida Sans"/>
          <w:szCs w:val="22"/>
        </w:rPr>
        <w:br w:type="page"/>
      </w:r>
    </w:p>
    <w:p w14:paraId="4400A2EE" w14:textId="0ECEF65A" w:rsidR="001B2244" w:rsidRPr="00692D13" w:rsidRDefault="001B2244" w:rsidP="001B2244">
      <w:pPr>
        <w:rPr>
          <w:rStyle w:val="tw4winMark"/>
          <w:rFonts w:ascii="Lucida Sans Unicode" w:hAnsi="Lucida Sans Unicode" w:cs="Times New Roman"/>
          <w:b/>
          <w:noProof w:val="0"/>
          <w:vanish w:val="0"/>
          <w:color w:val="auto"/>
          <w:sz w:val="22"/>
          <w:szCs w:val="22"/>
          <w:vertAlign w:val="baseline"/>
        </w:rPr>
      </w:pPr>
      <w:r w:rsidRPr="00692D13">
        <w:rPr>
          <w:rFonts w:eastAsia="Lucida Sans Unicode" w:cs="Lucida Sans Unicode"/>
          <w:b/>
          <w:sz w:val="18"/>
          <w:szCs w:val="18"/>
          <w:bdr w:val="nil"/>
        </w:rPr>
        <w:lastRenderedPageBreak/>
        <w:t>Informações da Empresa</w:t>
      </w:r>
    </w:p>
    <w:p w14:paraId="67776916" w14:textId="77777777" w:rsidR="001B2244" w:rsidRDefault="001B2244" w:rsidP="001B2244">
      <w:pPr>
        <w:spacing w:line="220" w:lineRule="exact"/>
        <w:outlineLvl w:val="0"/>
        <w:rPr>
          <w:sz w:val="18"/>
          <w:szCs w:val="18"/>
        </w:rPr>
      </w:pPr>
      <w:r w:rsidRPr="00823F3B">
        <w:rPr>
          <w:sz w:val="18"/>
          <w:szCs w:val="18"/>
        </w:rPr>
        <w:t xml:space="preserve">A Evonik é uma das líderes mundiais em especialidades químicas. A empresa atua em mais de 100 países no mundo inteiro. Em 2021, registrou vendas de 15 bilhões de euros e um lucro operacional (EBITDA ajustado) de 2,38 bilhões de euros. A Evonik vai muito além da química para criar soluções inovadoras, lucrativas e sustentáveis para seus clientes. Cerca de 33.000 colaboradores trabalham juntos em prol de um objetivo comum: melhorar a vida das pessoas hoje e no futuro. </w:t>
      </w:r>
    </w:p>
    <w:p w14:paraId="67C6E005" w14:textId="77777777" w:rsidR="001B2244" w:rsidRPr="00692D13" w:rsidRDefault="001B2244" w:rsidP="001B2244">
      <w:pPr>
        <w:spacing w:line="220" w:lineRule="exact"/>
        <w:outlineLvl w:val="0"/>
        <w:rPr>
          <w:rFonts w:cs="Lucida Sans Unicode"/>
          <w:bCs/>
          <w:sz w:val="18"/>
          <w:szCs w:val="18"/>
        </w:rPr>
      </w:pPr>
    </w:p>
    <w:p w14:paraId="538D08F1" w14:textId="77777777" w:rsidR="001B2244" w:rsidRPr="00823F3B" w:rsidRDefault="001B2244" w:rsidP="001B2244">
      <w:pPr>
        <w:spacing w:line="220" w:lineRule="exact"/>
        <w:jc w:val="both"/>
        <w:outlineLvl w:val="0"/>
        <w:rPr>
          <w:b/>
          <w:bCs/>
          <w:sz w:val="18"/>
          <w:szCs w:val="18"/>
        </w:rPr>
      </w:pPr>
    </w:p>
    <w:p w14:paraId="649CD952" w14:textId="77777777" w:rsidR="001B2244" w:rsidRPr="00823F3B" w:rsidRDefault="001B2244" w:rsidP="001B2244">
      <w:pPr>
        <w:spacing w:line="220" w:lineRule="exact"/>
        <w:jc w:val="both"/>
        <w:outlineLvl w:val="0"/>
        <w:rPr>
          <w:rFonts w:cs="Lucida Sans Unicode"/>
          <w:b/>
          <w:bCs/>
          <w:sz w:val="18"/>
          <w:szCs w:val="18"/>
        </w:rPr>
      </w:pPr>
      <w:r w:rsidRPr="00823F3B">
        <w:rPr>
          <w:b/>
          <w:bCs/>
          <w:sz w:val="18"/>
          <w:szCs w:val="18"/>
        </w:rPr>
        <w:t xml:space="preserve">Ressalva: </w:t>
      </w:r>
    </w:p>
    <w:p w14:paraId="7049FB79" w14:textId="77777777" w:rsidR="001B2244" w:rsidRPr="00547189" w:rsidRDefault="001B2244" w:rsidP="001B2244">
      <w:pPr>
        <w:spacing w:line="220" w:lineRule="exact"/>
        <w:rPr>
          <w:rFonts w:eastAsia="Lucida Sans Unicode" w:cs="Lucida Sans Unicode"/>
          <w:bCs/>
          <w:sz w:val="18"/>
          <w:szCs w:val="18"/>
          <w:bdr w:val="nil"/>
        </w:rPr>
      </w:pPr>
      <w:r w:rsidRPr="00823F3B">
        <w:rPr>
          <w:rFonts w:eastAsia="Lucida Sans Unicode" w:cs="Lucida Sans Unicode"/>
          <w:bCs/>
          <w:sz w:val="18"/>
          <w:szCs w:val="18"/>
          <w:bdr w:val="nil"/>
        </w:rPr>
        <w:t xml:space="preserve">Na medida em que expressamos prognósticos ou expectativas e fazemos declarações referentes ao futuro neste comunicado à imprensa, tais prognósticos, expectativas </w:t>
      </w:r>
      <w:r w:rsidRPr="00547189">
        <w:rPr>
          <w:rFonts w:eastAsia="Lucida Sans Unicode" w:cs="Lucida Sans Unicode"/>
          <w:bCs/>
          <w:sz w:val="18"/>
          <w:szCs w:val="18"/>
          <w:bdr w:val="nil"/>
        </w:rPr>
        <w:t>e declarações podem envolver riscos conhecidos ou desconhecidos, bem como incertezas. Os resultados ou as evoluções reais podem variar em função das mudanças no ambiente de negócios. A Evonik Industries AG e suas coligadas não assumem nenhuma obrigação no sentido de atualizar os prognósticos, as expectativas ou declarações contidas neste comunicado.</w:t>
      </w:r>
    </w:p>
    <w:p w14:paraId="6141453E" w14:textId="77777777" w:rsidR="001B2244" w:rsidRPr="00547189" w:rsidRDefault="001B2244" w:rsidP="001B2244">
      <w:pPr>
        <w:spacing w:line="220" w:lineRule="exact"/>
        <w:rPr>
          <w:rFonts w:eastAsia="Lucida Sans Unicode" w:cs="Lucida Sans Unicode"/>
          <w:bCs/>
          <w:sz w:val="18"/>
          <w:szCs w:val="18"/>
          <w:bdr w:val="nil"/>
        </w:rPr>
      </w:pPr>
    </w:p>
    <w:p w14:paraId="200A5822" w14:textId="77777777" w:rsidR="001B2244" w:rsidRPr="00547189" w:rsidRDefault="001B2244" w:rsidP="001B2244">
      <w:pPr>
        <w:spacing w:line="220" w:lineRule="exact"/>
        <w:rPr>
          <w:rFonts w:eastAsia="Lucida Sans Unicode" w:cs="Lucida Sans Unicode"/>
          <w:bCs/>
          <w:sz w:val="18"/>
          <w:szCs w:val="18"/>
          <w:bdr w:val="nil"/>
        </w:rPr>
      </w:pPr>
    </w:p>
    <w:p w14:paraId="47E3C673" w14:textId="77777777" w:rsidR="001B2244" w:rsidRPr="00547189" w:rsidRDefault="001B2244" w:rsidP="001B2244">
      <w:pPr>
        <w:spacing w:line="220" w:lineRule="exact"/>
        <w:rPr>
          <w:rFonts w:eastAsia="Lucida Sans Unicode" w:cs="Lucida Sans Unicode"/>
          <w:bCs/>
          <w:sz w:val="18"/>
          <w:szCs w:val="18"/>
          <w:bdr w:val="nil"/>
        </w:rPr>
      </w:pPr>
    </w:p>
    <w:p w14:paraId="0841092A" w14:textId="77777777" w:rsidR="001B2244" w:rsidRPr="00547189" w:rsidRDefault="001B2244" w:rsidP="001B2244">
      <w:pPr>
        <w:spacing w:line="240" w:lineRule="auto"/>
        <w:rPr>
          <w:rFonts w:cs="Lucida Sans Unicode"/>
          <w:bCs/>
          <w:sz w:val="18"/>
          <w:szCs w:val="18"/>
        </w:rPr>
      </w:pPr>
      <w:r w:rsidRPr="00547189">
        <w:rPr>
          <w:rFonts w:cs="Lucida Sans Unicode"/>
          <w:bCs/>
          <w:sz w:val="18"/>
          <w:szCs w:val="18"/>
        </w:rPr>
        <w:t>Evonik Brasil Ltda.</w:t>
      </w:r>
    </w:p>
    <w:p w14:paraId="42094C80" w14:textId="77777777" w:rsidR="001B2244" w:rsidRPr="00547189" w:rsidRDefault="001B2244" w:rsidP="001B2244">
      <w:pPr>
        <w:spacing w:line="240" w:lineRule="auto"/>
        <w:rPr>
          <w:rFonts w:cs="Lucida Sans Unicode"/>
          <w:bCs/>
          <w:sz w:val="18"/>
          <w:szCs w:val="18"/>
        </w:rPr>
      </w:pPr>
      <w:r w:rsidRPr="00547189">
        <w:rPr>
          <w:rFonts w:cs="Lucida Sans Unicode"/>
          <w:bCs/>
          <w:sz w:val="18"/>
          <w:szCs w:val="18"/>
        </w:rPr>
        <w:t>Fone: (11) 3146-4100</w:t>
      </w:r>
    </w:p>
    <w:p w14:paraId="79C8A5D6" w14:textId="77777777" w:rsidR="001B2244" w:rsidRPr="00547189" w:rsidRDefault="001B2244" w:rsidP="001B2244">
      <w:pPr>
        <w:spacing w:line="240" w:lineRule="auto"/>
        <w:rPr>
          <w:rFonts w:cs="Lucida Sans Unicode"/>
          <w:bCs/>
          <w:sz w:val="18"/>
          <w:szCs w:val="18"/>
        </w:rPr>
      </w:pPr>
      <w:r w:rsidRPr="00547189">
        <w:rPr>
          <w:rFonts w:cs="Lucida Sans Unicode"/>
          <w:bCs/>
          <w:sz w:val="18"/>
          <w:szCs w:val="18"/>
        </w:rPr>
        <w:t>www.evonik.com.br</w:t>
      </w:r>
    </w:p>
    <w:p w14:paraId="218EECB1" w14:textId="77777777" w:rsidR="001B2244" w:rsidRPr="00547189" w:rsidRDefault="001B2244" w:rsidP="001B2244">
      <w:pPr>
        <w:spacing w:line="240" w:lineRule="auto"/>
        <w:rPr>
          <w:rFonts w:cs="Lucida Sans Unicode"/>
          <w:bCs/>
          <w:sz w:val="18"/>
          <w:szCs w:val="18"/>
        </w:rPr>
      </w:pPr>
      <w:r w:rsidRPr="00547189">
        <w:rPr>
          <w:rFonts w:cs="Lucida Sans Unicode"/>
          <w:bCs/>
          <w:sz w:val="18"/>
          <w:szCs w:val="18"/>
        </w:rPr>
        <w:t>facebook.com/Evonik</w:t>
      </w:r>
    </w:p>
    <w:p w14:paraId="031B1626" w14:textId="77777777" w:rsidR="001B2244" w:rsidRPr="00547189" w:rsidRDefault="001B2244" w:rsidP="001B2244">
      <w:pPr>
        <w:spacing w:line="240" w:lineRule="auto"/>
        <w:rPr>
          <w:rFonts w:cs="Lucida Sans Unicode"/>
          <w:bCs/>
          <w:sz w:val="18"/>
          <w:szCs w:val="18"/>
        </w:rPr>
      </w:pPr>
      <w:r w:rsidRPr="00547189">
        <w:rPr>
          <w:rFonts w:cs="Lucida Sans Unicode"/>
          <w:bCs/>
          <w:sz w:val="18"/>
          <w:szCs w:val="18"/>
        </w:rPr>
        <w:t>instagram.com/</w:t>
      </w:r>
      <w:proofErr w:type="spellStart"/>
      <w:r w:rsidRPr="00547189">
        <w:rPr>
          <w:rFonts w:cs="Lucida Sans Unicode"/>
          <w:bCs/>
          <w:sz w:val="18"/>
          <w:szCs w:val="18"/>
        </w:rPr>
        <w:t>Evonik.Brasil</w:t>
      </w:r>
      <w:proofErr w:type="spellEnd"/>
    </w:p>
    <w:p w14:paraId="412D6D19" w14:textId="77777777" w:rsidR="001B2244" w:rsidRPr="00547189" w:rsidRDefault="001B2244" w:rsidP="001B2244">
      <w:pPr>
        <w:spacing w:line="240" w:lineRule="auto"/>
        <w:rPr>
          <w:rFonts w:cs="Lucida Sans Unicode"/>
          <w:bCs/>
          <w:sz w:val="18"/>
          <w:szCs w:val="18"/>
        </w:rPr>
      </w:pPr>
      <w:r w:rsidRPr="00547189">
        <w:rPr>
          <w:rFonts w:cs="Lucida Sans Unicode"/>
          <w:bCs/>
          <w:sz w:val="18"/>
          <w:szCs w:val="18"/>
        </w:rPr>
        <w:t>youtube.com/</w:t>
      </w:r>
      <w:proofErr w:type="spellStart"/>
      <w:r w:rsidRPr="00547189">
        <w:rPr>
          <w:rFonts w:cs="Lucida Sans Unicode"/>
          <w:bCs/>
          <w:sz w:val="18"/>
          <w:szCs w:val="18"/>
        </w:rPr>
        <w:t>EvonikIndustries</w:t>
      </w:r>
      <w:proofErr w:type="spellEnd"/>
    </w:p>
    <w:p w14:paraId="06BF21E4" w14:textId="77777777" w:rsidR="001B2244" w:rsidRPr="00547189" w:rsidRDefault="001B2244" w:rsidP="001B2244">
      <w:pPr>
        <w:spacing w:line="240" w:lineRule="auto"/>
        <w:rPr>
          <w:rFonts w:cs="Lucida Sans Unicode"/>
          <w:bCs/>
          <w:sz w:val="18"/>
          <w:szCs w:val="18"/>
        </w:rPr>
      </w:pPr>
      <w:r w:rsidRPr="00547189">
        <w:rPr>
          <w:rFonts w:cs="Lucida Sans Unicode"/>
          <w:bCs/>
          <w:sz w:val="18"/>
          <w:szCs w:val="18"/>
        </w:rPr>
        <w:t>linkedin.com/</w:t>
      </w:r>
      <w:proofErr w:type="spellStart"/>
      <w:r w:rsidRPr="00547189">
        <w:rPr>
          <w:rFonts w:cs="Lucida Sans Unicode"/>
          <w:bCs/>
          <w:sz w:val="18"/>
          <w:szCs w:val="18"/>
        </w:rPr>
        <w:t>company</w:t>
      </w:r>
      <w:proofErr w:type="spellEnd"/>
      <w:r w:rsidRPr="00547189">
        <w:rPr>
          <w:rFonts w:cs="Lucida Sans Unicode"/>
          <w:bCs/>
          <w:sz w:val="18"/>
          <w:szCs w:val="18"/>
        </w:rPr>
        <w:t>/Evonik</w:t>
      </w:r>
    </w:p>
    <w:p w14:paraId="6D83EF15" w14:textId="77777777" w:rsidR="001B2244" w:rsidRPr="00547189" w:rsidRDefault="001B2244" w:rsidP="001B2244">
      <w:pPr>
        <w:spacing w:line="240" w:lineRule="auto"/>
        <w:rPr>
          <w:rFonts w:cs="Lucida Sans Unicode"/>
          <w:bCs/>
          <w:sz w:val="18"/>
          <w:szCs w:val="18"/>
        </w:rPr>
      </w:pPr>
      <w:r w:rsidRPr="00547189">
        <w:rPr>
          <w:rFonts w:cs="Lucida Sans Unicode"/>
          <w:bCs/>
          <w:sz w:val="18"/>
          <w:szCs w:val="18"/>
        </w:rPr>
        <w:t>twitter.com/</w:t>
      </w:r>
      <w:proofErr w:type="spellStart"/>
      <w:r w:rsidRPr="00547189">
        <w:rPr>
          <w:rFonts w:cs="Lucida Sans Unicode"/>
          <w:bCs/>
          <w:sz w:val="18"/>
          <w:szCs w:val="18"/>
        </w:rPr>
        <w:t>Evonik</w:t>
      </w:r>
      <w:r w:rsidRPr="00547189">
        <w:rPr>
          <w:rStyle w:val="Hyperlink"/>
          <w:rFonts w:cs="Lucida Sans Unicode"/>
          <w:bCs/>
          <w:sz w:val="18"/>
          <w:szCs w:val="18"/>
        </w:rPr>
        <w:t>_BR</w:t>
      </w:r>
      <w:proofErr w:type="spellEnd"/>
    </w:p>
    <w:p w14:paraId="7977EEDD" w14:textId="77777777" w:rsidR="001B2244" w:rsidRPr="00547189" w:rsidRDefault="001B2244" w:rsidP="001B2244">
      <w:pPr>
        <w:spacing w:line="220" w:lineRule="exact"/>
        <w:outlineLvl w:val="0"/>
        <w:rPr>
          <w:bCs/>
          <w:sz w:val="18"/>
          <w:szCs w:val="18"/>
        </w:rPr>
      </w:pPr>
    </w:p>
    <w:p w14:paraId="09138668" w14:textId="77777777" w:rsidR="001B2244" w:rsidRPr="00547189" w:rsidRDefault="001B2244" w:rsidP="001B2244">
      <w:pPr>
        <w:spacing w:line="220" w:lineRule="exact"/>
        <w:rPr>
          <w:rFonts w:eastAsia="Lucida Sans Unicode" w:cs="Lucida Sans Unicode"/>
          <w:bCs/>
          <w:sz w:val="18"/>
          <w:szCs w:val="18"/>
          <w:bdr w:val="nil"/>
        </w:rPr>
      </w:pPr>
    </w:p>
    <w:p w14:paraId="4D17E978" w14:textId="77777777" w:rsidR="001B2244" w:rsidRPr="00547189" w:rsidRDefault="001B2244" w:rsidP="001B2244">
      <w:pPr>
        <w:spacing w:line="240" w:lineRule="auto"/>
        <w:rPr>
          <w:rFonts w:cs="Lucida Sans Unicode"/>
          <w:bCs/>
          <w:sz w:val="18"/>
          <w:szCs w:val="18"/>
        </w:rPr>
      </w:pPr>
      <w:r w:rsidRPr="00547189">
        <w:rPr>
          <w:rFonts w:cs="Lucida Sans Unicode"/>
          <w:bCs/>
          <w:sz w:val="18"/>
          <w:szCs w:val="18"/>
        </w:rPr>
        <w:t>Informações para imprensa</w:t>
      </w:r>
    </w:p>
    <w:p w14:paraId="29648872" w14:textId="77777777" w:rsidR="001B2244" w:rsidRPr="00547189" w:rsidRDefault="001B2244" w:rsidP="001B2244">
      <w:pPr>
        <w:spacing w:line="240" w:lineRule="auto"/>
        <w:rPr>
          <w:rFonts w:cs="Lucida Sans Unicode"/>
          <w:bCs/>
          <w:sz w:val="18"/>
          <w:szCs w:val="18"/>
        </w:rPr>
      </w:pPr>
      <w:r w:rsidRPr="00547189">
        <w:rPr>
          <w:rFonts w:cs="Lucida Sans Unicode"/>
          <w:bCs/>
          <w:sz w:val="18"/>
          <w:szCs w:val="18"/>
        </w:rPr>
        <w:t>Via Pública Comunicação - www.viapublicacomunicacao.com.br</w:t>
      </w:r>
    </w:p>
    <w:p w14:paraId="10D34DD1" w14:textId="77777777" w:rsidR="001B2244" w:rsidRPr="00547189" w:rsidRDefault="001B2244" w:rsidP="001B2244">
      <w:pPr>
        <w:spacing w:line="240" w:lineRule="auto"/>
        <w:rPr>
          <w:rFonts w:cs="Lucida Sans Unicode"/>
          <w:bCs/>
          <w:sz w:val="18"/>
          <w:szCs w:val="18"/>
        </w:rPr>
      </w:pPr>
      <w:r w:rsidRPr="00547189">
        <w:rPr>
          <w:rFonts w:cs="Lucida Sans Unicode"/>
          <w:bCs/>
          <w:sz w:val="18"/>
          <w:szCs w:val="18"/>
        </w:rPr>
        <w:t>Sheila Diez: (11) 3473.0255</w:t>
      </w:r>
      <w:r>
        <w:rPr>
          <w:rFonts w:cs="Lucida Sans Unicode"/>
          <w:bCs/>
          <w:sz w:val="18"/>
          <w:szCs w:val="18"/>
        </w:rPr>
        <w:t xml:space="preserve"> </w:t>
      </w:r>
      <w:r w:rsidRPr="00547189">
        <w:rPr>
          <w:rFonts w:cs="Lucida Sans Unicode"/>
          <w:bCs/>
          <w:sz w:val="18"/>
          <w:szCs w:val="18"/>
        </w:rPr>
        <w:t>-</w:t>
      </w:r>
      <w:r>
        <w:rPr>
          <w:rFonts w:cs="Lucida Sans Unicode"/>
          <w:bCs/>
          <w:sz w:val="18"/>
          <w:szCs w:val="18"/>
        </w:rPr>
        <w:t xml:space="preserve"> </w:t>
      </w:r>
      <w:r w:rsidRPr="00547189">
        <w:rPr>
          <w:rFonts w:cs="Lucida Sans Unicode"/>
          <w:bCs/>
          <w:sz w:val="18"/>
          <w:szCs w:val="18"/>
        </w:rPr>
        <w:t>sheila@viapublicacomunicacao.com.br</w:t>
      </w:r>
    </w:p>
    <w:p w14:paraId="155CFA95" w14:textId="77777777" w:rsidR="001B2244" w:rsidRPr="00547189" w:rsidRDefault="001B2244" w:rsidP="001B2244">
      <w:pPr>
        <w:spacing w:line="240" w:lineRule="auto"/>
        <w:rPr>
          <w:rFonts w:cs="Lucida Sans Unicode"/>
          <w:bCs/>
          <w:sz w:val="18"/>
          <w:szCs w:val="18"/>
        </w:rPr>
      </w:pPr>
      <w:r w:rsidRPr="00547189">
        <w:rPr>
          <w:rFonts w:cs="Lucida Sans Unicode"/>
          <w:bCs/>
          <w:sz w:val="18"/>
          <w:szCs w:val="18"/>
        </w:rPr>
        <w:t>Taís Augusto: (11) 3562.5555</w:t>
      </w:r>
      <w:r>
        <w:rPr>
          <w:rFonts w:cs="Lucida Sans Unicode"/>
          <w:bCs/>
          <w:sz w:val="18"/>
          <w:szCs w:val="18"/>
        </w:rPr>
        <w:t xml:space="preserve"> </w:t>
      </w:r>
      <w:r w:rsidRPr="00547189">
        <w:rPr>
          <w:rFonts w:cs="Lucida Sans Unicode"/>
          <w:bCs/>
          <w:sz w:val="18"/>
          <w:szCs w:val="18"/>
        </w:rPr>
        <w:t>-</w:t>
      </w:r>
      <w:r>
        <w:rPr>
          <w:rFonts w:cs="Lucida Sans Unicode"/>
          <w:bCs/>
          <w:sz w:val="18"/>
          <w:szCs w:val="18"/>
        </w:rPr>
        <w:t xml:space="preserve"> </w:t>
      </w:r>
      <w:r w:rsidRPr="00547189">
        <w:rPr>
          <w:rFonts w:cs="Lucida Sans Unicode"/>
          <w:bCs/>
          <w:sz w:val="18"/>
          <w:szCs w:val="18"/>
        </w:rPr>
        <w:t>tais@viapublicacomunicacao.com.br</w:t>
      </w:r>
    </w:p>
    <w:p w14:paraId="70586770" w14:textId="77777777" w:rsidR="00D83F4F" w:rsidRPr="00E52EFF" w:rsidRDefault="00D83F4F" w:rsidP="0032793B"/>
    <w:p w14:paraId="2C85106E" w14:textId="6B0E2858" w:rsidR="00737945" w:rsidRDefault="00737945" w:rsidP="008F1CB7">
      <w:pPr>
        <w:spacing w:line="220" w:lineRule="exact"/>
        <w:rPr>
          <w:rFonts w:cs="Lucida Sans Unicode"/>
          <w:sz w:val="18"/>
          <w:szCs w:val="18"/>
        </w:rPr>
      </w:pPr>
    </w:p>
    <w:p w14:paraId="192EAC56" w14:textId="349BE1EA" w:rsidR="00B8368E" w:rsidRDefault="00B8368E" w:rsidP="008F1CB7">
      <w:pPr>
        <w:spacing w:line="220" w:lineRule="exact"/>
        <w:rPr>
          <w:rFonts w:cs="Lucida Sans Unicode"/>
          <w:sz w:val="18"/>
          <w:szCs w:val="18"/>
        </w:rPr>
      </w:pPr>
    </w:p>
    <w:p w14:paraId="5B36AEE4" w14:textId="5BE03559" w:rsidR="00B8368E" w:rsidRDefault="00B8368E" w:rsidP="008F1CB7">
      <w:pPr>
        <w:spacing w:line="220" w:lineRule="exact"/>
        <w:rPr>
          <w:rFonts w:cs="Lucida Sans Unicode"/>
          <w:sz w:val="18"/>
          <w:szCs w:val="18"/>
        </w:rPr>
      </w:pPr>
    </w:p>
    <w:sectPr w:rsidR="00B8368E" w:rsidSect="005C5615">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9E807" w14:textId="77777777" w:rsidR="004F6CAE" w:rsidRDefault="004F6CAE">
      <w:pPr>
        <w:spacing w:line="240" w:lineRule="auto"/>
      </w:pPr>
      <w:r>
        <w:separator/>
      </w:r>
    </w:p>
  </w:endnote>
  <w:endnote w:type="continuationSeparator" w:id="0">
    <w:p w14:paraId="479EC52F" w14:textId="77777777" w:rsidR="004F6CAE" w:rsidRDefault="004F6C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vonik Prokyon">
    <w:altName w:val="Calibri"/>
    <w:charset w:val="00"/>
    <w:family w:val="auto"/>
    <w:pitch w:val="variable"/>
    <w:sig w:usb0="20000007" w:usb1="00000001" w:usb2="00000000" w:usb3="00000000" w:csb0="00000193" w:csb1="00000000"/>
  </w:font>
  <w:font w:name="Evonik Prokyon Medium">
    <w:altName w:val="Calibri"/>
    <w:charset w:val="00"/>
    <w:family w:val="auto"/>
    <w:pitch w:val="variable"/>
    <w:sig w:usb0="20000007" w:usb1="00000001" w:usb2="00000000" w:usb3="00000000" w:csb0="00000193"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77777777" w:rsidR="00BC1B97" w:rsidRDefault="00BC1B97">
    <w:pPr>
      <w:pStyle w:val="Rodap"/>
    </w:pPr>
  </w:p>
  <w:p w14:paraId="7F57DA39" w14:textId="77777777" w:rsidR="00BC1B97" w:rsidRDefault="002B49D6">
    <w:pPr>
      <w:pStyle w:val="Rodap"/>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77777777" w:rsidR="00BC1B97" w:rsidRDefault="00BC1B97" w:rsidP="00316EC0">
    <w:pPr>
      <w:pStyle w:val="Rodap"/>
    </w:pPr>
  </w:p>
  <w:p w14:paraId="3BC59B0E" w14:textId="77777777" w:rsidR="00BC1B97" w:rsidRPr="005225EC" w:rsidRDefault="002B49D6" w:rsidP="00316EC0">
    <w:pPr>
      <w:pStyle w:val="Rodap"/>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DB23D" w14:textId="77777777" w:rsidR="004F6CAE" w:rsidRDefault="004F6CAE">
      <w:pPr>
        <w:spacing w:line="240" w:lineRule="auto"/>
      </w:pPr>
      <w:r>
        <w:separator/>
      </w:r>
    </w:p>
  </w:footnote>
  <w:footnote w:type="continuationSeparator" w:id="0">
    <w:p w14:paraId="6D859420" w14:textId="77777777" w:rsidR="004F6CAE" w:rsidRDefault="004F6C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BC1B97" w:rsidRPr="003F4CD0" w:rsidRDefault="00737945" w:rsidP="00316EC0">
    <w:pPr>
      <w:pStyle w:val="Cabealho"/>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77777777" w:rsidR="00BC1B97" w:rsidRPr="003F4CD0" w:rsidRDefault="002B49D6">
    <w:pPr>
      <w:pStyle w:val="Cabealho"/>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69901504">
    <w:abstractNumId w:val="9"/>
  </w:num>
  <w:num w:numId="2" w16cid:durableId="381441060">
    <w:abstractNumId w:val="7"/>
  </w:num>
  <w:num w:numId="3" w16cid:durableId="217397680">
    <w:abstractNumId w:val="6"/>
  </w:num>
  <w:num w:numId="4" w16cid:durableId="911618824">
    <w:abstractNumId w:val="5"/>
  </w:num>
  <w:num w:numId="5" w16cid:durableId="1764455537">
    <w:abstractNumId w:val="4"/>
  </w:num>
  <w:num w:numId="6" w16cid:durableId="449327326">
    <w:abstractNumId w:val="8"/>
  </w:num>
  <w:num w:numId="7" w16cid:durableId="1116950472">
    <w:abstractNumId w:val="3"/>
  </w:num>
  <w:num w:numId="8" w16cid:durableId="1733310389">
    <w:abstractNumId w:val="2"/>
  </w:num>
  <w:num w:numId="9" w16cid:durableId="1603686201">
    <w:abstractNumId w:val="1"/>
  </w:num>
  <w:num w:numId="10" w16cid:durableId="332418688">
    <w:abstractNumId w:val="0"/>
  </w:num>
  <w:num w:numId="11" w16cid:durableId="962418279">
    <w:abstractNumId w:val="14"/>
  </w:num>
  <w:num w:numId="12" w16cid:durableId="156314017">
    <w:abstractNumId w:val="17"/>
  </w:num>
  <w:num w:numId="13" w16cid:durableId="1135224116">
    <w:abstractNumId w:val="15"/>
  </w:num>
  <w:num w:numId="14" w16cid:durableId="1121076098">
    <w:abstractNumId w:val="10"/>
  </w:num>
  <w:num w:numId="15" w16cid:durableId="875315762">
    <w:abstractNumId w:val="23"/>
  </w:num>
  <w:num w:numId="16" w16cid:durableId="203517812">
    <w:abstractNumId w:val="22"/>
  </w:num>
  <w:num w:numId="17" w16cid:durableId="1694918581">
    <w:abstractNumId w:val="12"/>
  </w:num>
  <w:num w:numId="18" w16cid:durableId="81027951">
    <w:abstractNumId w:val="14"/>
  </w:num>
  <w:num w:numId="19" w16cid:durableId="1474441493">
    <w:abstractNumId w:val="17"/>
  </w:num>
  <w:num w:numId="20" w16cid:durableId="1979872032">
    <w:abstractNumId w:val="15"/>
  </w:num>
  <w:num w:numId="21" w16cid:durableId="1313489324">
    <w:abstractNumId w:val="9"/>
  </w:num>
  <w:num w:numId="22" w16cid:durableId="1926380593">
    <w:abstractNumId w:val="7"/>
  </w:num>
  <w:num w:numId="23" w16cid:durableId="1781339166">
    <w:abstractNumId w:val="6"/>
  </w:num>
  <w:num w:numId="24" w16cid:durableId="358822121">
    <w:abstractNumId w:val="5"/>
  </w:num>
  <w:num w:numId="25" w16cid:durableId="1211266367">
    <w:abstractNumId w:val="4"/>
  </w:num>
  <w:num w:numId="26" w16cid:durableId="1237011041">
    <w:abstractNumId w:val="8"/>
  </w:num>
  <w:num w:numId="27" w16cid:durableId="1820263661">
    <w:abstractNumId w:val="3"/>
  </w:num>
  <w:num w:numId="28" w16cid:durableId="240797835">
    <w:abstractNumId w:val="2"/>
  </w:num>
  <w:num w:numId="29" w16cid:durableId="2084792866">
    <w:abstractNumId w:val="1"/>
  </w:num>
  <w:num w:numId="30" w16cid:durableId="1212500991">
    <w:abstractNumId w:val="0"/>
  </w:num>
  <w:num w:numId="31" w16cid:durableId="175124202">
    <w:abstractNumId w:val="10"/>
  </w:num>
  <w:num w:numId="32" w16cid:durableId="1331371497">
    <w:abstractNumId w:val="18"/>
  </w:num>
  <w:num w:numId="33" w16cid:durableId="434832217">
    <w:abstractNumId w:val="16"/>
  </w:num>
  <w:num w:numId="34" w16cid:durableId="1789813191">
    <w:abstractNumId w:val="11"/>
  </w:num>
  <w:num w:numId="35" w16cid:durableId="136728884">
    <w:abstractNumId w:val="11"/>
  </w:num>
  <w:num w:numId="36" w16cid:durableId="383678199">
    <w:abstractNumId w:val="18"/>
  </w:num>
  <w:num w:numId="37" w16cid:durableId="876501625">
    <w:abstractNumId w:val="13"/>
  </w:num>
  <w:num w:numId="38" w16cid:durableId="589312420">
    <w:abstractNumId w:val="21"/>
  </w:num>
  <w:num w:numId="39" w16cid:durableId="42675483">
    <w:abstractNumId w:val="20"/>
  </w:num>
  <w:num w:numId="40" w16cid:durableId="3369293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20EC3"/>
    <w:rsid w:val="000268F6"/>
    <w:rsid w:val="00035360"/>
    <w:rsid w:val="00037F3D"/>
    <w:rsid w:val="000400C5"/>
    <w:rsid w:val="00046C72"/>
    <w:rsid w:val="00047E57"/>
    <w:rsid w:val="000527FC"/>
    <w:rsid w:val="00084555"/>
    <w:rsid w:val="00086556"/>
    <w:rsid w:val="00092F83"/>
    <w:rsid w:val="000A0DDB"/>
    <w:rsid w:val="000A4396"/>
    <w:rsid w:val="000A4EB6"/>
    <w:rsid w:val="000B4B5A"/>
    <w:rsid w:val="000B4D73"/>
    <w:rsid w:val="000C7CBD"/>
    <w:rsid w:val="000D081A"/>
    <w:rsid w:val="000D1DD8"/>
    <w:rsid w:val="000D7DF9"/>
    <w:rsid w:val="000E06AB"/>
    <w:rsid w:val="000E2184"/>
    <w:rsid w:val="000F6BBC"/>
    <w:rsid w:val="000F70A3"/>
    <w:rsid w:val="000F7816"/>
    <w:rsid w:val="00103837"/>
    <w:rsid w:val="00124443"/>
    <w:rsid w:val="0014346F"/>
    <w:rsid w:val="00146ADE"/>
    <w:rsid w:val="00152126"/>
    <w:rsid w:val="0016086E"/>
    <w:rsid w:val="00162B4B"/>
    <w:rsid w:val="001631E8"/>
    <w:rsid w:val="00165932"/>
    <w:rsid w:val="00166140"/>
    <w:rsid w:val="00166485"/>
    <w:rsid w:val="0017414F"/>
    <w:rsid w:val="00180482"/>
    <w:rsid w:val="00180DC0"/>
    <w:rsid w:val="00182B4B"/>
    <w:rsid w:val="001837C2"/>
    <w:rsid w:val="00183F73"/>
    <w:rsid w:val="00191AC3"/>
    <w:rsid w:val="00191B6A"/>
    <w:rsid w:val="001936C1"/>
    <w:rsid w:val="00196518"/>
    <w:rsid w:val="001A02BA"/>
    <w:rsid w:val="001A268E"/>
    <w:rsid w:val="001B2244"/>
    <w:rsid w:val="001D0F3F"/>
    <w:rsid w:val="001E6DE2"/>
    <w:rsid w:val="001F7C26"/>
    <w:rsid w:val="002213C0"/>
    <w:rsid w:val="00221C32"/>
    <w:rsid w:val="002376F7"/>
    <w:rsid w:val="00241B78"/>
    <w:rsid w:val="002427AA"/>
    <w:rsid w:val="0024351A"/>
    <w:rsid w:val="0024351E"/>
    <w:rsid w:val="00243912"/>
    <w:rsid w:val="002527E3"/>
    <w:rsid w:val="0027659F"/>
    <w:rsid w:val="00282202"/>
    <w:rsid w:val="00287090"/>
    <w:rsid w:val="00290F07"/>
    <w:rsid w:val="002A0595"/>
    <w:rsid w:val="002A3233"/>
    <w:rsid w:val="002B1589"/>
    <w:rsid w:val="002B49D6"/>
    <w:rsid w:val="002B6293"/>
    <w:rsid w:val="002B645E"/>
    <w:rsid w:val="002C10C6"/>
    <w:rsid w:val="002C12A0"/>
    <w:rsid w:val="002D206A"/>
    <w:rsid w:val="002D2996"/>
    <w:rsid w:val="002D4E6A"/>
    <w:rsid w:val="002D4EF0"/>
    <w:rsid w:val="002D5F0C"/>
    <w:rsid w:val="002F364E"/>
    <w:rsid w:val="002F49B3"/>
    <w:rsid w:val="003004BF"/>
    <w:rsid w:val="00301998"/>
    <w:rsid w:val="003067D4"/>
    <w:rsid w:val="0031020E"/>
    <w:rsid w:val="00310BD6"/>
    <w:rsid w:val="00316EC0"/>
    <w:rsid w:val="0032793B"/>
    <w:rsid w:val="00327FAD"/>
    <w:rsid w:val="00340015"/>
    <w:rsid w:val="00345B60"/>
    <w:rsid w:val="003508E4"/>
    <w:rsid w:val="00356519"/>
    <w:rsid w:val="00360DD4"/>
    <w:rsid w:val="00362743"/>
    <w:rsid w:val="00364D2E"/>
    <w:rsid w:val="00367974"/>
    <w:rsid w:val="00380845"/>
    <w:rsid w:val="00384C52"/>
    <w:rsid w:val="00391FCB"/>
    <w:rsid w:val="003A023D"/>
    <w:rsid w:val="003A711C"/>
    <w:rsid w:val="003C0198"/>
    <w:rsid w:val="003D50B7"/>
    <w:rsid w:val="003D6E84"/>
    <w:rsid w:val="003E4D56"/>
    <w:rsid w:val="003F1B7A"/>
    <w:rsid w:val="003F4CD0"/>
    <w:rsid w:val="003F72E3"/>
    <w:rsid w:val="004016F5"/>
    <w:rsid w:val="00403CD6"/>
    <w:rsid w:val="004146D3"/>
    <w:rsid w:val="00420303"/>
    <w:rsid w:val="00422338"/>
    <w:rsid w:val="00424F52"/>
    <w:rsid w:val="004436C4"/>
    <w:rsid w:val="00464856"/>
    <w:rsid w:val="00476F6F"/>
    <w:rsid w:val="0048125C"/>
    <w:rsid w:val="004820F9"/>
    <w:rsid w:val="00486462"/>
    <w:rsid w:val="00490647"/>
    <w:rsid w:val="0049367A"/>
    <w:rsid w:val="004A0839"/>
    <w:rsid w:val="004A17C4"/>
    <w:rsid w:val="004A5E45"/>
    <w:rsid w:val="004B7C16"/>
    <w:rsid w:val="004C04DB"/>
    <w:rsid w:val="004C520C"/>
    <w:rsid w:val="004C5E53"/>
    <w:rsid w:val="004C672E"/>
    <w:rsid w:val="004C7B9F"/>
    <w:rsid w:val="004E041A"/>
    <w:rsid w:val="004E04B2"/>
    <w:rsid w:val="004E1DCE"/>
    <w:rsid w:val="004E3505"/>
    <w:rsid w:val="004E4003"/>
    <w:rsid w:val="004E4E1F"/>
    <w:rsid w:val="004F0B24"/>
    <w:rsid w:val="004F11D2"/>
    <w:rsid w:val="004F1444"/>
    <w:rsid w:val="004F1918"/>
    <w:rsid w:val="004F59E4"/>
    <w:rsid w:val="004F6CAE"/>
    <w:rsid w:val="00501C6C"/>
    <w:rsid w:val="00516C49"/>
    <w:rsid w:val="005225EC"/>
    <w:rsid w:val="0053672B"/>
    <w:rsid w:val="00536E02"/>
    <w:rsid w:val="00537A93"/>
    <w:rsid w:val="00544C7C"/>
    <w:rsid w:val="00552ADA"/>
    <w:rsid w:val="0057548A"/>
    <w:rsid w:val="00582643"/>
    <w:rsid w:val="00582C0E"/>
    <w:rsid w:val="00583E3E"/>
    <w:rsid w:val="00587C52"/>
    <w:rsid w:val="00590B4B"/>
    <w:rsid w:val="005A119C"/>
    <w:rsid w:val="005A20AE"/>
    <w:rsid w:val="005A73EC"/>
    <w:rsid w:val="005A7D03"/>
    <w:rsid w:val="005C5615"/>
    <w:rsid w:val="005D44CA"/>
    <w:rsid w:val="005E3211"/>
    <w:rsid w:val="005E6AE3"/>
    <w:rsid w:val="005E799F"/>
    <w:rsid w:val="005F234C"/>
    <w:rsid w:val="005F50D9"/>
    <w:rsid w:val="0060031A"/>
    <w:rsid w:val="00600E86"/>
    <w:rsid w:val="00605C02"/>
    <w:rsid w:val="00606A38"/>
    <w:rsid w:val="00635F70"/>
    <w:rsid w:val="00642C35"/>
    <w:rsid w:val="00645F2F"/>
    <w:rsid w:val="00650E27"/>
    <w:rsid w:val="00652A75"/>
    <w:rsid w:val="006651E2"/>
    <w:rsid w:val="00665EC9"/>
    <w:rsid w:val="00672AFA"/>
    <w:rsid w:val="00684541"/>
    <w:rsid w:val="00686BC7"/>
    <w:rsid w:val="006A581A"/>
    <w:rsid w:val="006A5A6B"/>
    <w:rsid w:val="006B505B"/>
    <w:rsid w:val="006C6EA8"/>
    <w:rsid w:val="006D3293"/>
    <w:rsid w:val="006D601A"/>
    <w:rsid w:val="006E2F15"/>
    <w:rsid w:val="006E434B"/>
    <w:rsid w:val="006F3AB9"/>
    <w:rsid w:val="006F48B3"/>
    <w:rsid w:val="00717EDA"/>
    <w:rsid w:val="0072366D"/>
    <w:rsid w:val="00723778"/>
    <w:rsid w:val="00723B85"/>
    <w:rsid w:val="00731495"/>
    <w:rsid w:val="00737945"/>
    <w:rsid w:val="00742651"/>
    <w:rsid w:val="00744FA6"/>
    <w:rsid w:val="00763004"/>
    <w:rsid w:val="007676DC"/>
    <w:rsid w:val="00770879"/>
    <w:rsid w:val="007733D3"/>
    <w:rsid w:val="00775D2E"/>
    <w:rsid w:val="007767AB"/>
    <w:rsid w:val="00784360"/>
    <w:rsid w:val="007A2C47"/>
    <w:rsid w:val="007C1E2C"/>
    <w:rsid w:val="007C4857"/>
    <w:rsid w:val="007D02AA"/>
    <w:rsid w:val="007E025C"/>
    <w:rsid w:val="007E49FE"/>
    <w:rsid w:val="007E7C76"/>
    <w:rsid w:val="007F1506"/>
    <w:rsid w:val="007F200A"/>
    <w:rsid w:val="007F3646"/>
    <w:rsid w:val="007F59C2"/>
    <w:rsid w:val="007F7820"/>
    <w:rsid w:val="00800AA9"/>
    <w:rsid w:val="0081515B"/>
    <w:rsid w:val="00816960"/>
    <w:rsid w:val="00816BD2"/>
    <w:rsid w:val="00825D88"/>
    <w:rsid w:val="008352AA"/>
    <w:rsid w:val="00836B9A"/>
    <w:rsid w:val="00840CD4"/>
    <w:rsid w:val="0084389E"/>
    <w:rsid w:val="008462C3"/>
    <w:rsid w:val="00846733"/>
    <w:rsid w:val="00850B77"/>
    <w:rsid w:val="00860A6B"/>
    <w:rsid w:val="008729E6"/>
    <w:rsid w:val="0088508F"/>
    <w:rsid w:val="00885442"/>
    <w:rsid w:val="00897078"/>
    <w:rsid w:val="008A0D35"/>
    <w:rsid w:val="008A2AE8"/>
    <w:rsid w:val="008B03E0"/>
    <w:rsid w:val="008B1084"/>
    <w:rsid w:val="008B7AFE"/>
    <w:rsid w:val="008C00D3"/>
    <w:rsid w:val="008C30D8"/>
    <w:rsid w:val="008C52EF"/>
    <w:rsid w:val="008D59A8"/>
    <w:rsid w:val="008D6C5B"/>
    <w:rsid w:val="008E7921"/>
    <w:rsid w:val="008F1CB7"/>
    <w:rsid w:val="008F49C5"/>
    <w:rsid w:val="008F5C81"/>
    <w:rsid w:val="0090621C"/>
    <w:rsid w:val="009339D6"/>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B710C"/>
    <w:rsid w:val="009C0B75"/>
    <w:rsid w:val="009C0CD3"/>
    <w:rsid w:val="009C2B65"/>
    <w:rsid w:val="009C40DA"/>
    <w:rsid w:val="009C5F4B"/>
    <w:rsid w:val="009D2BB4"/>
    <w:rsid w:val="009E4892"/>
    <w:rsid w:val="009E709B"/>
    <w:rsid w:val="009F29FD"/>
    <w:rsid w:val="009F6AA2"/>
    <w:rsid w:val="00A16154"/>
    <w:rsid w:val="00A24DF4"/>
    <w:rsid w:val="00A30BD0"/>
    <w:rsid w:val="00A333FB"/>
    <w:rsid w:val="00A34137"/>
    <w:rsid w:val="00A3644E"/>
    <w:rsid w:val="00A375B5"/>
    <w:rsid w:val="00A41C88"/>
    <w:rsid w:val="00A41D1A"/>
    <w:rsid w:val="00A525CB"/>
    <w:rsid w:val="00A54F2A"/>
    <w:rsid w:val="00A60CE5"/>
    <w:rsid w:val="00A63DF5"/>
    <w:rsid w:val="00A70C5E"/>
    <w:rsid w:val="00A712B8"/>
    <w:rsid w:val="00A804CC"/>
    <w:rsid w:val="00A81F2D"/>
    <w:rsid w:val="00A90CDB"/>
    <w:rsid w:val="00A94EC5"/>
    <w:rsid w:val="00A97CD7"/>
    <w:rsid w:val="00A97EAD"/>
    <w:rsid w:val="00AA15C6"/>
    <w:rsid w:val="00AB26DD"/>
    <w:rsid w:val="00AC052D"/>
    <w:rsid w:val="00AE27C1"/>
    <w:rsid w:val="00AE3848"/>
    <w:rsid w:val="00AE601F"/>
    <w:rsid w:val="00AF0606"/>
    <w:rsid w:val="00AF6529"/>
    <w:rsid w:val="00AF7D27"/>
    <w:rsid w:val="00B175C1"/>
    <w:rsid w:val="00B2025B"/>
    <w:rsid w:val="00B31D5A"/>
    <w:rsid w:val="00B5137F"/>
    <w:rsid w:val="00B513BC"/>
    <w:rsid w:val="00B56705"/>
    <w:rsid w:val="00B60308"/>
    <w:rsid w:val="00B64EAD"/>
    <w:rsid w:val="00B656C6"/>
    <w:rsid w:val="00B73500"/>
    <w:rsid w:val="00B75CA9"/>
    <w:rsid w:val="00B811DE"/>
    <w:rsid w:val="00B8368E"/>
    <w:rsid w:val="00B9317E"/>
    <w:rsid w:val="00B931DD"/>
    <w:rsid w:val="00B97E25"/>
    <w:rsid w:val="00BA2ED6"/>
    <w:rsid w:val="00BA41A7"/>
    <w:rsid w:val="00BA4C6A"/>
    <w:rsid w:val="00BA584D"/>
    <w:rsid w:val="00BC1B97"/>
    <w:rsid w:val="00BC1D7E"/>
    <w:rsid w:val="00BC4141"/>
    <w:rsid w:val="00BD07B0"/>
    <w:rsid w:val="00BD7B76"/>
    <w:rsid w:val="00BE1628"/>
    <w:rsid w:val="00BE28FC"/>
    <w:rsid w:val="00BE30E7"/>
    <w:rsid w:val="00BF2CEC"/>
    <w:rsid w:val="00BF30BC"/>
    <w:rsid w:val="00BF70B0"/>
    <w:rsid w:val="00BF7733"/>
    <w:rsid w:val="00BF7C77"/>
    <w:rsid w:val="00C100C6"/>
    <w:rsid w:val="00C21FFE"/>
    <w:rsid w:val="00C2259A"/>
    <w:rsid w:val="00C2293E"/>
    <w:rsid w:val="00C242F2"/>
    <w:rsid w:val="00C251AD"/>
    <w:rsid w:val="00C310A2"/>
    <w:rsid w:val="00C31302"/>
    <w:rsid w:val="00C33407"/>
    <w:rsid w:val="00C35687"/>
    <w:rsid w:val="00C4228E"/>
    <w:rsid w:val="00C4300F"/>
    <w:rsid w:val="00C44564"/>
    <w:rsid w:val="00C519DA"/>
    <w:rsid w:val="00C60F15"/>
    <w:rsid w:val="00C7114A"/>
    <w:rsid w:val="00C930F0"/>
    <w:rsid w:val="00C94042"/>
    <w:rsid w:val="00C94C0D"/>
    <w:rsid w:val="00CA6F45"/>
    <w:rsid w:val="00CB3A53"/>
    <w:rsid w:val="00CB7A42"/>
    <w:rsid w:val="00CD1EE7"/>
    <w:rsid w:val="00CD72B4"/>
    <w:rsid w:val="00CE2E92"/>
    <w:rsid w:val="00CF2E07"/>
    <w:rsid w:val="00CF3788"/>
    <w:rsid w:val="00CF3942"/>
    <w:rsid w:val="00D04B00"/>
    <w:rsid w:val="00D06894"/>
    <w:rsid w:val="00D101C2"/>
    <w:rsid w:val="00D12103"/>
    <w:rsid w:val="00D17A9A"/>
    <w:rsid w:val="00D37F3A"/>
    <w:rsid w:val="00D46695"/>
    <w:rsid w:val="00D46B4F"/>
    <w:rsid w:val="00D46DAB"/>
    <w:rsid w:val="00D50B3E"/>
    <w:rsid w:val="00D5275A"/>
    <w:rsid w:val="00D571CA"/>
    <w:rsid w:val="00D60C11"/>
    <w:rsid w:val="00D630D8"/>
    <w:rsid w:val="00D70539"/>
    <w:rsid w:val="00D72A07"/>
    <w:rsid w:val="00D81410"/>
    <w:rsid w:val="00D83F4F"/>
    <w:rsid w:val="00D84239"/>
    <w:rsid w:val="00D90082"/>
    <w:rsid w:val="00D90774"/>
    <w:rsid w:val="00D95388"/>
    <w:rsid w:val="00D96E04"/>
    <w:rsid w:val="00DB3E3C"/>
    <w:rsid w:val="00DC1267"/>
    <w:rsid w:val="00DC1494"/>
    <w:rsid w:val="00DD4537"/>
    <w:rsid w:val="00DD77CD"/>
    <w:rsid w:val="00DE4AB0"/>
    <w:rsid w:val="00DE534A"/>
    <w:rsid w:val="00DF6503"/>
    <w:rsid w:val="00E012F7"/>
    <w:rsid w:val="00E05BB2"/>
    <w:rsid w:val="00E120CF"/>
    <w:rsid w:val="00E122B8"/>
    <w:rsid w:val="00E172A1"/>
    <w:rsid w:val="00E17C9E"/>
    <w:rsid w:val="00E17FDD"/>
    <w:rsid w:val="00E2307F"/>
    <w:rsid w:val="00E27FDF"/>
    <w:rsid w:val="00E363F0"/>
    <w:rsid w:val="00E430EA"/>
    <w:rsid w:val="00E44B62"/>
    <w:rsid w:val="00E45A25"/>
    <w:rsid w:val="00E46D1E"/>
    <w:rsid w:val="00E52EFF"/>
    <w:rsid w:val="00E5685D"/>
    <w:rsid w:val="00E6418A"/>
    <w:rsid w:val="00E67EA2"/>
    <w:rsid w:val="00E83FF0"/>
    <w:rsid w:val="00E86454"/>
    <w:rsid w:val="00E8737C"/>
    <w:rsid w:val="00E90B6C"/>
    <w:rsid w:val="00E97290"/>
    <w:rsid w:val="00EA2B42"/>
    <w:rsid w:val="00EA7E4E"/>
    <w:rsid w:val="00EB0C3E"/>
    <w:rsid w:val="00EC012C"/>
    <w:rsid w:val="00EC2C4D"/>
    <w:rsid w:val="00ED1D9C"/>
    <w:rsid w:val="00ED1DEA"/>
    <w:rsid w:val="00ED3808"/>
    <w:rsid w:val="00EE4A72"/>
    <w:rsid w:val="00EF05B6"/>
    <w:rsid w:val="00EF7EB3"/>
    <w:rsid w:val="00F018DC"/>
    <w:rsid w:val="00F16B56"/>
    <w:rsid w:val="00F23024"/>
    <w:rsid w:val="00F31F7C"/>
    <w:rsid w:val="00F37ED5"/>
    <w:rsid w:val="00F40271"/>
    <w:rsid w:val="00F5203F"/>
    <w:rsid w:val="00F5602B"/>
    <w:rsid w:val="00F57C72"/>
    <w:rsid w:val="00F6598A"/>
    <w:rsid w:val="00F65A70"/>
    <w:rsid w:val="00F66FEE"/>
    <w:rsid w:val="00F70209"/>
    <w:rsid w:val="00F94E80"/>
    <w:rsid w:val="00F96B9B"/>
    <w:rsid w:val="00FA151A"/>
    <w:rsid w:val="00FA3451"/>
    <w:rsid w:val="00FA5F5C"/>
    <w:rsid w:val="00FB316C"/>
    <w:rsid w:val="00FC641F"/>
    <w:rsid w:val="00FC7A2A"/>
    <w:rsid w:val="00FD0461"/>
    <w:rsid w:val="00FD1184"/>
    <w:rsid w:val="00FD5DEA"/>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character" w:customStyle="1" w:styleId="SNEvonikStandardZchn">
    <w:name w:val="_SN_Evonik Standard Zchn"/>
    <w:basedOn w:val="Fontepargpadro"/>
    <w:link w:val="SNEvonikStandard"/>
    <w:uiPriority w:val="99"/>
    <w:locked/>
    <w:rsid w:val="00846733"/>
    <w:rPr>
      <w:rFonts w:ascii="Evonik Prokyon" w:hAnsi="Evonik Prokyon"/>
    </w:rPr>
  </w:style>
  <w:style w:type="paragraph" w:customStyle="1" w:styleId="SNEvonikStandard">
    <w:name w:val="_SN_Evonik Standard"/>
    <w:basedOn w:val="Normal"/>
    <w:link w:val="SNEvonikStandardZchn"/>
    <w:uiPriority w:val="99"/>
    <w:qFormat/>
    <w:rsid w:val="00846733"/>
    <w:pPr>
      <w:spacing w:line="300" w:lineRule="atLeast"/>
      <w:ind w:firstLine="284"/>
      <w:jc w:val="both"/>
    </w:pPr>
    <w:rPr>
      <w:rFonts w:ascii="Evonik Prokyon" w:hAnsi="Evonik Prokyon"/>
      <w:sz w:val="20"/>
      <w:szCs w:val="20"/>
      <w:lang w:val="de-DE"/>
    </w:rPr>
  </w:style>
  <w:style w:type="character" w:customStyle="1" w:styleId="SNErsteZeileZchn">
    <w:name w:val="_SN_Erste Zeile Zchn"/>
    <w:basedOn w:val="Fontepargpadro"/>
    <w:link w:val="SNErsteZeile"/>
    <w:locked/>
    <w:rsid w:val="00846733"/>
    <w:rPr>
      <w:rFonts w:ascii="Evonik Prokyon" w:hAnsi="Evonik Prokyon"/>
    </w:rPr>
  </w:style>
  <w:style w:type="paragraph" w:customStyle="1" w:styleId="SNErsteZeile">
    <w:name w:val="_SN_Erste Zeile"/>
    <w:basedOn w:val="Normal"/>
    <w:link w:val="SNErsteZeileZchn"/>
    <w:rsid w:val="00846733"/>
    <w:pPr>
      <w:keepNext/>
      <w:spacing w:line="300" w:lineRule="atLeast"/>
      <w:jc w:val="both"/>
    </w:pPr>
    <w:rPr>
      <w:rFonts w:ascii="Evonik Prokyon" w:hAnsi="Evonik Prokyon"/>
      <w:sz w:val="20"/>
      <w:szCs w:val="20"/>
      <w:lang w:val="de-DE"/>
    </w:rPr>
  </w:style>
  <w:style w:type="paragraph" w:customStyle="1" w:styleId="TTitleText">
    <w:name w:val="T_Title_Text"/>
    <w:qFormat/>
    <w:rsid w:val="00D06894"/>
    <w:pPr>
      <w:keepNext/>
      <w:spacing w:after="40" w:line="220" w:lineRule="exact"/>
    </w:pPr>
    <w:rPr>
      <w:rFonts w:ascii="Evonik Prokyon Medium" w:eastAsia="Calibri" w:hAnsi="Evonik Prokyon Medium"/>
      <w:b/>
      <w:color w:val="000000"/>
      <w:sz w:val="18"/>
      <w:lang w:val="en-US" w:eastAsia="en-US"/>
    </w:rPr>
  </w:style>
  <w:style w:type="paragraph" w:customStyle="1" w:styleId="THeadfirstNumber">
    <w:name w:val="T_Head_first_Number"/>
    <w:qFormat/>
    <w:rsid w:val="00D06894"/>
    <w:pPr>
      <w:keepNext/>
      <w:spacing w:before="40" w:after="40" w:line="220" w:lineRule="exact"/>
      <w:jc w:val="center"/>
    </w:pPr>
    <w:rPr>
      <w:rFonts w:ascii="Evonik Prokyon" w:eastAsia="Calibri" w:hAnsi="Evonik Prokyon"/>
      <w:color w:val="000000"/>
      <w:sz w:val="14"/>
      <w:lang w:eastAsia="en-US"/>
    </w:rPr>
  </w:style>
  <w:style w:type="paragraph" w:customStyle="1" w:styleId="THeadlastText">
    <w:name w:val="T_Head_last_Text"/>
    <w:qFormat/>
    <w:rsid w:val="00D06894"/>
    <w:pPr>
      <w:keepNext/>
      <w:spacing w:before="40" w:after="40" w:line="220" w:lineRule="exact"/>
    </w:pPr>
    <w:rPr>
      <w:rFonts w:ascii="Evonik Prokyon" w:eastAsia="Calibri" w:hAnsi="Evonik Prokyon"/>
      <w:color w:val="000000"/>
      <w:sz w:val="12"/>
      <w:lang w:eastAsia="en-US"/>
    </w:rPr>
  </w:style>
  <w:style w:type="paragraph" w:customStyle="1" w:styleId="THeadlastNumber">
    <w:name w:val="T_Head_last_Number"/>
    <w:rsid w:val="00D06894"/>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lastNumberbold">
    <w:name w:val="T_Head_last_Number_bold"/>
    <w:qFormat/>
    <w:rsid w:val="00D06894"/>
    <w:pPr>
      <w:keepNext/>
      <w:spacing w:before="40" w:after="40" w:line="220" w:lineRule="exact"/>
      <w:ind w:right="57"/>
      <w:jc w:val="right"/>
    </w:pPr>
    <w:rPr>
      <w:rFonts w:ascii="Evonik Prokyon" w:eastAsia="Calibri" w:hAnsi="Evonik Prokyon"/>
      <w:b/>
      <w:color w:val="991D85"/>
      <w:sz w:val="14"/>
      <w:lang w:eastAsia="en-US"/>
    </w:rPr>
  </w:style>
  <w:style w:type="paragraph" w:customStyle="1" w:styleId="TBodysubtotalText">
    <w:name w:val="T_Body_subtotal_Text"/>
    <w:qFormat/>
    <w:rsid w:val="00D06894"/>
    <w:pPr>
      <w:spacing w:after="40" w:line="220" w:lineRule="exact"/>
    </w:pPr>
    <w:rPr>
      <w:rFonts w:ascii="Evonik Prokyon" w:eastAsia="Calibri" w:hAnsi="Evonik Prokyon"/>
      <w:b/>
      <w:color w:val="000000"/>
      <w:sz w:val="14"/>
      <w:lang w:eastAsia="en-US"/>
    </w:rPr>
  </w:style>
  <w:style w:type="paragraph" w:customStyle="1" w:styleId="THeaddifferenceNumber">
    <w:name w:val="T_Head_difference_Number"/>
    <w:qFormat/>
    <w:rsid w:val="00D06894"/>
    <w:pPr>
      <w:spacing w:after="40"/>
      <w:ind w:right="57"/>
      <w:jc w:val="right"/>
    </w:pPr>
    <w:rPr>
      <w:rFonts w:ascii="Evonik Prokyon" w:hAnsi="Evonik Prokyon"/>
      <w:color w:val="000000"/>
      <w:sz w:val="14"/>
      <w:lang w:eastAsia="en-US"/>
    </w:rPr>
  </w:style>
  <w:style w:type="paragraph" w:customStyle="1" w:styleId="TBodysubtotalNumber">
    <w:name w:val="T_Body_subtotal_Number"/>
    <w:qFormat/>
    <w:rsid w:val="00D06894"/>
    <w:pPr>
      <w:spacing w:after="40" w:line="220" w:lineRule="exact"/>
      <w:ind w:right="57"/>
      <w:jc w:val="right"/>
    </w:pPr>
    <w:rPr>
      <w:rFonts w:ascii="Evonik Prokyon" w:eastAsia="Calibri" w:hAnsi="Evonik Prokyon"/>
      <w:b/>
      <w:color w:val="000000"/>
      <w:sz w:val="14"/>
      <w:lang w:eastAsia="en-US"/>
    </w:rPr>
  </w:style>
  <w:style w:type="paragraph" w:customStyle="1" w:styleId="TBodynormalText">
    <w:name w:val="T_Body_normal_Text"/>
    <w:basedOn w:val="Normal"/>
    <w:qFormat/>
    <w:rsid w:val="00D06894"/>
    <w:pPr>
      <w:keepNext/>
      <w:keepLines/>
      <w:spacing w:after="40" w:line="220" w:lineRule="exact"/>
    </w:pPr>
    <w:rPr>
      <w:rFonts w:ascii="Evonik Prokyon" w:eastAsia="Calibri" w:hAnsi="Evonik Prokyon"/>
      <w:color w:val="000000"/>
      <w:sz w:val="14"/>
      <w:szCs w:val="20"/>
      <w:lang w:val="de-DE" w:eastAsia="en-US"/>
    </w:rPr>
  </w:style>
  <w:style w:type="paragraph" w:customStyle="1" w:styleId="TBodynormalNumber">
    <w:name w:val="T_Body_normal_Number"/>
    <w:qFormat/>
    <w:rsid w:val="00D06894"/>
    <w:pPr>
      <w:spacing w:after="40" w:line="220" w:lineRule="exact"/>
      <w:ind w:right="57"/>
      <w:jc w:val="right"/>
    </w:pPr>
    <w:rPr>
      <w:rFonts w:ascii="Evonik Prokyon" w:eastAsia="Calibri" w:hAnsi="Evonik Prokyon"/>
      <w:color w:val="000000"/>
      <w:sz w:val="14"/>
      <w:lang w:eastAsia="en-US"/>
    </w:rPr>
  </w:style>
  <w:style w:type="paragraph" w:customStyle="1" w:styleId="TDummy">
    <w:name w:val="T_Dummy"/>
    <w:rsid w:val="00D06894"/>
    <w:rPr>
      <w:rFonts w:ascii="Evonik Prokyon" w:eastAsia="Calibri" w:hAnsi="Evonik Prokyon"/>
      <w:color w:val="000000"/>
      <w:sz w:val="4"/>
      <w:lang w:val="en-US" w:eastAsia="en-US"/>
    </w:rPr>
  </w:style>
  <w:style w:type="paragraph" w:customStyle="1" w:styleId="TBodytotalText">
    <w:name w:val="T_Body_total_Text"/>
    <w:qFormat/>
    <w:rsid w:val="00D06894"/>
    <w:pPr>
      <w:keepNext/>
      <w:spacing w:after="40" w:line="220" w:lineRule="exact"/>
    </w:pPr>
    <w:rPr>
      <w:rFonts w:ascii="Evonik Prokyon" w:eastAsia="Calibri" w:hAnsi="Evonik Prokyon"/>
      <w:b/>
      <w:color w:val="000000"/>
      <w:sz w:val="14"/>
      <w:lang w:eastAsia="en-US"/>
    </w:rPr>
  </w:style>
  <w:style w:type="paragraph" w:customStyle="1" w:styleId="TBodytotalNumber">
    <w:name w:val="T_Body_total_Number"/>
    <w:qFormat/>
    <w:rsid w:val="00D06894"/>
    <w:pPr>
      <w:keepNext/>
      <w:spacing w:after="40" w:line="220" w:lineRule="exact"/>
      <w:ind w:right="57"/>
      <w:jc w:val="right"/>
    </w:pPr>
    <w:rPr>
      <w:rFonts w:ascii="Evonik Prokyon" w:eastAsia="Calibri" w:hAnsi="Evonik Prokyon"/>
      <w:b/>
      <w:color w:val="000000"/>
      <w:sz w:val="14"/>
      <w:lang w:eastAsia="en-US"/>
    </w:rPr>
  </w:style>
  <w:style w:type="paragraph" w:customStyle="1" w:styleId="THeadsingleText">
    <w:name w:val="T_Head_single_Text"/>
    <w:qFormat/>
    <w:rsid w:val="00D06894"/>
    <w:pPr>
      <w:keepNext/>
      <w:spacing w:before="40" w:after="40" w:line="220" w:lineRule="exact"/>
    </w:pPr>
    <w:rPr>
      <w:rFonts w:ascii="Evonik Prokyon" w:eastAsia="Calibri" w:hAnsi="Evonik Prokyon"/>
      <w:color w:val="000000"/>
      <w:sz w:val="12"/>
      <w:lang w:eastAsia="en-US"/>
    </w:rPr>
  </w:style>
  <w:style w:type="paragraph" w:customStyle="1" w:styleId="THeadsingleNumber">
    <w:name w:val="T_Head_single_Number"/>
    <w:qFormat/>
    <w:rsid w:val="00D06894"/>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singleNumberbold">
    <w:name w:val="T_Head_single_Number_bold"/>
    <w:qFormat/>
    <w:rsid w:val="00D06894"/>
    <w:pPr>
      <w:keepNext/>
      <w:spacing w:before="40" w:after="40" w:line="220" w:lineRule="exact"/>
      <w:ind w:right="57"/>
      <w:jc w:val="right"/>
    </w:pPr>
    <w:rPr>
      <w:rFonts w:ascii="Evonik Prokyon" w:eastAsia="Calibri" w:hAnsi="Evonik Prokyon"/>
      <w:b/>
      <w:color w:val="991D85"/>
      <w:sz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E3211C5BED4E46A5E70AB4AB8E55BA" ma:contentTypeVersion="9" ma:contentTypeDescription="Create a new document." ma:contentTypeScope="" ma:versionID="219fa1abf5e63fd295ccae49e9d0b250">
  <xsd:schema xmlns:xsd="http://www.w3.org/2001/XMLSchema" xmlns:xs="http://www.w3.org/2001/XMLSchema" xmlns:p="http://schemas.microsoft.com/office/2006/metadata/properties" xmlns:ns2="e07854b6-a587-48d3-9227-07135cb48b70" xmlns:ns3="5b07b4f9-18a9-406f-8c85-d420b86b2904" targetNamespace="http://schemas.microsoft.com/office/2006/metadata/properties" ma:root="true" ma:fieldsID="1bbc0035a3022b2aa4630e5a41d214e2" ns2:_="" ns3:_="">
    <xsd:import namespace="e07854b6-a587-48d3-9227-07135cb48b70"/>
    <xsd:import namespace="5b07b4f9-18a9-406f-8c85-d420b86b2904"/>
    <xsd:element name="properties">
      <xsd:complexType>
        <xsd:sequence>
          <xsd:element name="documentManagement">
            <xsd:complexType>
              <xsd:all>
                <xsd:element ref="ns2:DocumentTitle"/>
                <xsd:element ref="ns2:Description0" minOccurs="0"/>
                <xsd:element ref="ns2:FirstCategoryGroup"/>
                <xsd:element ref="ns2:DocumentLanguage"/>
                <xsd:element ref="ns2:LanguageTree" minOccurs="0"/>
                <xsd:element ref="ns2:Date" minOccurs="0"/>
                <xsd:element ref="ns2:ThumbnailLinkUr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854b6-a587-48d3-9227-07135cb48b70"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FirstCategoryGroup" ma:index="3" ma:displayName="Document Type" ma:default="Miscellaneous (Non-Office)" ma:format="Dropdown" ma:internalName="FirstCategoryGroup">
      <xsd:simpleType>
        <xsd:restriction base="dms:Choice">
          <xsd:enumeration value="Miscellaneous (Non-Office)"/>
          <xsd:enumeration value="toDo"/>
          <xsd:enumeration value="--- --- ---"/>
          <xsd:enumeration value="Policies - Overview"/>
          <xsd:enumeration value="Policies - Template Policies"/>
          <xsd:enumeration value="Policies - Reporting Manual - Overview"/>
          <xsd:enumeration value="Policies - Reporting Manual - Directory"/>
          <xsd:enumeration value="Policies - Reporting Manual - Introduction"/>
          <xsd:enumeration value="Policies - Reporting Manual - Closing and Reporting Process"/>
          <xsd:enumeration value="Policies - Reporting Manual - Directory of Reporting Entities"/>
          <xsd:enumeration value="Policies - Reporting Manual - Chart of Accounts (CoA)"/>
          <xsd:enumeration value="Policies - Reporting Manual - System of Key Indicators (KPI System)"/>
          <xsd:enumeration value="Policies - Reporting Manual - IFRS Recognition and Measurement - Overview"/>
          <xsd:enumeration value="Policies - Reporting Manual - IFRS Recognition and Measurement - General"/>
          <xsd:enumeration value="Policies - Reporting Manual - IFRS Recognition and Measurement - Balance Sheet Recognition and Measurement"/>
          <xsd:enumeration value="Policies - Reporting Manual - IFRS Recognition and Measurement - Special Topics at the Balance Sheet"/>
          <xsd:enumeration value="Policies - Reporting Manual - IFRS Recognition and Measurement - Income Statement"/>
          <xsd:enumeration value="Policies - Reporting Manual - IFRS Recognition and Measurement - Consolidation and Goodwill Impairment"/>
          <xsd:enumeration value="Policies - Reporting Manual - IFRS Recognition and Measurement - Other Disclosures"/>
          <xsd:enumeration value="Policies - Reporting Manual - Annual Report and Financial Statements - Overview"/>
          <xsd:enumeration value="Policies - Reporting Manual - Annual Report and Financial Statements - Components of Financial Reporting"/>
          <xsd:enumeration value="Policies - Reporting Manual - Annual Report and Financial Statements - Comprehensive Income and Income Statement"/>
          <xsd:enumeration value="Policies - Reporting Manual - Annual Report and Financial Statements - Balance Sheet"/>
          <xsd:enumeration value="Policies - Reporting Manual - Annual Report and Financial Statements - Statement of Changes in Equity"/>
          <xsd:enumeration value="Policies - Reporting Manual - Annual Report and Financial Statements - Cash Flow Statement and Method of Preparation"/>
          <xsd:enumeration value="Policies - Reporting Manual - Annual Report and Financial Statements - Segment Reporting"/>
          <xsd:enumeration value="Policies - Reporting Manual - Annual Report and Financial Statements - Structure and Content of the Notes to the Financial Statements (with Checklist)"/>
          <xsd:enumeration value="Policies - Reporting Manual - Annual Report and Financial Statements - List of Shares held"/>
          <xsd:enumeration value="Policies - Reporting Manual - Annual Report and Financial Statements - Management Report"/>
          <xsd:enumeration value="Policies - Reporting Manual - Annual Report and Financial Statements - Documents to be Submitted"/>
          <xsd:enumeration value="Policies - Reporting Manual - Annual Report and Financial Statements - Auditing and Publication"/>
          <xsd:enumeration value="Policies - Reporting Manual - Interim Financial Reporting - Overview"/>
          <xsd:enumeration value="Policies - Reporting Manual - Interim Financial Reporting - General Instruction"/>
          <xsd:enumeration value="Policies - Reporting Manual - Interim Financial Reporting - Content and Reporting Periods for Quarterly Financial Statements"/>
          <xsd:enumeration value="Policies - Reporting Manual - Interim Financial Reporting - Documents to be Subitted"/>
          <xsd:enumeration value="Policies - Reporting Manual - Interim Financial Reporting - Review"/>
          <xsd:enumeration value="Policies - Reporting Manual - Intercompany Guideline"/>
          <xsd:enumeration value="Policies - Reporting Manual - Management Reporting - Overview"/>
          <xsd:enumeration value="Policies - Reporting Manual - Management Reporting - General Introduction"/>
          <xsd:enumeration value="Policies - Reporting Manual - Management Reporting - Reporting Process"/>
          <xsd:enumeration value="Policies - Reporting Manual - Management Reporting - Monthly Reporting"/>
          <xsd:enumeration value="Policies - Reporting Manual - Management Reporting - Controlling Meetings"/>
          <xsd:enumeration value="Policies - Reporting Manual - Management Reporting - Information about Segmentation"/>
          <xsd:enumeration value="Policies - Reporting Manual - Management Reporting - Reporting Center"/>
          <xsd:enumeration value="Policies - Reporting Manual - Strategy and Planing Process"/>
          <xsd:enumeration value="Policies - Reporting Manual - Investments - Overview"/>
          <xsd:enumeration value="Policies - Reporting Manual - Investments - Investment Policy - Overview"/>
          <xsd:enumeration value="Policies - Reporting Manual - Investments - Investment Policy - Appendices"/>
          <xsd:enumeration value="Policies - Reporting Manual - Investments - Investment Policy - Associated Documents"/>
          <xsd:enumeration value="Policies - Reporting Manual - Investments - IT Investment Policy - Overview"/>
          <xsd:enumeration value="Policies - Reporting Manual - Investments - IT Investment Policy - Associated Documents"/>
          <xsd:enumeration value="Policies - Reporting Manual - Investments - Archives"/>
          <xsd:enumeration value="Policies - Reporting Manual - Risk Management - Overview"/>
          <xsd:enumeration value="Policies - Reporting Manual - Risk Management - Risk Management - Overview"/>
          <xsd:enumeration value="Policies - Reporting Manual - Risk Management - Risk Management Annex"/>
          <xsd:enumeration value="Policies - Reporting Manual - Risk Management - Risk Management Forms"/>
          <xsd:enumeration value="Policies - ESHQ - Overview"/>
          <xsd:enumeration value="Policies - ESHQ - Procedures"/>
          <xsd:enumeration value="Policies - ESHQ - Guidelines and Tables"/>
          <xsd:enumeration value="Policies - ESHQ - Reporting Manual"/>
          <xsd:enumeration value="--- --- ---"/>
          <xsd:enumeration value="IT - Overview"/>
          <xsd:enumeration value="IT - IT Services"/>
          <xsd:enumeration value="IT - Quality Management"/>
          <xsd:enumeration value="IT - E-mail &amp; Internet Usage"/>
          <xsd:enumeration value="--- --- ---"/>
          <xsd:enumeration value="Knowledge - Overview"/>
          <xsd:enumeration value="Knowledge - Vitas"/>
          <xsd:enumeration value="Knowledge - Publications - Overview"/>
          <xsd:enumeration value="Knowledge - Publications - Annual Reports"/>
          <xsd:enumeration value="Knowledge - Publications - CR Reports"/>
          <xsd:enumeration value="Knowledge - Publications - Sustainability Reports"/>
          <xsd:enumeration value="Knowledge - Publications - Other Publications"/>
          <xsd:enumeration value="Knowledge - Publications - Folio"/>
          <xsd:enumeration value="Knowledge - Publications - Elements"/>
          <xsd:enumeration value="Knowledge - Publications - Evonik Magazine Special"/>
          <xsd:enumeration value="Knowledge - Publications - Evonik Magazine"/>
          <xsd:enumeration value="--- --- ---"/>
          <xsd:enumeration value="Travel - Overview"/>
          <xsd:enumeration value="Travel - Maps"/>
          <xsd:enumeration value="--- --- ---"/>
          <xsd:enumeration value="HR - Overview"/>
          <xsd:enumeration value="HR - HR Direct - Overview"/>
          <xsd:enumeration value="HR - HR Direct - Orders"/>
          <xsd:enumeration value="HR - HR Direct - Brochures"/>
          <xsd:enumeration value="HR - HR Direct - Forms"/>
          <xsd:enumeration value="HR - HR Direct - Presentations"/>
          <xsd:enumeration value="HR - HR Direct - Guidelines"/>
          <xsd:enumeration value="HR - Betriebliche Altersversorgung - Overview"/>
          <xsd:enumeration value="HR - Betriebliche Altersversorgung - RUK 2018"/>
          <xsd:enumeration value="HR - Betriebliche Altersversorgung - Evonik Rente plus"/>
          <xsd:enumeration value="HR - Betriebliche Altersversorgung - Riester"/>
          <xsd:enumeration value="HR - Betriebliche Altersversorgung - Bausteine"/>
          <xsd:enumeration value="HR - Betriebliche Altersversorgung - Pensionskasse"/>
          <xsd:enumeration value="HR - Betriebliche Altersversorgung - Sterbekasse"/>
          <xsd:enumeration value="HR - Exchange of Students"/>
          <xsd:enumeration value="HR - Remuneration - Overview"/>
          <xsd:enumeration value="HR - Remuneration - Non-exempt Employees"/>
          <xsd:enumeration value="HR - Remuneration - Exempt Employees"/>
          <xsd:enumeration value="HR - Company Agreements"/>
          <xsd:enumeration value="HR - Spoke Board Arrangements"/>
          <xsd:enumeration value="HR - Competency Model"/>
          <xsd:enumeration value="HR - Performance Review"/>
          <xsd:enumeration value="--- --- ---"/>
          <xsd:enumeration value="Products - Overview"/>
          <xsd:enumeration value="Products - Product Stories"/>
          <xsd:enumeration value="Products - Disclaimer"/>
          <xsd:enumeration value="--- --- ---"/>
          <xsd:enumeration value="Templates - Overview"/>
          <xsd:enumeration value="Templates - Letter Templates"/>
          <xsd:enumeration value="Templates - Office Stationary"/>
          <xsd:enumeration value="Templates - Panel Templates"/>
          <xsd:enumeration value="--- --- ---"/>
          <xsd:enumeration value="Org-Charts - Overview"/>
          <xsd:enumeration value="Org-Charts - Reporting Units - Overview"/>
          <xsd:enumeration value="Org-Charts - Reporting Units - Archive"/>
          <xsd:enumeration value="--- --- ---"/>
          <xsd:enumeration value="Purchasing - Overview"/>
          <xsd:enumeration value="Purchasing - Logistics - Overview"/>
          <xsd:enumeration value="Purchasing - Logistics - Information"/>
          <xsd:enumeration value="Purchasing - Management Systems"/>
          <xsd:enumeration value="Purchasing - IT Systems - Overview"/>
          <xsd:enumeration value="Purchasing - IT Systems - Hubwoo"/>
          <xsd:enumeration value="Purchasing - IT Systems - SAP"/>
          <xsd:enumeration value="Purchasing - SET"/>
          <xsd:enumeration value="--- --- ---"/>
          <xsd:enumeration value="Finance - Overview"/>
          <xsd:enumeration value="Finance - Accounting &amp; Taxes - Overview"/>
          <xsd:enumeration value="Finance - Accounting &amp; Taxes - Current Accounts"/>
          <xsd:enumeration value="Finance - Accounting &amp; Taxes - Financial Reporting"/>
        </xsd:restriction>
      </xsd:simpleType>
    </xsd:element>
    <xsd:element name="DocumentLanguage" ma:index="4" ma:displayName="Document Language" ma:default="DE" ma:format="Dropdown" ma:internalName="DocumentLanguage">
      <xsd:simpleType>
        <xsd:restriction base="dms:Choice">
          <xsd:enumeration value="DE"/>
          <xsd:enumeration value="EN"/>
        </xsd:restriction>
      </xsd:simpleType>
    </xsd:element>
    <xsd:element name="LanguageTree" ma:index="5"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Date" ma:index="6" nillable="true" ma:displayName="Date" ma:format="DateOnly" ma:internalName="Date">
      <xsd:simpleType>
        <xsd:restriction base="dms:DateTime"/>
      </xsd:simpleType>
    </xsd:element>
    <xsd:element name="ThumbnailLinkUrl" ma:index="7" nillable="true" ma:displayName="Thumbnail Link Url" ma:default="" ma:internalName="ThumbnailLinkUr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07b4f9-18a9-406f-8c85-d420b86b2904"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scription0 xmlns="e07854b6-a587-48d3-9227-07135cb48b70" xsi:nil="true"/>
    <ThumbnailLinkUrl xmlns="e07854b6-a587-48d3-9227-07135cb48b70" xsi:nil="true"/>
    <FirstCategoryGroup xmlns="e07854b6-a587-48d3-9227-07135cb48b70">Templates - Office Stationary</FirstCategoryGroup>
    <DocumentLanguage xmlns="e07854b6-a587-48d3-9227-07135cb48b70">EN</DocumentLanguage>
    <Date xmlns="e07854b6-a587-48d3-9227-07135cb48b70" xsi:nil="true"/>
    <DocumentTitle xmlns="e07854b6-a587-48d3-9227-07135cb48b70"/>
    <LanguageTree xmlns="e07854b6-a587-48d3-9227-07135cb48b70">
      <Value>DE</Value>
      <Value>EN</Value>
    </LanguageTree>
  </documentManagement>
</p:properties>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B88613CC-86E6-45B4-8779-C40DA7C31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854b6-a587-48d3-9227-07135cb48b70"/>
    <ds:schemaRef ds:uri="5b07b4f9-18a9-406f-8c85-d420b86b2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4.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07854b6-a587-48d3-9227-07135cb48b7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1642</Words>
  <Characters>8872</Characters>
  <Application>Microsoft Office Word</Application>
  <DocSecurity>0</DocSecurity>
  <Lines>73</Lines>
  <Paragraphs>20</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10494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Resultados Financeiros 3Trim 2022</dc:subject>
  <dc:creator>Taís Augusto</dc:creator>
  <cp:keywords/>
  <dc:description>Novembro 2022</dc:description>
  <cp:lastModifiedBy>Taís Augusto</cp:lastModifiedBy>
  <cp:revision>3</cp:revision>
  <cp:lastPrinted>2017-06-09T09:57:00Z</cp:lastPrinted>
  <dcterms:created xsi:type="dcterms:W3CDTF">2022-11-10T21:31:00Z</dcterms:created>
  <dcterms:modified xsi:type="dcterms:W3CDTF">2022-11-10T21:31:00Z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0x010100D1E3211C5BED4E46A5E70AB4AB8E55BA</vt:lpwstr>
  </property>
</Properties>
</file>