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75058258" w:rsidR="004F1918" w:rsidRPr="008D6C5B" w:rsidRDefault="0078322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B36546">
              <w:rPr>
                <w:b w:val="0"/>
                <w:sz w:val="18"/>
                <w:szCs w:val="18"/>
                <w:lang w:val="pt-BR"/>
              </w:rPr>
              <w:t>2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</w:t>
            </w:r>
            <w:r w:rsidR="00AD4B8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E559F9">
              <w:rPr>
                <w:b w:val="0"/>
                <w:sz w:val="18"/>
                <w:szCs w:val="18"/>
                <w:lang w:val="pt-BR"/>
              </w:rPr>
              <w:t>maio</w:t>
            </w:r>
            <w:r w:rsidR="00FE68D3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e 20</w:t>
            </w:r>
            <w:r w:rsidR="00F305C6">
              <w:rPr>
                <w:b w:val="0"/>
                <w:sz w:val="18"/>
                <w:szCs w:val="18"/>
                <w:lang w:val="pt-BR"/>
              </w:rPr>
              <w:t>23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0D07E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D07E0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0D07E0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0D07E0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0D07E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D07E0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0D07E0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0E53A302" w14:textId="77777777" w:rsidR="00226092" w:rsidRPr="006048CC" w:rsidRDefault="00226092" w:rsidP="00226092">
      <w:pPr>
        <w:pStyle w:val="Ttulo"/>
      </w:pPr>
      <w:bookmarkStart w:id="0" w:name="_Hlk83896736"/>
      <w:r>
        <w:t>Conjuntura</w:t>
      </w:r>
      <w:r w:rsidRPr="006048CC">
        <w:t xml:space="preserve"> fraca caracteriza primeiro trimestre difícil</w:t>
      </w:r>
    </w:p>
    <w:p w14:paraId="39A14058" w14:textId="77777777" w:rsidR="00226092" w:rsidRPr="006048CC" w:rsidRDefault="00226092" w:rsidP="00226092">
      <w:pPr>
        <w:pStyle w:val="Ttulo"/>
      </w:pPr>
    </w:p>
    <w:p w14:paraId="7A2E47C8" w14:textId="77777777" w:rsidR="00226092" w:rsidRPr="00B11EE0" w:rsidRDefault="00226092" w:rsidP="00226092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Cs w:val="22"/>
        </w:rPr>
      </w:pPr>
      <w:r w:rsidRPr="00B11EE0">
        <w:rPr>
          <w:rFonts w:cs="Lucida Sans Unicode"/>
          <w:szCs w:val="22"/>
        </w:rPr>
        <w:t xml:space="preserve">EBITDA ajustado encolheu 44% para 409 milhões de euros </w:t>
      </w:r>
    </w:p>
    <w:p w14:paraId="5C84BF5D" w14:textId="77777777" w:rsidR="00226092" w:rsidRPr="00B11EE0" w:rsidRDefault="00226092" w:rsidP="00226092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Cs w:val="22"/>
        </w:rPr>
      </w:pPr>
      <w:r w:rsidRPr="00B11EE0">
        <w:rPr>
          <w:rFonts w:cs="Lucida Sans Unicode"/>
          <w:szCs w:val="22"/>
        </w:rPr>
        <w:t>Previsão de receitas confirmada na extremidade inferior do intervalo</w:t>
      </w:r>
    </w:p>
    <w:p w14:paraId="6BAE286D" w14:textId="77777777" w:rsidR="00226092" w:rsidRPr="00B11EE0" w:rsidRDefault="00226092" w:rsidP="00226092">
      <w:pPr>
        <w:numPr>
          <w:ilvl w:val="0"/>
          <w:numId w:val="32"/>
        </w:numPr>
        <w:tabs>
          <w:tab w:val="clear" w:pos="360"/>
          <w:tab w:val="num" w:pos="340"/>
        </w:tabs>
        <w:ind w:left="340" w:right="85" w:hanging="340"/>
        <w:rPr>
          <w:rFonts w:cs="Lucida Sans Unicode"/>
          <w:szCs w:val="22"/>
        </w:rPr>
      </w:pPr>
      <w:r w:rsidRPr="00B11EE0">
        <w:rPr>
          <w:rFonts w:cs="Lucida Sans Unicode"/>
          <w:szCs w:val="22"/>
        </w:rPr>
        <w:t xml:space="preserve">Venda do site de </w:t>
      </w:r>
      <w:proofErr w:type="spellStart"/>
      <w:r w:rsidRPr="00B11EE0">
        <w:rPr>
          <w:rFonts w:cs="Lucida Sans Unicode"/>
          <w:szCs w:val="22"/>
        </w:rPr>
        <w:t>Luelsdorf</w:t>
      </w:r>
      <w:proofErr w:type="spellEnd"/>
      <w:r w:rsidRPr="00B11EE0">
        <w:rPr>
          <w:rFonts w:cs="Lucida Sans Unicode"/>
          <w:szCs w:val="22"/>
        </w:rPr>
        <w:t xml:space="preserve"> concluída com sucesso</w:t>
      </w:r>
    </w:p>
    <w:p w14:paraId="1351CF0B" w14:textId="5205A003" w:rsidR="00226092" w:rsidRPr="00B11EE0" w:rsidRDefault="00226092" w:rsidP="00226092">
      <w:pPr>
        <w:rPr>
          <w:szCs w:val="22"/>
        </w:rPr>
      </w:pPr>
      <w:r>
        <w:rPr>
          <w:szCs w:val="22"/>
        </w:rPr>
        <w:br/>
      </w:r>
    </w:p>
    <w:p w14:paraId="44808CC6" w14:textId="77777777" w:rsidR="00226092" w:rsidRPr="006048CC" w:rsidRDefault="00226092" w:rsidP="00226092">
      <w:r w:rsidRPr="006048CC">
        <w:t xml:space="preserve">Apesar das dificuldades do primeiro trimestre, a Evonik confirma sua previsão de </w:t>
      </w:r>
      <w:r>
        <w:t>receitas</w:t>
      </w:r>
      <w:r w:rsidRPr="006048CC">
        <w:t xml:space="preserve"> para 2023. “O início do ano foi ainda mais desafiado</w:t>
      </w:r>
      <w:r>
        <w:t>r</w:t>
      </w:r>
      <w:r w:rsidRPr="006048CC">
        <w:t xml:space="preserve"> que </w:t>
      </w:r>
      <w:r>
        <w:t>o esperado</w:t>
      </w:r>
      <w:r w:rsidRPr="006048CC">
        <w:t xml:space="preserve">, disse Christian </w:t>
      </w:r>
      <w:proofErr w:type="spellStart"/>
      <w:r w:rsidRPr="006048CC">
        <w:t>Kullmann</w:t>
      </w:r>
      <w:proofErr w:type="spellEnd"/>
      <w:r w:rsidRPr="006048CC">
        <w:t xml:space="preserve">, Presidente da Diretoria Executiva. “No entanto, ao longo do trimestre, pudemos ver sinais de uma recuperação dos negócios. Tanto fevereiro quanto março foram melhores que </w:t>
      </w:r>
      <w:r w:rsidRPr="00B27F52">
        <w:t>o mês precedente do ponto de vista do resultado operacional.</w:t>
      </w:r>
      <w:r w:rsidRPr="006048CC">
        <w:t xml:space="preserve"> </w:t>
      </w:r>
    </w:p>
    <w:p w14:paraId="12A54F1D" w14:textId="77777777" w:rsidR="00226092" w:rsidRPr="006048CC" w:rsidRDefault="00226092" w:rsidP="00226092"/>
    <w:p w14:paraId="6AD8D470" w14:textId="4FDEE6D9" w:rsidR="00226092" w:rsidRDefault="00226092" w:rsidP="00226092">
      <w:pPr>
        <w:rPr>
          <w:szCs w:val="22"/>
        </w:rPr>
      </w:pPr>
      <w:r w:rsidRPr="00942A92">
        <w:t xml:space="preserve">O primeiro trimestre foi caracterizado por uma atividade econômica fraca e uma demanda baixa, com os clientes ainda tratando de reduzir seus estoques, especialmente nas primeiras semanas do novo ano. No geral, as vendas recuaram 11% para 4 bilhões de euros </w:t>
      </w:r>
      <w:r w:rsidRPr="009751DC">
        <w:rPr>
          <w:szCs w:val="22"/>
        </w:rPr>
        <w:t xml:space="preserve">e os volumes baixaram 14%. Os preços mais altos compensaram algumas das perdas em volume e neutralizaram os efeitos da inflação. </w:t>
      </w:r>
      <w:r>
        <w:rPr>
          <w:szCs w:val="22"/>
        </w:rPr>
        <w:t xml:space="preserve">O </w:t>
      </w:r>
      <w:r w:rsidRPr="009751DC">
        <w:rPr>
          <w:szCs w:val="22"/>
        </w:rPr>
        <w:t>EBITDA ajustado</w:t>
      </w:r>
      <w:r>
        <w:rPr>
          <w:szCs w:val="22"/>
        </w:rPr>
        <w:t xml:space="preserve"> </w:t>
      </w:r>
      <w:r w:rsidRPr="009751DC">
        <w:rPr>
          <w:szCs w:val="22"/>
        </w:rPr>
        <w:t>retrocede</w:t>
      </w:r>
      <w:r>
        <w:rPr>
          <w:szCs w:val="22"/>
        </w:rPr>
        <w:t>u</w:t>
      </w:r>
      <w:r w:rsidRPr="009751DC">
        <w:rPr>
          <w:szCs w:val="22"/>
        </w:rPr>
        <w:t xml:space="preserve"> 44% para 409 milhões de euros. </w:t>
      </w:r>
    </w:p>
    <w:p w14:paraId="1B5AC2C7" w14:textId="77777777" w:rsidR="00226092" w:rsidRDefault="00226092" w:rsidP="00226092">
      <w:pPr>
        <w:rPr>
          <w:szCs w:val="22"/>
        </w:rPr>
      </w:pPr>
    </w:p>
    <w:p w14:paraId="16C25005" w14:textId="77777777" w:rsidR="00226092" w:rsidRDefault="00226092" w:rsidP="00226092">
      <w:pPr>
        <w:rPr>
          <w:szCs w:val="22"/>
        </w:rPr>
      </w:pPr>
      <w:r w:rsidRPr="009751DC">
        <w:rPr>
          <w:szCs w:val="22"/>
        </w:rPr>
        <w:t xml:space="preserve">Apesar dos resultados operacionais fracos, o fluxo de caixa livre atingiu 21 milhões de euros. “Para cumprir o nosso objetivo de fluxo de caixa livre este ano, deveremos intensificar os nossos esforços”, disse Maike </w:t>
      </w:r>
      <w:proofErr w:type="spellStart"/>
      <w:r w:rsidRPr="009751DC">
        <w:rPr>
          <w:szCs w:val="22"/>
        </w:rPr>
        <w:t>Schuh</w:t>
      </w:r>
      <w:proofErr w:type="spellEnd"/>
      <w:r w:rsidRPr="009751DC">
        <w:rPr>
          <w:szCs w:val="22"/>
        </w:rPr>
        <w:t>, CFO da empresa desde 1° de abril. “Precisamos de muita disciplina na administração do nosso capital de giro e dos investimentos. Vamos ter de nos unir e mostrar que podemos superar essa conjuntura difícil</w:t>
      </w:r>
      <w:r>
        <w:rPr>
          <w:szCs w:val="22"/>
        </w:rPr>
        <w:t>”</w:t>
      </w:r>
      <w:r w:rsidRPr="009751DC">
        <w:rPr>
          <w:szCs w:val="22"/>
        </w:rPr>
        <w:t xml:space="preserve">. </w:t>
      </w:r>
    </w:p>
    <w:p w14:paraId="74D84172" w14:textId="77777777" w:rsidR="00226092" w:rsidRDefault="00226092" w:rsidP="00226092">
      <w:pPr>
        <w:rPr>
          <w:szCs w:val="22"/>
        </w:rPr>
      </w:pPr>
    </w:p>
    <w:p w14:paraId="65886A56" w14:textId="7046CF3E" w:rsidR="00226092" w:rsidRPr="00226092" w:rsidRDefault="00226092" w:rsidP="00226092">
      <w:pPr>
        <w:rPr>
          <w:sz w:val="28"/>
          <w:szCs w:val="28"/>
        </w:rPr>
      </w:pPr>
      <w:r w:rsidRPr="009751DC">
        <w:rPr>
          <w:szCs w:val="22"/>
        </w:rPr>
        <w:t xml:space="preserve">Para o ano inteiro, a Evonik projeta um EBITDA ajustado no limite </w:t>
      </w:r>
      <w:r w:rsidRPr="00783223">
        <w:rPr>
          <w:szCs w:val="22"/>
        </w:rPr>
        <w:t>inferior do intervalo de previsão, de 2,1 a 2,4 bilhões de euros. Os</w:t>
      </w:r>
      <w:r w:rsidRPr="009751DC">
        <w:rPr>
          <w:szCs w:val="22"/>
        </w:rPr>
        <w:t xml:space="preserve"> principais motivos: preços em queda no setor de metionina (aditivo para alimentação animal) e de produtos da cadeia do C</w:t>
      </w:r>
      <w:r w:rsidRPr="009751DC">
        <w:rPr>
          <w:szCs w:val="22"/>
          <w:vertAlign w:val="subscript"/>
        </w:rPr>
        <w:t>4</w:t>
      </w:r>
      <w:r w:rsidRPr="009751DC">
        <w:rPr>
          <w:szCs w:val="22"/>
        </w:rPr>
        <w:t xml:space="preserve">. Sem se deixar abater pelos atuais desafios, a Evonik avança com os seus anunciados ajustes </w:t>
      </w:r>
      <w:r w:rsidRPr="00BB0FDB">
        <w:rPr>
          <w:szCs w:val="22"/>
        </w:rPr>
        <w:t>de portfólio.</w:t>
      </w:r>
      <w:r w:rsidRPr="00BB0FDB">
        <w:t xml:space="preserve"> </w:t>
      </w:r>
      <w:r w:rsidRPr="006048CC">
        <w:t xml:space="preserve">A primeira etapa da alienação da divisão Performance </w:t>
      </w:r>
      <w:proofErr w:type="spellStart"/>
      <w:r w:rsidRPr="006048CC">
        <w:t>Materials</w:t>
      </w:r>
      <w:proofErr w:type="spellEnd"/>
      <w:r w:rsidRPr="006048CC">
        <w:t xml:space="preserve"> foi a venda do site de </w:t>
      </w:r>
      <w:proofErr w:type="spellStart"/>
      <w:r w:rsidRPr="006048CC">
        <w:lastRenderedPageBreak/>
        <w:t>Lue</w:t>
      </w:r>
      <w:r>
        <w:t>ls</w:t>
      </w:r>
      <w:r w:rsidRPr="006048CC">
        <w:t>dorf</w:t>
      </w:r>
      <w:proofErr w:type="spellEnd"/>
      <w:r w:rsidRPr="006048CC">
        <w:t xml:space="preserve">, na Alemanha. A alienação do negócio de </w:t>
      </w:r>
      <w:proofErr w:type="spellStart"/>
      <w:r w:rsidRPr="006048CC">
        <w:t>Superabsorbents</w:t>
      </w:r>
      <w:proofErr w:type="spellEnd"/>
      <w:r w:rsidRPr="006048CC">
        <w:t xml:space="preserve"> está encaminhad</w:t>
      </w:r>
      <w:r w:rsidR="00B00DCA">
        <w:t>a</w:t>
      </w:r>
      <w:r w:rsidRPr="006048CC">
        <w:t>.</w:t>
      </w:r>
      <w:bookmarkEnd w:id="0"/>
      <w:r>
        <w:rPr>
          <w:sz w:val="28"/>
          <w:szCs w:val="28"/>
        </w:rPr>
        <w:t xml:space="preserve"> </w:t>
      </w:r>
      <w:r w:rsidRPr="006048CC">
        <w:t xml:space="preserve">Teasers de investimento foram enviados em março e o processo está progredindo de acordo com os planos. </w:t>
      </w:r>
    </w:p>
    <w:p w14:paraId="3D644C45" w14:textId="77777777" w:rsidR="00226092" w:rsidRPr="006048CC" w:rsidRDefault="00226092" w:rsidP="00226092"/>
    <w:p w14:paraId="4BCEC38A" w14:textId="77777777" w:rsidR="00226092" w:rsidRPr="006048CC" w:rsidRDefault="00226092" w:rsidP="00226092">
      <w:r w:rsidRPr="006048CC">
        <w:t>As medidas adotadas de ajustes de custos, incluindo cortes no número de consultores externos, redução de viagens de negócios e contratação disciplinada</w:t>
      </w:r>
      <w:r>
        <w:t>,</w:t>
      </w:r>
      <w:r w:rsidRPr="006048CC">
        <w:t xml:space="preserve"> também estão surtindo efeito. No entanto, a maior parte do nosso objetivo de economizar 250 milhões de euros só será concretizada mais tarde este ano. </w:t>
      </w:r>
    </w:p>
    <w:p w14:paraId="5630621E" w14:textId="77777777" w:rsidR="00226092" w:rsidRPr="006048CC" w:rsidRDefault="00226092" w:rsidP="00226092"/>
    <w:p w14:paraId="193102B3" w14:textId="77777777" w:rsidR="00226092" w:rsidRPr="009751DC" w:rsidRDefault="00226092" w:rsidP="00226092">
      <w:r w:rsidRPr="006048CC">
        <w:t>Enquanto isso, a implementação da estratégia de sustentabilidade est</w:t>
      </w:r>
      <w:r>
        <w:t>á</w:t>
      </w:r>
      <w:r w:rsidRPr="006048CC">
        <w:t xml:space="preserve"> ganhando </w:t>
      </w:r>
      <w:r>
        <w:t>ímpeto</w:t>
      </w:r>
      <w:r w:rsidRPr="006048CC">
        <w:t xml:space="preserve">. Em março, a Evonik </w:t>
      </w:r>
      <w:r>
        <w:t>iniciou a</w:t>
      </w:r>
      <w:r w:rsidRPr="006048CC">
        <w:t xml:space="preserve"> construção de uma nova unidade de produção de escala mundial para lipídios farmacêuticos nos Estados Unidos. A empresa também inaugurou uma planta produtiva correspondente</w:t>
      </w:r>
      <w:r>
        <w:t>,</w:t>
      </w:r>
      <w:r w:rsidRPr="006048CC">
        <w:t xml:space="preserve"> para quantidades clínicas em </w:t>
      </w:r>
      <w:proofErr w:type="spellStart"/>
      <w:r w:rsidRPr="006048CC">
        <w:t>Hanau</w:t>
      </w:r>
      <w:proofErr w:type="spellEnd"/>
      <w:r w:rsidRPr="006048CC">
        <w:t>, na Alemanha</w:t>
      </w:r>
      <w:r w:rsidRPr="009751DC">
        <w:t>. Em fevereiro, iniciou a produção em uma nova fábrica de membranas para separação de gás na Áustria.</w:t>
      </w:r>
    </w:p>
    <w:p w14:paraId="4D11C6FB" w14:textId="77777777" w:rsidR="00226092" w:rsidRPr="006048CC" w:rsidRDefault="00226092" w:rsidP="00226092">
      <w:pPr>
        <w:rPr>
          <w:b/>
          <w:bCs/>
        </w:rPr>
      </w:pPr>
    </w:p>
    <w:p w14:paraId="3E0B5C7B" w14:textId="77777777" w:rsidR="00226092" w:rsidRPr="009751DC" w:rsidRDefault="00226092" w:rsidP="00226092">
      <w:pPr>
        <w:rPr>
          <w:b/>
          <w:bCs/>
        </w:rPr>
      </w:pPr>
      <w:r w:rsidRPr="009751DC">
        <w:rPr>
          <w:b/>
          <w:bCs/>
        </w:rPr>
        <w:t xml:space="preserve">Desenvolvimento nas divisões químicas </w:t>
      </w:r>
    </w:p>
    <w:p w14:paraId="54E7B798" w14:textId="77777777" w:rsidR="00226092" w:rsidRPr="009751DC" w:rsidRDefault="00226092" w:rsidP="00226092"/>
    <w:p w14:paraId="587B250C" w14:textId="77777777" w:rsidR="00226092" w:rsidRPr="009751DC" w:rsidRDefault="00226092" w:rsidP="00226092">
      <w:proofErr w:type="spellStart"/>
      <w:r w:rsidRPr="009751DC">
        <w:rPr>
          <w:b/>
          <w:bCs/>
        </w:rPr>
        <w:t>Specialty</w:t>
      </w:r>
      <w:proofErr w:type="spellEnd"/>
      <w:r w:rsidRPr="009751DC">
        <w:rPr>
          <w:b/>
          <w:bCs/>
        </w:rPr>
        <w:t xml:space="preserve"> </w:t>
      </w:r>
      <w:proofErr w:type="spellStart"/>
      <w:r w:rsidRPr="009751DC">
        <w:rPr>
          <w:b/>
          <w:bCs/>
        </w:rPr>
        <w:t>Additives</w:t>
      </w:r>
      <w:proofErr w:type="spellEnd"/>
      <w:r w:rsidRPr="009751DC">
        <w:rPr>
          <w:b/>
          <w:bCs/>
        </w:rPr>
        <w:t>:</w:t>
      </w:r>
      <w:r w:rsidRPr="009751DC">
        <w:t xml:space="preserve"> Na divisão </w:t>
      </w:r>
      <w:proofErr w:type="spellStart"/>
      <w:r w:rsidRPr="009751DC">
        <w:t>Specialty</w:t>
      </w:r>
      <w:proofErr w:type="spellEnd"/>
      <w:r w:rsidRPr="009751DC">
        <w:t xml:space="preserve"> </w:t>
      </w:r>
      <w:proofErr w:type="spellStart"/>
      <w:r w:rsidRPr="009751DC">
        <w:t>Additives</w:t>
      </w:r>
      <w:proofErr w:type="spellEnd"/>
      <w:r w:rsidRPr="009751DC">
        <w:t xml:space="preserve">, as receitas recuaram 12% para 921 milhões de euros em razão da queda nos volumes. Os preços de venda foram aumentados para repassar os </w:t>
      </w:r>
      <w:r w:rsidRPr="00942A92">
        <w:t xml:space="preserve">aumentos na matéria-prima e nos custos da energia. Os produtos para as indústrias da construção e de revestimentos geraram receitas notadamente </w:t>
      </w:r>
      <w:r w:rsidRPr="009751DC">
        <w:t xml:space="preserve">reduzidas. As vendas de aditivos para espumas de poliuretano e bens de consumo duráveis também foram mais baixas, principalmente em razão da redução nos volumes. No setor de aditivos para a indústria automobilística, a queda nos volumes foi compensada pelo aumento nos preços de venda, resultando em vendas </w:t>
      </w:r>
      <w:r>
        <w:t>praticamente estáveis</w:t>
      </w:r>
      <w:r w:rsidRPr="009751DC">
        <w:t xml:space="preserve">. O EBITDA ajustado de 168 milhões de euros ficou 33% abaixo do resultado do mesmo período do ano passado. A margem EBITDA ajustada no primeiro trimestre encolheu para 18,2% na comparação com 24%, ano a ano. </w:t>
      </w:r>
    </w:p>
    <w:p w14:paraId="07492D9B" w14:textId="77777777" w:rsidR="00226092" w:rsidRPr="006048CC" w:rsidRDefault="00226092" w:rsidP="00226092"/>
    <w:p w14:paraId="1D674A88" w14:textId="423821DD" w:rsidR="00226092" w:rsidRPr="009751DC" w:rsidRDefault="00226092" w:rsidP="00226092">
      <w:proofErr w:type="spellStart"/>
      <w:r w:rsidRPr="009751DC">
        <w:rPr>
          <w:b/>
          <w:bCs/>
        </w:rPr>
        <w:t>Nutrition</w:t>
      </w:r>
      <w:proofErr w:type="spellEnd"/>
      <w:r w:rsidRPr="009751DC">
        <w:rPr>
          <w:b/>
          <w:bCs/>
        </w:rPr>
        <w:t xml:space="preserve"> &amp; </w:t>
      </w:r>
      <w:proofErr w:type="spellStart"/>
      <w:r w:rsidRPr="009751DC">
        <w:rPr>
          <w:b/>
          <w:bCs/>
        </w:rPr>
        <w:t>Care</w:t>
      </w:r>
      <w:proofErr w:type="spellEnd"/>
      <w:r w:rsidRPr="009751DC">
        <w:rPr>
          <w:b/>
          <w:bCs/>
        </w:rPr>
        <w:t>:</w:t>
      </w:r>
      <w:r w:rsidRPr="009751DC">
        <w:t xml:space="preserve"> Na divisão de </w:t>
      </w:r>
      <w:proofErr w:type="spellStart"/>
      <w:r w:rsidRPr="009751DC">
        <w:t>Nutrition</w:t>
      </w:r>
      <w:proofErr w:type="spellEnd"/>
      <w:r w:rsidRPr="009751DC">
        <w:t xml:space="preserve"> &amp; </w:t>
      </w:r>
      <w:proofErr w:type="spellStart"/>
      <w:r w:rsidRPr="009751DC">
        <w:t>Care</w:t>
      </w:r>
      <w:proofErr w:type="spellEnd"/>
      <w:r w:rsidRPr="009751DC">
        <w:t xml:space="preserve">, as receitas recuaram 15% para 886 milhões de euros devido a volumes significativamente inferiores. O modelo operacional da linha de </w:t>
      </w:r>
      <w:r w:rsidRPr="009751DC">
        <w:lastRenderedPageBreak/>
        <w:t xml:space="preserve">negócios Animal </w:t>
      </w:r>
      <w:proofErr w:type="spellStart"/>
      <w:r w:rsidRPr="009751DC">
        <w:t>Nutrition</w:t>
      </w:r>
      <w:proofErr w:type="spellEnd"/>
      <w:r w:rsidRPr="009751DC">
        <w:t xml:space="preserve"> está sendo ajustado para tornar o negócio de aminoácidos mais competitivo e mais lucrativo. A queda contínua nos preços da metionina ilustra a urgência dessa medida. As vendas desse</w:t>
      </w:r>
      <w:r>
        <w:t>s</w:t>
      </w:r>
      <w:r w:rsidRPr="009751DC">
        <w:t xml:space="preserve"> negócios tiveram uma queda significativa. Os produtos para o setor de saúde e cuidados, no entanto, registraram preços de venda mais altos com volumes mais baixos, resultando em receitas apenas ligeiramente inferiores na comparação com as de igual período do ano anterior.  O EBITDA ajustado recuou 66% para 76 milhões de euros. A margem EBITDA ajustada recuou para 8,6% na comparação com 21,4% no primeiro trimestre de 2022. </w:t>
      </w:r>
    </w:p>
    <w:p w14:paraId="1EA3183A" w14:textId="77777777" w:rsidR="00226092" w:rsidRPr="006048CC" w:rsidRDefault="00226092" w:rsidP="00226092"/>
    <w:p w14:paraId="71E53438" w14:textId="77777777" w:rsidR="00226092" w:rsidRPr="009751DC" w:rsidRDefault="00226092" w:rsidP="00226092">
      <w:proofErr w:type="spellStart"/>
      <w:r w:rsidRPr="009751DC">
        <w:rPr>
          <w:b/>
          <w:bCs/>
        </w:rPr>
        <w:t>Smart</w:t>
      </w:r>
      <w:proofErr w:type="spellEnd"/>
      <w:r w:rsidRPr="009751DC">
        <w:rPr>
          <w:b/>
          <w:bCs/>
        </w:rPr>
        <w:t xml:space="preserve"> </w:t>
      </w:r>
      <w:proofErr w:type="spellStart"/>
      <w:r w:rsidRPr="009751DC">
        <w:rPr>
          <w:b/>
          <w:bCs/>
        </w:rPr>
        <w:t>Materials</w:t>
      </w:r>
      <w:proofErr w:type="spellEnd"/>
      <w:r w:rsidRPr="009751DC">
        <w:rPr>
          <w:b/>
          <w:bCs/>
        </w:rPr>
        <w:t>:</w:t>
      </w:r>
      <w:r w:rsidRPr="009751DC">
        <w:t xml:space="preserve"> As receitas na divisão </w:t>
      </w:r>
      <w:proofErr w:type="spellStart"/>
      <w:r w:rsidRPr="009751DC">
        <w:t>Smart</w:t>
      </w:r>
      <w:proofErr w:type="spellEnd"/>
      <w:r w:rsidRPr="009751DC">
        <w:t xml:space="preserve"> </w:t>
      </w:r>
      <w:proofErr w:type="spellStart"/>
      <w:r w:rsidRPr="009751DC">
        <w:t>Materials</w:t>
      </w:r>
      <w:proofErr w:type="spellEnd"/>
      <w:r w:rsidRPr="009751DC">
        <w:t xml:space="preserve"> reduziram 7% para 1.188 milhões de euros em razão da queda nos volumes de venda. Os preços de venda ficaram mais altos em razão do repasse do aumento nos custos das matérias-primas. Os produtos inorgânicos registraram receitas significativamente menores em resultado da queda na demanda. Os preços de venda mais altos refletem o aumento dos custos variáveis. As novas capacidades para os polímeros de alta performance PA12 criadas em </w:t>
      </w:r>
      <w:proofErr w:type="spellStart"/>
      <w:r w:rsidRPr="009751DC">
        <w:t>Marl</w:t>
      </w:r>
      <w:proofErr w:type="spellEnd"/>
      <w:r w:rsidRPr="009751DC">
        <w:t>, Alemanha, foram absorvidas pela forte demanda do mercado. O EBITDA ajustado diminuiu 23% para 164 milhões de euros, sobretudo em resultado da queda nos volumes e do aumento nos custos das matérias-primas. A margem EBITDA ajustada reduziu de 16,5% para 13,8%.</w:t>
      </w:r>
    </w:p>
    <w:p w14:paraId="01114FAB" w14:textId="77777777" w:rsidR="00226092" w:rsidRPr="009751DC" w:rsidRDefault="00226092" w:rsidP="00226092"/>
    <w:p w14:paraId="102A0866" w14:textId="77777777" w:rsidR="00226092" w:rsidRDefault="00226092" w:rsidP="00226092">
      <w:r w:rsidRPr="009751DC">
        <w:rPr>
          <w:b/>
          <w:bCs/>
        </w:rPr>
        <w:t xml:space="preserve">Performance </w:t>
      </w:r>
      <w:proofErr w:type="spellStart"/>
      <w:r w:rsidRPr="009751DC">
        <w:rPr>
          <w:b/>
          <w:bCs/>
        </w:rPr>
        <w:t>Materials</w:t>
      </w:r>
      <w:proofErr w:type="spellEnd"/>
      <w:r w:rsidRPr="009751DC">
        <w:rPr>
          <w:b/>
          <w:bCs/>
        </w:rPr>
        <w:t>:</w:t>
      </w:r>
      <w:r w:rsidRPr="009751DC">
        <w:t xml:space="preserve"> As receitas da divisão </w:t>
      </w:r>
      <w:r>
        <w:t>recuaram</w:t>
      </w:r>
      <w:r w:rsidRPr="009751DC">
        <w:t xml:space="preserve"> 16% para 707 milhões de euros em razão da queda nos volumes e nos preços. Os produtos da cadeia do C4 viram um declínio na demanda e nos preços, resultando numa </w:t>
      </w:r>
      <w:r>
        <w:t>redução</w:t>
      </w:r>
      <w:r w:rsidRPr="009751DC">
        <w:t xml:space="preserve"> significativa nas vendas. As vendas de superabsorventes aumentaram com melhores preços de venda. O EBITDA ajustado recuou 55% para 37 milhões de euros, sobretudo devido à redução nos volumes. A margem EBITDA ajustada caiu de 9.7% para 5.2%.</w:t>
      </w:r>
    </w:p>
    <w:p w14:paraId="2C00BC28" w14:textId="77777777" w:rsidR="00226092" w:rsidRDefault="00226092" w:rsidP="00226092"/>
    <w:p w14:paraId="13ABD881" w14:textId="77777777" w:rsidR="00226092" w:rsidRDefault="00226092" w:rsidP="00226092"/>
    <w:p w14:paraId="2FEC944C" w14:textId="77777777" w:rsidR="00226092" w:rsidRDefault="00226092" w:rsidP="00226092"/>
    <w:p w14:paraId="3D52A040" w14:textId="77777777" w:rsidR="00226092" w:rsidRDefault="00226092" w:rsidP="00226092"/>
    <w:p w14:paraId="4B1FC67F" w14:textId="77777777" w:rsidR="00226092" w:rsidRDefault="00226092" w:rsidP="00226092"/>
    <w:p w14:paraId="5B450764" w14:textId="77777777" w:rsidR="00226092" w:rsidRDefault="00226092" w:rsidP="00226092"/>
    <w:tbl>
      <w:tblPr>
        <w:tblW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SNEID_d01d09a79bef44ffa2bd198055d4873f"/>
      </w:tblPr>
      <w:tblGrid>
        <w:gridCol w:w="6333"/>
        <w:gridCol w:w="119"/>
        <w:gridCol w:w="1021"/>
        <w:gridCol w:w="119"/>
        <w:gridCol w:w="1021"/>
        <w:gridCol w:w="119"/>
        <w:gridCol w:w="1021"/>
      </w:tblGrid>
      <w:tr w:rsidR="00226092" w:rsidRPr="006048CC" w14:paraId="1A243A6D" w14:textId="77777777" w:rsidTr="008F08EB">
        <w:tc>
          <w:tcPr>
            <w:tcW w:w="9753" w:type="dxa"/>
            <w:gridSpan w:val="7"/>
            <w:vAlign w:val="bottom"/>
          </w:tcPr>
          <w:p w14:paraId="181FE1C0" w14:textId="77777777" w:rsidR="00226092" w:rsidRPr="006048CC" w:rsidRDefault="00226092" w:rsidP="008F08EB">
            <w:pPr>
              <w:pStyle w:val="TTitleText"/>
              <w:rPr>
                <w:lang w:val="pt-BR"/>
              </w:rPr>
            </w:pPr>
            <w:bookmarkStart w:id="1" w:name="SNEID_d01d09a79bef44ffa2bd198055d4873f"/>
            <w:r>
              <w:rPr>
                <w:lang w:val="pt-BR"/>
              </w:rPr>
              <w:lastRenderedPageBreak/>
              <w:t>Resumo do demonstrativo de resultados</w:t>
            </w:r>
          </w:p>
        </w:tc>
      </w:tr>
      <w:tr w:rsidR="00226092" w:rsidRPr="006048CC" w14:paraId="69746D7D" w14:textId="77777777" w:rsidTr="008F08EB">
        <w:tc>
          <w:tcPr>
            <w:tcW w:w="6333" w:type="dxa"/>
            <w:tcBorders>
              <w:top w:val="single" w:sz="8" w:space="0" w:color="000000"/>
            </w:tcBorders>
            <w:vAlign w:val="bottom"/>
          </w:tcPr>
          <w:p w14:paraId="7AE2197F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4EF91C4A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45BF262A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5127E695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02C5CD5B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vAlign w:val="bottom"/>
          </w:tcPr>
          <w:p w14:paraId="7963CCC2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vAlign w:val="bottom"/>
          </w:tcPr>
          <w:p w14:paraId="04B3313C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</w:tr>
      <w:tr w:rsidR="00226092" w:rsidRPr="006048CC" w14:paraId="46411D31" w14:textId="77777777" w:rsidTr="008F08EB">
        <w:tc>
          <w:tcPr>
            <w:tcW w:w="6333" w:type="dxa"/>
            <w:shd w:val="clear" w:color="000000" w:fill="FFFFFF"/>
            <w:vAlign w:val="bottom"/>
          </w:tcPr>
          <w:p w14:paraId="32993212" w14:textId="77777777" w:rsidR="00226092" w:rsidRPr="006048CC" w:rsidRDefault="00226092" w:rsidP="008F08EB">
            <w:pPr>
              <w:pStyle w:val="THeadfirstNumber"/>
              <w:rPr>
                <w:lang w:val="pt-BR"/>
              </w:rPr>
            </w:pPr>
          </w:p>
        </w:tc>
        <w:tc>
          <w:tcPr>
            <w:tcW w:w="119" w:type="dxa"/>
            <w:vAlign w:val="bottom"/>
          </w:tcPr>
          <w:p w14:paraId="3A22B854" w14:textId="77777777" w:rsidR="00226092" w:rsidRPr="006048CC" w:rsidRDefault="00226092" w:rsidP="008F08EB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6106358C" w14:textId="77777777" w:rsidR="00226092" w:rsidRPr="006048CC" w:rsidRDefault="00226092" w:rsidP="008F08EB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1º trimestre</w:t>
            </w:r>
          </w:p>
        </w:tc>
      </w:tr>
      <w:tr w:rsidR="00226092" w:rsidRPr="006048CC" w14:paraId="43CD35C8" w14:textId="77777777" w:rsidTr="008F08EB">
        <w:tc>
          <w:tcPr>
            <w:tcW w:w="6333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4B09B8C4" w14:textId="77777777" w:rsidR="00226092" w:rsidRPr="006048CC" w:rsidRDefault="00226092" w:rsidP="008F08EB">
            <w:pPr>
              <w:pStyle w:val="THeadlastText"/>
              <w:rPr>
                <w:lang w:val="pt-BR"/>
              </w:rPr>
            </w:pPr>
            <w:r>
              <w:rPr>
                <w:lang w:val="pt-BR"/>
              </w:rPr>
              <w:t>em milhões de euros</w:t>
            </w:r>
          </w:p>
        </w:tc>
        <w:tc>
          <w:tcPr>
            <w:tcW w:w="119" w:type="dxa"/>
            <w:vAlign w:val="bottom"/>
          </w:tcPr>
          <w:p w14:paraId="4F021A7C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1EBED460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  <w:r w:rsidRPr="006048CC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19E62BBD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2E28A25D" w14:textId="77777777" w:rsidR="00226092" w:rsidRPr="006048CC" w:rsidRDefault="00226092" w:rsidP="008F08EB">
            <w:pPr>
              <w:pStyle w:val="THeadlastNumberbold"/>
              <w:rPr>
                <w:lang w:val="pt-BR"/>
              </w:rPr>
            </w:pPr>
            <w:r w:rsidRPr="006048CC">
              <w:rPr>
                <w:lang w:val="pt-BR"/>
              </w:rPr>
              <w:t>2023</w:t>
            </w:r>
          </w:p>
        </w:tc>
        <w:tc>
          <w:tcPr>
            <w:tcW w:w="119" w:type="dxa"/>
            <w:vAlign w:val="bottom"/>
          </w:tcPr>
          <w:p w14:paraId="67E9A62B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998BE67" w14:textId="77777777" w:rsidR="00226092" w:rsidRPr="006048CC" w:rsidRDefault="00226092" w:rsidP="008F08EB">
            <w:pPr>
              <w:pStyle w:val="THeaddifferenceNumber"/>
              <w:keepNext/>
              <w:rPr>
                <w:lang w:val="pt-BR"/>
              </w:rPr>
            </w:pPr>
            <w:r>
              <w:rPr>
                <w:lang w:val="pt-BR"/>
              </w:rPr>
              <w:t>Variação %</w:t>
            </w:r>
          </w:p>
        </w:tc>
      </w:tr>
      <w:tr w:rsidR="00226092" w:rsidRPr="006048CC" w14:paraId="7F51E5E1" w14:textId="77777777" w:rsidTr="008F08EB">
        <w:tc>
          <w:tcPr>
            <w:tcW w:w="6333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3295149F" w14:textId="77777777" w:rsidR="00226092" w:rsidRPr="006048CC" w:rsidRDefault="00226092" w:rsidP="008F08EB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Vendas</w:t>
            </w:r>
          </w:p>
        </w:tc>
        <w:tc>
          <w:tcPr>
            <w:tcW w:w="119" w:type="dxa"/>
            <w:vAlign w:val="bottom"/>
          </w:tcPr>
          <w:p w14:paraId="1C44DEDF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1926D2F4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4</w:t>
            </w:r>
            <w:r>
              <w:rPr>
                <w:lang w:val="pt-BR"/>
              </w:rPr>
              <w:t>.</w:t>
            </w:r>
            <w:r w:rsidRPr="006048CC">
              <w:rPr>
                <w:lang w:val="pt-BR"/>
              </w:rPr>
              <w:t>498</w:t>
            </w:r>
          </w:p>
        </w:tc>
        <w:tc>
          <w:tcPr>
            <w:tcW w:w="119" w:type="dxa"/>
            <w:vAlign w:val="bottom"/>
          </w:tcPr>
          <w:p w14:paraId="01778820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61ADF0EA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4</w:t>
            </w:r>
            <w:r>
              <w:rPr>
                <w:lang w:val="pt-BR"/>
              </w:rPr>
              <w:t>.</w:t>
            </w:r>
            <w:r w:rsidRPr="006048CC">
              <w:rPr>
                <w:lang w:val="pt-BR"/>
              </w:rPr>
              <w:t>005</w:t>
            </w:r>
          </w:p>
        </w:tc>
        <w:tc>
          <w:tcPr>
            <w:tcW w:w="119" w:type="dxa"/>
            <w:vAlign w:val="bottom"/>
          </w:tcPr>
          <w:p w14:paraId="6900312D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76B6D6E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-11</w:t>
            </w:r>
          </w:p>
        </w:tc>
      </w:tr>
      <w:tr w:rsidR="00226092" w:rsidRPr="006048CC" w14:paraId="2239D991" w14:textId="77777777" w:rsidTr="008F08EB">
        <w:tc>
          <w:tcPr>
            <w:tcW w:w="6333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3ECEF8A" w14:textId="77777777" w:rsidR="00226092" w:rsidRPr="006048CC" w:rsidRDefault="00226092" w:rsidP="008F08EB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EBITDA ajustado</w:t>
            </w:r>
          </w:p>
        </w:tc>
        <w:tc>
          <w:tcPr>
            <w:tcW w:w="119" w:type="dxa"/>
            <w:vAlign w:val="bottom"/>
          </w:tcPr>
          <w:p w14:paraId="33AE2BEB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BD7A559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735</w:t>
            </w:r>
          </w:p>
        </w:tc>
        <w:tc>
          <w:tcPr>
            <w:tcW w:w="119" w:type="dxa"/>
            <w:vAlign w:val="bottom"/>
          </w:tcPr>
          <w:p w14:paraId="5AEF0C0A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1FADCB21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409</w:t>
            </w:r>
          </w:p>
        </w:tc>
        <w:tc>
          <w:tcPr>
            <w:tcW w:w="119" w:type="dxa"/>
            <w:vAlign w:val="bottom"/>
          </w:tcPr>
          <w:p w14:paraId="69566F40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3F6E848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-44</w:t>
            </w:r>
          </w:p>
        </w:tc>
      </w:tr>
      <w:tr w:rsidR="00226092" w:rsidRPr="006048CC" w14:paraId="56F98587" w14:textId="77777777" w:rsidTr="008F08EB">
        <w:tc>
          <w:tcPr>
            <w:tcW w:w="6333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205C4720" w14:textId="77777777" w:rsidR="00226092" w:rsidRPr="006048CC" w:rsidRDefault="00226092" w:rsidP="008F08EB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EBIT ajustado</w:t>
            </w:r>
          </w:p>
        </w:tc>
        <w:tc>
          <w:tcPr>
            <w:tcW w:w="119" w:type="dxa"/>
            <w:vAlign w:val="bottom"/>
          </w:tcPr>
          <w:p w14:paraId="0F2159FD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0D85FDB4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472</w:t>
            </w:r>
          </w:p>
        </w:tc>
        <w:tc>
          <w:tcPr>
            <w:tcW w:w="119" w:type="dxa"/>
            <w:vAlign w:val="bottom"/>
          </w:tcPr>
          <w:p w14:paraId="68629E1B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2A586919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130</w:t>
            </w:r>
          </w:p>
        </w:tc>
        <w:tc>
          <w:tcPr>
            <w:tcW w:w="119" w:type="dxa"/>
            <w:vAlign w:val="bottom"/>
          </w:tcPr>
          <w:p w14:paraId="1CC49E27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DF40F3E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-72</w:t>
            </w:r>
          </w:p>
        </w:tc>
      </w:tr>
      <w:tr w:rsidR="00226092" w:rsidRPr="006048CC" w14:paraId="74B0CA07" w14:textId="77777777" w:rsidTr="008F08EB">
        <w:tc>
          <w:tcPr>
            <w:tcW w:w="6333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D847B3D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Ajustado</w:t>
            </w:r>
          </w:p>
        </w:tc>
        <w:tc>
          <w:tcPr>
            <w:tcW w:w="119" w:type="dxa"/>
            <w:vAlign w:val="bottom"/>
          </w:tcPr>
          <w:p w14:paraId="1E789BEB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14024829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-16</w:t>
            </w:r>
          </w:p>
        </w:tc>
        <w:tc>
          <w:tcPr>
            <w:tcW w:w="119" w:type="dxa"/>
            <w:vAlign w:val="bottom"/>
          </w:tcPr>
          <w:p w14:paraId="369712C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5CB92E5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-47</w:t>
            </w:r>
          </w:p>
        </w:tc>
        <w:tc>
          <w:tcPr>
            <w:tcW w:w="119" w:type="dxa"/>
            <w:vAlign w:val="bottom"/>
          </w:tcPr>
          <w:p w14:paraId="4734BB91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4D0C875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</w:tr>
      <w:tr w:rsidR="00226092" w:rsidRPr="006048CC" w14:paraId="1112F895" w14:textId="77777777" w:rsidTr="008F08EB">
        <w:tc>
          <w:tcPr>
            <w:tcW w:w="6333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3D435BF0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 xml:space="preserve">Resultado financeiro </w:t>
            </w:r>
          </w:p>
        </w:tc>
        <w:tc>
          <w:tcPr>
            <w:tcW w:w="119" w:type="dxa"/>
            <w:vAlign w:val="bottom"/>
          </w:tcPr>
          <w:p w14:paraId="5C2AE785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7500B148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-12</w:t>
            </w:r>
          </w:p>
        </w:tc>
        <w:tc>
          <w:tcPr>
            <w:tcW w:w="119" w:type="dxa"/>
            <w:vAlign w:val="bottom"/>
          </w:tcPr>
          <w:p w14:paraId="369DFA70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vAlign w:val="bottom"/>
          </w:tcPr>
          <w:p w14:paraId="659D681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-14</w:t>
            </w:r>
          </w:p>
        </w:tc>
        <w:tc>
          <w:tcPr>
            <w:tcW w:w="119" w:type="dxa"/>
            <w:vAlign w:val="bottom"/>
          </w:tcPr>
          <w:p w14:paraId="62AF062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vAlign w:val="bottom"/>
          </w:tcPr>
          <w:p w14:paraId="6F8D0C04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</w:tr>
      <w:tr w:rsidR="00226092" w:rsidRPr="006048CC" w14:paraId="35EB5F0B" w14:textId="77777777" w:rsidTr="008F08EB">
        <w:tc>
          <w:tcPr>
            <w:tcW w:w="6333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1FD71AD0" w14:textId="77777777" w:rsidR="00226092" w:rsidRPr="006048CC" w:rsidRDefault="00226092" w:rsidP="008F08EB">
            <w:pPr>
              <w:pStyle w:val="TBodysubtotalText"/>
              <w:keepNext/>
              <w:rPr>
                <w:lang w:val="pt-BR"/>
              </w:rPr>
            </w:pPr>
            <w:r w:rsidRPr="00C54279">
              <w:rPr>
                <w:lang w:val="pt-BR"/>
              </w:rPr>
              <w:t xml:space="preserve">Resultado antes do IR, operações continuadas </w:t>
            </w:r>
          </w:p>
        </w:tc>
        <w:tc>
          <w:tcPr>
            <w:tcW w:w="119" w:type="dxa"/>
            <w:vAlign w:val="bottom"/>
          </w:tcPr>
          <w:p w14:paraId="1A2C5743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21C5392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444</w:t>
            </w:r>
          </w:p>
        </w:tc>
        <w:tc>
          <w:tcPr>
            <w:tcW w:w="119" w:type="dxa"/>
            <w:vAlign w:val="bottom"/>
          </w:tcPr>
          <w:p w14:paraId="03BEE4A8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4D56A1A0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69</w:t>
            </w:r>
          </w:p>
        </w:tc>
        <w:tc>
          <w:tcPr>
            <w:tcW w:w="119" w:type="dxa"/>
            <w:vAlign w:val="bottom"/>
          </w:tcPr>
          <w:p w14:paraId="0F83517E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3BDA047F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-84</w:t>
            </w:r>
          </w:p>
        </w:tc>
      </w:tr>
      <w:tr w:rsidR="00226092" w:rsidRPr="006048CC" w14:paraId="15696431" w14:textId="77777777" w:rsidTr="008F08EB">
        <w:trPr>
          <w:trHeight w:val="340"/>
        </w:trPr>
        <w:tc>
          <w:tcPr>
            <w:tcW w:w="6333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21A9F9D9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Imposto de Renda</w:t>
            </w:r>
          </w:p>
        </w:tc>
        <w:tc>
          <w:tcPr>
            <w:tcW w:w="119" w:type="dxa"/>
            <w:vAlign w:val="bottom"/>
          </w:tcPr>
          <w:p w14:paraId="10E2ACF0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63112204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-126</w:t>
            </w:r>
          </w:p>
        </w:tc>
        <w:tc>
          <w:tcPr>
            <w:tcW w:w="119" w:type="dxa"/>
            <w:vAlign w:val="bottom"/>
          </w:tcPr>
          <w:p w14:paraId="2352E173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3D9FC521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-20</w:t>
            </w:r>
          </w:p>
        </w:tc>
        <w:tc>
          <w:tcPr>
            <w:tcW w:w="119" w:type="dxa"/>
            <w:vAlign w:val="bottom"/>
          </w:tcPr>
          <w:p w14:paraId="355A605A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672F1C9B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</w:tr>
      <w:tr w:rsidR="00226092" w:rsidRPr="006048CC" w14:paraId="611DF114" w14:textId="77777777" w:rsidTr="008F08EB">
        <w:tc>
          <w:tcPr>
            <w:tcW w:w="6333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07356546" w14:textId="77777777" w:rsidR="00226092" w:rsidRPr="006048CC" w:rsidRDefault="00226092" w:rsidP="008F08EB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>Resultado após IR</w:t>
            </w:r>
            <w:r w:rsidRPr="006048CC">
              <w:rPr>
                <w:lang w:val="pt-BR"/>
              </w:rPr>
              <w:t xml:space="preserve">, </w:t>
            </w:r>
            <w:r>
              <w:rPr>
                <w:lang w:val="pt-BR"/>
              </w:rPr>
              <w:t>operações continuadas</w:t>
            </w:r>
          </w:p>
        </w:tc>
        <w:tc>
          <w:tcPr>
            <w:tcW w:w="119" w:type="dxa"/>
            <w:vAlign w:val="bottom"/>
          </w:tcPr>
          <w:p w14:paraId="267AEE1F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50DDDDF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318</w:t>
            </w:r>
          </w:p>
        </w:tc>
        <w:tc>
          <w:tcPr>
            <w:tcW w:w="119" w:type="dxa"/>
            <w:vAlign w:val="bottom"/>
          </w:tcPr>
          <w:p w14:paraId="1005A036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42DFF62F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49</w:t>
            </w:r>
          </w:p>
        </w:tc>
        <w:tc>
          <w:tcPr>
            <w:tcW w:w="119" w:type="dxa"/>
            <w:vAlign w:val="bottom"/>
          </w:tcPr>
          <w:p w14:paraId="24F43641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47D21289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-85</w:t>
            </w:r>
          </w:p>
        </w:tc>
      </w:tr>
      <w:tr w:rsidR="00226092" w:rsidRPr="006048CC" w14:paraId="0701F026" w14:textId="77777777" w:rsidTr="008F08EB">
        <w:trPr>
          <w:trHeight w:val="340"/>
        </w:trPr>
        <w:tc>
          <w:tcPr>
            <w:tcW w:w="6333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54B667E7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r>
              <w:rPr>
                <w:lang w:val="pt-BR"/>
              </w:rPr>
              <w:t>Resultado após impostos</w:t>
            </w:r>
            <w:r w:rsidRPr="006048CC">
              <w:rPr>
                <w:lang w:val="pt-BR"/>
              </w:rPr>
              <w:t xml:space="preserve">, </w:t>
            </w:r>
            <w:r>
              <w:rPr>
                <w:lang w:val="pt-BR"/>
              </w:rPr>
              <w:t>operações descontinuadas</w:t>
            </w:r>
          </w:p>
        </w:tc>
        <w:tc>
          <w:tcPr>
            <w:tcW w:w="119" w:type="dxa"/>
            <w:vAlign w:val="bottom"/>
          </w:tcPr>
          <w:p w14:paraId="74BCE860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0E2B9474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–</w:t>
            </w:r>
          </w:p>
        </w:tc>
        <w:tc>
          <w:tcPr>
            <w:tcW w:w="119" w:type="dxa"/>
            <w:vAlign w:val="bottom"/>
          </w:tcPr>
          <w:p w14:paraId="38EAD712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24499878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–</w:t>
            </w:r>
          </w:p>
        </w:tc>
        <w:tc>
          <w:tcPr>
            <w:tcW w:w="119" w:type="dxa"/>
            <w:vAlign w:val="bottom"/>
          </w:tcPr>
          <w:p w14:paraId="366AFFA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41DE44CB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</w:tr>
      <w:tr w:rsidR="00226092" w:rsidRPr="006048CC" w14:paraId="28F8DE08" w14:textId="77777777" w:rsidTr="008F08EB">
        <w:tc>
          <w:tcPr>
            <w:tcW w:w="6333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0669175" w14:textId="77777777" w:rsidR="00226092" w:rsidRPr="006048CC" w:rsidRDefault="00226092" w:rsidP="008F08EB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 xml:space="preserve">Resultado após impostos </w:t>
            </w:r>
          </w:p>
        </w:tc>
        <w:tc>
          <w:tcPr>
            <w:tcW w:w="119" w:type="dxa"/>
            <w:vAlign w:val="bottom"/>
          </w:tcPr>
          <w:p w14:paraId="29E7236D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346D20F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318</w:t>
            </w:r>
          </w:p>
        </w:tc>
        <w:tc>
          <w:tcPr>
            <w:tcW w:w="119" w:type="dxa"/>
            <w:vAlign w:val="bottom"/>
          </w:tcPr>
          <w:p w14:paraId="6EF54B89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535FA88D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49</w:t>
            </w:r>
          </w:p>
        </w:tc>
        <w:tc>
          <w:tcPr>
            <w:tcW w:w="119" w:type="dxa"/>
            <w:vAlign w:val="bottom"/>
          </w:tcPr>
          <w:p w14:paraId="17D204B6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6F0B8BA3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-85</w:t>
            </w:r>
          </w:p>
        </w:tc>
      </w:tr>
      <w:tr w:rsidR="00226092" w:rsidRPr="006048CC" w14:paraId="7D0D35AD" w14:textId="77777777" w:rsidTr="008F08EB">
        <w:trPr>
          <w:trHeight w:val="340"/>
        </w:trPr>
        <w:tc>
          <w:tcPr>
            <w:tcW w:w="6333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6E6AAF72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r w:rsidRPr="00247D57">
              <w:rPr>
                <w:lang w:val="pt-BR"/>
              </w:rPr>
              <w:t>disso atribuível a interesses minoritários</w:t>
            </w:r>
          </w:p>
        </w:tc>
        <w:tc>
          <w:tcPr>
            <w:tcW w:w="119" w:type="dxa"/>
            <w:vAlign w:val="bottom"/>
          </w:tcPr>
          <w:p w14:paraId="0DD9A0C1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0F8B4CC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4</w:t>
            </w:r>
          </w:p>
        </w:tc>
        <w:tc>
          <w:tcPr>
            <w:tcW w:w="119" w:type="dxa"/>
            <w:vAlign w:val="bottom"/>
          </w:tcPr>
          <w:p w14:paraId="103CE827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vAlign w:val="bottom"/>
          </w:tcPr>
          <w:p w14:paraId="0BA2E555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2</w:t>
            </w:r>
          </w:p>
        </w:tc>
        <w:tc>
          <w:tcPr>
            <w:tcW w:w="119" w:type="dxa"/>
            <w:vAlign w:val="bottom"/>
          </w:tcPr>
          <w:p w14:paraId="03449419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vAlign w:val="bottom"/>
          </w:tcPr>
          <w:p w14:paraId="78F2289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</w:tr>
      <w:tr w:rsidR="00226092" w:rsidRPr="006048CC" w14:paraId="2BD15F74" w14:textId="77777777" w:rsidTr="008F08EB">
        <w:tc>
          <w:tcPr>
            <w:tcW w:w="6333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7ED11D90" w14:textId="77777777" w:rsidR="00226092" w:rsidRPr="006048CC" w:rsidRDefault="00226092" w:rsidP="008F08EB">
            <w:pPr>
              <w:pStyle w:val="TBodysubtotalText"/>
              <w:keepNext/>
              <w:rPr>
                <w:lang w:val="pt-BR"/>
              </w:rPr>
            </w:pPr>
            <w:r>
              <w:rPr>
                <w:lang w:val="pt-BR"/>
              </w:rPr>
              <w:t xml:space="preserve">Resultado líquido </w:t>
            </w:r>
          </w:p>
        </w:tc>
        <w:tc>
          <w:tcPr>
            <w:tcW w:w="119" w:type="dxa"/>
            <w:vAlign w:val="bottom"/>
          </w:tcPr>
          <w:p w14:paraId="376816EC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2F442E15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314</w:t>
            </w:r>
          </w:p>
        </w:tc>
        <w:tc>
          <w:tcPr>
            <w:tcW w:w="119" w:type="dxa"/>
            <w:vAlign w:val="bottom"/>
          </w:tcPr>
          <w:p w14:paraId="65A8A701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DAD5C9"/>
            <w:vAlign w:val="bottom"/>
          </w:tcPr>
          <w:p w14:paraId="121BC73B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47</w:t>
            </w:r>
          </w:p>
        </w:tc>
        <w:tc>
          <w:tcPr>
            <w:tcW w:w="119" w:type="dxa"/>
            <w:vAlign w:val="bottom"/>
          </w:tcPr>
          <w:p w14:paraId="4EB6CB32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vAlign w:val="bottom"/>
          </w:tcPr>
          <w:p w14:paraId="559E0FCF" w14:textId="77777777" w:rsidR="00226092" w:rsidRPr="006048CC" w:rsidRDefault="00226092" w:rsidP="008F08EB">
            <w:pPr>
              <w:pStyle w:val="TBodysubtot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-85</w:t>
            </w:r>
          </w:p>
        </w:tc>
      </w:tr>
      <w:tr w:rsidR="00226092" w:rsidRPr="006048CC" w14:paraId="4C9CE46A" w14:textId="77777777" w:rsidTr="008F08EB">
        <w:trPr>
          <w:trHeight w:val="340"/>
        </w:trPr>
        <w:tc>
          <w:tcPr>
            <w:tcW w:w="6333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1A47A428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r>
              <w:rPr>
                <w:b/>
                <w:lang w:val="pt-BR"/>
              </w:rPr>
              <w:t xml:space="preserve">Resultado líquido ajustado 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49716327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1DF5BA18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b/>
                <w:lang w:val="pt-BR"/>
              </w:rPr>
              <w:t>356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76F0E5E9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shd w:val="clear" w:color="000000" w:fill="DAD5C9"/>
            <w:vAlign w:val="bottom"/>
          </w:tcPr>
          <w:p w14:paraId="12B10885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b/>
                <w:lang w:val="pt-BR"/>
              </w:rPr>
              <w:t>115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vAlign w:val="bottom"/>
          </w:tcPr>
          <w:p w14:paraId="2CA086F2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16" w:space="0" w:color="991D85"/>
            </w:tcBorders>
            <w:vAlign w:val="bottom"/>
          </w:tcPr>
          <w:p w14:paraId="2565C75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b/>
                <w:lang w:val="pt-BR"/>
              </w:rPr>
              <w:t>-68</w:t>
            </w:r>
          </w:p>
        </w:tc>
      </w:tr>
      <w:bookmarkEnd w:id="1"/>
    </w:tbl>
    <w:p w14:paraId="39F39CDC" w14:textId="77777777" w:rsidR="00226092" w:rsidRPr="006048CC" w:rsidRDefault="00226092" w:rsidP="00226092"/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segmenteq1"/>
        <w:tblDescription w:val="SNEID_3c00ec5e54e644f88a0a198056030d76"/>
      </w:tblPr>
      <w:tblGrid>
        <w:gridCol w:w="2977"/>
        <w:gridCol w:w="54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  <w:gridCol w:w="119"/>
        <w:gridCol w:w="1021"/>
      </w:tblGrid>
      <w:tr w:rsidR="00226092" w:rsidRPr="006048CC" w14:paraId="06F8AB7F" w14:textId="77777777" w:rsidTr="008F08EB">
        <w:tc>
          <w:tcPr>
            <w:tcW w:w="9752" w:type="dxa"/>
            <w:gridSpan w:val="13"/>
            <w:noWrap/>
            <w:vAlign w:val="bottom"/>
          </w:tcPr>
          <w:p w14:paraId="51D58268" w14:textId="77777777" w:rsidR="00226092" w:rsidRPr="006048CC" w:rsidRDefault="00226092" w:rsidP="008F08EB">
            <w:pPr>
              <w:pStyle w:val="TTitleText"/>
              <w:rPr>
                <w:lang w:val="pt-BR"/>
              </w:rPr>
            </w:pPr>
            <w:bookmarkStart w:id="2" w:name="SNEID_3c00ec5e54e644f88a0a198056030d76"/>
            <w:r>
              <w:rPr>
                <w:lang w:val="pt-BR"/>
              </w:rPr>
              <w:t>Desempenho nas Divisões</w:t>
            </w:r>
            <w:r w:rsidRPr="006048CC">
              <w:rPr>
                <w:lang w:val="pt-BR"/>
              </w:rPr>
              <w:t xml:space="preserve"> – </w:t>
            </w:r>
            <w:r>
              <w:rPr>
                <w:lang w:val="pt-BR"/>
              </w:rPr>
              <w:t>1º trimestre</w:t>
            </w:r>
          </w:p>
        </w:tc>
      </w:tr>
      <w:tr w:rsidR="00226092" w:rsidRPr="006048CC" w14:paraId="4561FF47" w14:textId="77777777" w:rsidTr="00783223">
        <w:tc>
          <w:tcPr>
            <w:tcW w:w="2977" w:type="dxa"/>
            <w:tcBorders>
              <w:top w:val="single" w:sz="8" w:space="0" w:color="000000"/>
            </w:tcBorders>
            <w:noWrap/>
            <w:vAlign w:val="bottom"/>
          </w:tcPr>
          <w:p w14:paraId="0CD7E734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54" w:type="dxa"/>
            <w:tcBorders>
              <w:top w:val="single" w:sz="8" w:space="0" w:color="000000"/>
            </w:tcBorders>
            <w:noWrap/>
            <w:vAlign w:val="bottom"/>
          </w:tcPr>
          <w:p w14:paraId="51CD74FB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520D98C6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6EAACABB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293049DE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3C8E8CB6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43B8EB66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282B7442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2617D767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7BAF5292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0FFFA82C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5DE360A5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76FF90C6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</w:tr>
      <w:tr w:rsidR="00226092" w:rsidRPr="006048CC" w14:paraId="1EB810F6" w14:textId="77777777" w:rsidTr="00783223">
        <w:tc>
          <w:tcPr>
            <w:tcW w:w="2977" w:type="dxa"/>
            <w:shd w:val="clear" w:color="000000" w:fill="FFFFFF"/>
            <w:noWrap/>
            <w:vAlign w:val="bottom"/>
          </w:tcPr>
          <w:p w14:paraId="5B8B30AA" w14:textId="77777777" w:rsidR="00226092" w:rsidRPr="006048CC" w:rsidRDefault="00226092" w:rsidP="008F08EB">
            <w:pPr>
              <w:pStyle w:val="THeadfirstNumber"/>
              <w:rPr>
                <w:lang w:val="pt-BR"/>
              </w:rPr>
            </w:pPr>
            <w:bookmarkStart w:id="3" w:name="RANGE!B25:N25"/>
            <w:bookmarkStart w:id="4" w:name="RANGE!B25"/>
            <w:bookmarkEnd w:id="3"/>
            <w:bookmarkEnd w:id="4"/>
          </w:p>
        </w:tc>
        <w:tc>
          <w:tcPr>
            <w:tcW w:w="54" w:type="dxa"/>
            <w:noWrap/>
            <w:vAlign w:val="bottom"/>
          </w:tcPr>
          <w:p w14:paraId="05D6DCDA" w14:textId="77777777" w:rsidR="00226092" w:rsidRPr="006048CC" w:rsidRDefault="00226092" w:rsidP="008F08EB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1EE34AAC" w14:textId="77777777" w:rsidR="00226092" w:rsidRPr="006048CC" w:rsidRDefault="00226092" w:rsidP="008F08EB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Vendas</w:t>
            </w:r>
          </w:p>
        </w:tc>
        <w:tc>
          <w:tcPr>
            <w:tcW w:w="119" w:type="dxa"/>
            <w:vAlign w:val="bottom"/>
          </w:tcPr>
          <w:p w14:paraId="10B47A29" w14:textId="77777777" w:rsidR="00226092" w:rsidRPr="006048CC" w:rsidRDefault="00226092" w:rsidP="008F08EB">
            <w:pPr>
              <w:pStyle w:val="THeadfirstNumber"/>
              <w:rPr>
                <w:lang w:val="pt-BR"/>
              </w:rPr>
            </w:pPr>
          </w:p>
        </w:tc>
        <w:tc>
          <w:tcPr>
            <w:tcW w:w="3301" w:type="dxa"/>
            <w:gridSpan w:val="5"/>
            <w:tcBorders>
              <w:bottom w:val="single" w:sz="4" w:space="0" w:color="A59C94"/>
            </w:tcBorders>
            <w:shd w:val="clear" w:color="000000" w:fill="FFFFFF"/>
            <w:vAlign w:val="bottom"/>
          </w:tcPr>
          <w:p w14:paraId="76BF29EB" w14:textId="77777777" w:rsidR="00226092" w:rsidRPr="006048CC" w:rsidRDefault="00226092" w:rsidP="008F08EB">
            <w:pPr>
              <w:pStyle w:val="THeadfirstNumber"/>
              <w:rPr>
                <w:lang w:val="pt-BR"/>
              </w:rPr>
            </w:pPr>
            <w:r>
              <w:rPr>
                <w:lang w:val="pt-BR"/>
              </w:rPr>
              <w:t>EBITDA ajustado</w:t>
            </w:r>
          </w:p>
        </w:tc>
      </w:tr>
      <w:tr w:rsidR="00226092" w:rsidRPr="006048CC" w14:paraId="47FC4505" w14:textId="77777777" w:rsidTr="00783223">
        <w:tc>
          <w:tcPr>
            <w:tcW w:w="2977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166F791F" w14:textId="77777777" w:rsidR="00226092" w:rsidRPr="006048CC" w:rsidRDefault="00226092" w:rsidP="008F08EB">
            <w:pPr>
              <w:pStyle w:val="THeadlastText"/>
              <w:rPr>
                <w:lang w:val="pt-BR"/>
              </w:rPr>
            </w:pPr>
            <w:bookmarkStart w:id="5" w:name="RANGE!B26:N26"/>
            <w:bookmarkEnd w:id="5"/>
            <w:r>
              <w:rPr>
                <w:lang w:val="pt-BR"/>
              </w:rPr>
              <w:t>em milhões de euros</w:t>
            </w:r>
          </w:p>
        </w:tc>
        <w:tc>
          <w:tcPr>
            <w:tcW w:w="54" w:type="dxa"/>
            <w:noWrap/>
            <w:vAlign w:val="bottom"/>
          </w:tcPr>
          <w:p w14:paraId="4D86663D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80D130B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  <w:r w:rsidRPr="006048CC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68A06183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6BC9DA98" w14:textId="77777777" w:rsidR="00226092" w:rsidRPr="006048CC" w:rsidRDefault="00226092" w:rsidP="008F08EB">
            <w:pPr>
              <w:pStyle w:val="THeadlastNumberbold"/>
              <w:rPr>
                <w:lang w:val="pt-BR"/>
              </w:rPr>
            </w:pPr>
            <w:bookmarkStart w:id="6" w:name="RANGE!F26:F33"/>
            <w:bookmarkEnd w:id="6"/>
            <w:r w:rsidRPr="006048CC">
              <w:rPr>
                <w:lang w:val="pt-BR"/>
              </w:rPr>
              <w:t>2023</w:t>
            </w:r>
          </w:p>
        </w:tc>
        <w:tc>
          <w:tcPr>
            <w:tcW w:w="119" w:type="dxa"/>
            <w:vAlign w:val="bottom"/>
          </w:tcPr>
          <w:p w14:paraId="39D3EAA9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11DE2F89" w14:textId="77777777" w:rsidR="00226092" w:rsidRPr="006048CC" w:rsidRDefault="00226092" w:rsidP="008F08EB">
            <w:pPr>
              <w:pStyle w:val="THeaddifferenceNumber"/>
              <w:keepNext/>
              <w:rPr>
                <w:lang w:val="pt-BR"/>
              </w:rPr>
            </w:pPr>
            <w:bookmarkStart w:id="7" w:name="RANGE!H26:H33"/>
            <w:bookmarkEnd w:id="7"/>
            <w:r>
              <w:rPr>
                <w:lang w:val="pt-BR"/>
              </w:rPr>
              <w:t>Variação %</w:t>
            </w:r>
          </w:p>
        </w:tc>
        <w:tc>
          <w:tcPr>
            <w:tcW w:w="119" w:type="dxa"/>
            <w:vAlign w:val="bottom"/>
          </w:tcPr>
          <w:p w14:paraId="13D261F4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0904968D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  <w:r w:rsidRPr="006048CC">
              <w:rPr>
                <w:lang w:val="pt-BR"/>
              </w:rPr>
              <w:t>2022</w:t>
            </w:r>
          </w:p>
        </w:tc>
        <w:tc>
          <w:tcPr>
            <w:tcW w:w="119" w:type="dxa"/>
            <w:vAlign w:val="bottom"/>
          </w:tcPr>
          <w:p w14:paraId="10104896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5BBD6028" w14:textId="77777777" w:rsidR="00226092" w:rsidRPr="006048CC" w:rsidRDefault="00226092" w:rsidP="008F08EB">
            <w:pPr>
              <w:pStyle w:val="THeadlastNumberbold"/>
              <w:rPr>
                <w:lang w:val="pt-BR"/>
              </w:rPr>
            </w:pPr>
            <w:bookmarkStart w:id="8" w:name="RANGE!L26:L33"/>
            <w:bookmarkEnd w:id="8"/>
            <w:r w:rsidRPr="006048CC">
              <w:rPr>
                <w:lang w:val="pt-BR"/>
              </w:rPr>
              <w:t>2023</w:t>
            </w:r>
          </w:p>
        </w:tc>
        <w:tc>
          <w:tcPr>
            <w:tcW w:w="119" w:type="dxa"/>
            <w:vAlign w:val="bottom"/>
          </w:tcPr>
          <w:p w14:paraId="0B1ECB2E" w14:textId="77777777" w:rsidR="00226092" w:rsidRPr="006048CC" w:rsidRDefault="00226092" w:rsidP="008F08EB">
            <w:pPr>
              <w:pStyle w:val="THeadlast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000000"/>
            </w:tcBorders>
            <w:shd w:val="clear" w:color="000000" w:fill="FFFFFF"/>
            <w:vAlign w:val="bottom"/>
          </w:tcPr>
          <w:p w14:paraId="376565B9" w14:textId="77777777" w:rsidR="00226092" w:rsidRPr="006048CC" w:rsidRDefault="00226092" w:rsidP="008F08EB">
            <w:pPr>
              <w:pStyle w:val="THeaddifferenceNumber"/>
              <w:keepNext/>
              <w:rPr>
                <w:lang w:val="pt-BR"/>
              </w:rPr>
            </w:pPr>
            <w:bookmarkStart w:id="9" w:name="RANGE!N26:N33"/>
            <w:bookmarkEnd w:id="9"/>
            <w:r>
              <w:rPr>
                <w:lang w:val="pt-BR"/>
              </w:rPr>
              <w:t>Variação %</w:t>
            </w:r>
          </w:p>
        </w:tc>
      </w:tr>
      <w:tr w:rsidR="00226092" w:rsidRPr="006048CC" w14:paraId="7918B6D1" w14:textId="77777777" w:rsidTr="00783223">
        <w:tc>
          <w:tcPr>
            <w:tcW w:w="2977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33F0B05A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proofErr w:type="spellStart"/>
            <w:r w:rsidRPr="006048CC">
              <w:rPr>
                <w:lang w:val="pt-BR"/>
              </w:rPr>
              <w:t>Specialty</w:t>
            </w:r>
            <w:proofErr w:type="spellEnd"/>
            <w:r w:rsidRPr="006048CC">
              <w:rPr>
                <w:lang w:val="pt-BR"/>
              </w:rPr>
              <w:t xml:space="preserve"> </w:t>
            </w:r>
            <w:proofErr w:type="spellStart"/>
            <w:r w:rsidRPr="006048CC">
              <w:rPr>
                <w:lang w:val="pt-BR"/>
              </w:rPr>
              <w:t>Additives</w:t>
            </w:r>
            <w:proofErr w:type="spellEnd"/>
          </w:p>
        </w:tc>
        <w:tc>
          <w:tcPr>
            <w:tcW w:w="54" w:type="dxa"/>
            <w:noWrap/>
            <w:vAlign w:val="bottom"/>
          </w:tcPr>
          <w:p w14:paraId="33AA36E0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24080279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bookmarkStart w:id="10" w:name="SNAMD_e6413ae544e244da910ca049fba665cd"/>
            <w:r w:rsidRPr="006048CC">
              <w:rPr>
                <w:lang w:val="pt-BR"/>
              </w:rPr>
              <w:t>1</w:t>
            </w:r>
            <w:r>
              <w:rPr>
                <w:lang w:val="pt-BR"/>
              </w:rPr>
              <w:t>.</w:t>
            </w:r>
            <w:r w:rsidRPr="006048CC">
              <w:rPr>
                <w:lang w:val="pt-BR"/>
              </w:rPr>
              <w:t>049</w:t>
            </w:r>
            <w:bookmarkEnd w:id="10"/>
          </w:p>
        </w:tc>
        <w:tc>
          <w:tcPr>
            <w:tcW w:w="119" w:type="dxa"/>
            <w:noWrap/>
            <w:vAlign w:val="bottom"/>
          </w:tcPr>
          <w:p w14:paraId="6253A04A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D3929E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bookmarkStart w:id="11" w:name="SNAMD_d867c1fae43f40e790f98d17b1bfac2e"/>
            <w:r w:rsidRPr="006048CC">
              <w:rPr>
                <w:lang w:val="pt-BR"/>
              </w:rPr>
              <w:t>921</w:t>
            </w:r>
            <w:bookmarkEnd w:id="11"/>
          </w:p>
        </w:tc>
        <w:tc>
          <w:tcPr>
            <w:tcW w:w="119" w:type="dxa"/>
            <w:noWrap/>
            <w:vAlign w:val="bottom"/>
          </w:tcPr>
          <w:p w14:paraId="55092F6D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5C6D3E64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-12</w:t>
            </w:r>
          </w:p>
        </w:tc>
        <w:tc>
          <w:tcPr>
            <w:tcW w:w="119" w:type="dxa"/>
            <w:noWrap/>
            <w:vAlign w:val="bottom"/>
          </w:tcPr>
          <w:p w14:paraId="65FF5B57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106010B8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252</w:t>
            </w:r>
          </w:p>
        </w:tc>
        <w:tc>
          <w:tcPr>
            <w:tcW w:w="119" w:type="dxa"/>
            <w:noWrap/>
            <w:vAlign w:val="bottom"/>
          </w:tcPr>
          <w:p w14:paraId="506E1CD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B552E3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168</w:t>
            </w:r>
          </w:p>
        </w:tc>
        <w:tc>
          <w:tcPr>
            <w:tcW w:w="119" w:type="dxa"/>
            <w:noWrap/>
            <w:vAlign w:val="bottom"/>
          </w:tcPr>
          <w:p w14:paraId="7DDA99B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4648FCD8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-33</w:t>
            </w:r>
          </w:p>
        </w:tc>
      </w:tr>
      <w:tr w:rsidR="00226092" w:rsidRPr="006048CC" w14:paraId="1940B626" w14:textId="77777777" w:rsidTr="00783223">
        <w:tc>
          <w:tcPr>
            <w:tcW w:w="2977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42A73A6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proofErr w:type="spellStart"/>
            <w:r w:rsidRPr="006048CC">
              <w:rPr>
                <w:lang w:val="pt-BR"/>
              </w:rPr>
              <w:t>Nutrition</w:t>
            </w:r>
            <w:proofErr w:type="spellEnd"/>
            <w:r w:rsidRPr="006048CC">
              <w:rPr>
                <w:lang w:val="pt-BR"/>
              </w:rPr>
              <w:t xml:space="preserve"> &amp; </w:t>
            </w:r>
            <w:proofErr w:type="spellStart"/>
            <w:r w:rsidRPr="006048CC">
              <w:rPr>
                <w:lang w:val="pt-BR"/>
              </w:rPr>
              <w:t>Care</w:t>
            </w:r>
            <w:proofErr w:type="spellEnd"/>
          </w:p>
        </w:tc>
        <w:tc>
          <w:tcPr>
            <w:tcW w:w="54" w:type="dxa"/>
            <w:noWrap/>
            <w:vAlign w:val="bottom"/>
          </w:tcPr>
          <w:p w14:paraId="2BA38DBC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C812463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bookmarkStart w:id="12" w:name="SNAMD_c6898640d97245acada087be14a7de32"/>
            <w:r w:rsidRPr="006048CC">
              <w:rPr>
                <w:lang w:val="pt-BR"/>
              </w:rPr>
              <w:t>1</w:t>
            </w:r>
            <w:r>
              <w:rPr>
                <w:lang w:val="pt-BR"/>
              </w:rPr>
              <w:t>.</w:t>
            </w:r>
            <w:r w:rsidRPr="006048CC">
              <w:rPr>
                <w:lang w:val="pt-BR"/>
              </w:rPr>
              <w:t>038</w:t>
            </w:r>
            <w:bookmarkEnd w:id="12"/>
          </w:p>
        </w:tc>
        <w:tc>
          <w:tcPr>
            <w:tcW w:w="119" w:type="dxa"/>
            <w:noWrap/>
            <w:vAlign w:val="bottom"/>
          </w:tcPr>
          <w:p w14:paraId="415DC18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4D74B63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bookmarkStart w:id="13" w:name="SNAMD_c222bec0aa9e4ab3b2ad2ef9a29e9f41"/>
            <w:r w:rsidRPr="006048CC">
              <w:rPr>
                <w:lang w:val="pt-BR"/>
              </w:rPr>
              <w:t>886</w:t>
            </w:r>
            <w:bookmarkEnd w:id="13"/>
          </w:p>
        </w:tc>
        <w:tc>
          <w:tcPr>
            <w:tcW w:w="119" w:type="dxa"/>
            <w:noWrap/>
            <w:vAlign w:val="bottom"/>
          </w:tcPr>
          <w:p w14:paraId="1273F6E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5D3988B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-15</w:t>
            </w:r>
          </w:p>
        </w:tc>
        <w:tc>
          <w:tcPr>
            <w:tcW w:w="119" w:type="dxa"/>
            <w:noWrap/>
            <w:vAlign w:val="bottom"/>
          </w:tcPr>
          <w:p w14:paraId="218FCECF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4FDAB8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222</w:t>
            </w:r>
          </w:p>
        </w:tc>
        <w:tc>
          <w:tcPr>
            <w:tcW w:w="119" w:type="dxa"/>
            <w:noWrap/>
            <w:vAlign w:val="bottom"/>
          </w:tcPr>
          <w:p w14:paraId="32AA02BB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3F378B9D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76</w:t>
            </w:r>
          </w:p>
        </w:tc>
        <w:tc>
          <w:tcPr>
            <w:tcW w:w="119" w:type="dxa"/>
            <w:noWrap/>
            <w:vAlign w:val="bottom"/>
          </w:tcPr>
          <w:p w14:paraId="50F3CB0B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33C14A00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-66</w:t>
            </w:r>
          </w:p>
        </w:tc>
      </w:tr>
      <w:tr w:rsidR="00226092" w:rsidRPr="006048CC" w14:paraId="13CED828" w14:textId="77777777" w:rsidTr="00783223">
        <w:tc>
          <w:tcPr>
            <w:tcW w:w="2977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298829B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proofErr w:type="spellStart"/>
            <w:r w:rsidRPr="006048CC">
              <w:rPr>
                <w:lang w:val="pt-BR"/>
              </w:rPr>
              <w:t>Smart</w:t>
            </w:r>
            <w:proofErr w:type="spellEnd"/>
            <w:r w:rsidRPr="006048CC">
              <w:rPr>
                <w:lang w:val="pt-BR"/>
              </w:rPr>
              <w:t xml:space="preserve"> </w:t>
            </w:r>
            <w:proofErr w:type="spellStart"/>
            <w:r w:rsidRPr="006048CC">
              <w:rPr>
                <w:lang w:val="pt-BR"/>
              </w:rPr>
              <w:t>Materials</w:t>
            </w:r>
            <w:r w:rsidRPr="006048CC">
              <w:rPr>
                <w:vertAlign w:val="superscript"/>
                <w:lang w:val="pt-BR"/>
              </w:rPr>
              <w:t>a</w:t>
            </w:r>
            <w:proofErr w:type="spellEnd"/>
          </w:p>
        </w:tc>
        <w:tc>
          <w:tcPr>
            <w:tcW w:w="54" w:type="dxa"/>
            <w:noWrap/>
            <w:vAlign w:val="bottom"/>
          </w:tcPr>
          <w:p w14:paraId="0FD753FF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2BE0F63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1</w:t>
            </w:r>
            <w:r>
              <w:rPr>
                <w:lang w:val="pt-BR"/>
              </w:rPr>
              <w:t>.</w:t>
            </w:r>
            <w:r w:rsidRPr="006048CC">
              <w:rPr>
                <w:lang w:val="pt-BR"/>
              </w:rPr>
              <w:t>284</w:t>
            </w:r>
          </w:p>
        </w:tc>
        <w:tc>
          <w:tcPr>
            <w:tcW w:w="119" w:type="dxa"/>
            <w:noWrap/>
            <w:vAlign w:val="bottom"/>
          </w:tcPr>
          <w:p w14:paraId="60613A2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D01E229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1</w:t>
            </w:r>
            <w:r>
              <w:rPr>
                <w:lang w:val="pt-BR"/>
              </w:rPr>
              <w:t>.</w:t>
            </w:r>
            <w:r w:rsidRPr="006048CC">
              <w:rPr>
                <w:lang w:val="pt-BR"/>
              </w:rPr>
              <w:t>188</w:t>
            </w:r>
          </w:p>
        </w:tc>
        <w:tc>
          <w:tcPr>
            <w:tcW w:w="119" w:type="dxa"/>
            <w:noWrap/>
            <w:vAlign w:val="bottom"/>
          </w:tcPr>
          <w:p w14:paraId="1C4E0481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80F98E2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-7</w:t>
            </w:r>
          </w:p>
        </w:tc>
        <w:tc>
          <w:tcPr>
            <w:tcW w:w="119" w:type="dxa"/>
            <w:noWrap/>
            <w:vAlign w:val="bottom"/>
          </w:tcPr>
          <w:p w14:paraId="09691602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F7E009A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212</w:t>
            </w:r>
          </w:p>
        </w:tc>
        <w:tc>
          <w:tcPr>
            <w:tcW w:w="119" w:type="dxa"/>
            <w:noWrap/>
            <w:vAlign w:val="bottom"/>
          </w:tcPr>
          <w:p w14:paraId="3FE9DE6D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0A06C435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164</w:t>
            </w:r>
          </w:p>
        </w:tc>
        <w:tc>
          <w:tcPr>
            <w:tcW w:w="119" w:type="dxa"/>
            <w:noWrap/>
            <w:vAlign w:val="bottom"/>
          </w:tcPr>
          <w:p w14:paraId="40A1D91B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C12AEF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-23</w:t>
            </w:r>
          </w:p>
        </w:tc>
      </w:tr>
      <w:tr w:rsidR="00226092" w:rsidRPr="006048CC" w14:paraId="48B54316" w14:textId="77777777" w:rsidTr="00783223">
        <w:tc>
          <w:tcPr>
            <w:tcW w:w="2977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1472045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r w:rsidRPr="006048CC">
              <w:rPr>
                <w:lang w:val="pt-BR"/>
              </w:rPr>
              <w:t xml:space="preserve">Performance </w:t>
            </w:r>
            <w:proofErr w:type="spellStart"/>
            <w:r w:rsidRPr="006048CC">
              <w:rPr>
                <w:lang w:val="pt-BR"/>
              </w:rPr>
              <w:t>Materials</w:t>
            </w:r>
            <w:r w:rsidRPr="006048CC">
              <w:rPr>
                <w:vertAlign w:val="superscript"/>
                <w:lang w:val="pt-BR"/>
              </w:rPr>
              <w:t>a</w:t>
            </w:r>
            <w:proofErr w:type="spellEnd"/>
          </w:p>
        </w:tc>
        <w:tc>
          <w:tcPr>
            <w:tcW w:w="54" w:type="dxa"/>
            <w:noWrap/>
            <w:vAlign w:val="bottom"/>
          </w:tcPr>
          <w:p w14:paraId="20ADB137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2743CA9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844</w:t>
            </w:r>
          </w:p>
        </w:tc>
        <w:tc>
          <w:tcPr>
            <w:tcW w:w="119" w:type="dxa"/>
            <w:noWrap/>
            <w:vAlign w:val="bottom"/>
          </w:tcPr>
          <w:p w14:paraId="0047EEC9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2A04678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707</w:t>
            </w:r>
          </w:p>
        </w:tc>
        <w:tc>
          <w:tcPr>
            <w:tcW w:w="119" w:type="dxa"/>
            <w:noWrap/>
            <w:vAlign w:val="bottom"/>
          </w:tcPr>
          <w:p w14:paraId="39BC654D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B871EE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-16</w:t>
            </w:r>
          </w:p>
        </w:tc>
        <w:tc>
          <w:tcPr>
            <w:tcW w:w="119" w:type="dxa"/>
            <w:noWrap/>
            <w:vAlign w:val="bottom"/>
          </w:tcPr>
          <w:p w14:paraId="59BA4FC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B934B6D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82</w:t>
            </w:r>
          </w:p>
        </w:tc>
        <w:tc>
          <w:tcPr>
            <w:tcW w:w="119" w:type="dxa"/>
            <w:noWrap/>
            <w:vAlign w:val="bottom"/>
          </w:tcPr>
          <w:p w14:paraId="3CC16F09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3CD8F53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37</w:t>
            </w:r>
          </w:p>
        </w:tc>
        <w:tc>
          <w:tcPr>
            <w:tcW w:w="119" w:type="dxa"/>
            <w:noWrap/>
            <w:vAlign w:val="bottom"/>
          </w:tcPr>
          <w:p w14:paraId="600041EF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4EE656A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-55</w:t>
            </w:r>
          </w:p>
        </w:tc>
      </w:tr>
      <w:tr w:rsidR="00226092" w:rsidRPr="006048CC" w14:paraId="58450CBF" w14:textId="77777777" w:rsidTr="00783223">
        <w:tc>
          <w:tcPr>
            <w:tcW w:w="2977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CDB89F1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r w:rsidRPr="006048CC">
              <w:rPr>
                <w:lang w:val="pt-BR"/>
              </w:rPr>
              <w:t xml:space="preserve">Technology &amp; </w:t>
            </w:r>
            <w:proofErr w:type="spellStart"/>
            <w:r w:rsidRPr="006048CC">
              <w:rPr>
                <w:lang w:val="pt-BR"/>
              </w:rPr>
              <w:t>Infrastructure</w:t>
            </w:r>
            <w:proofErr w:type="spellEnd"/>
          </w:p>
        </w:tc>
        <w:tc>
          <w:tcPr>
            <w:tcW w:w="54" w:type="dxa"/>
            <w:noWrap/>
            <w:vAlign w:val="bottom"/>
          </w:tcPr>
          <w:p w14:paraId="3D47D26B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760340F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271</w:t>
            </w:r>
          </w:p>
        </w:tc>
        <w:tc>
          <w:tcPr>
            <w:tcW w:w="119" w:type="dxa"/>
            <w:noWrap/>
            <w:vAlign w:val="bottom"/>
          </w:tcPr>
          <w:p w14:paraId="10B9C71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2188F0F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292</w:t>
            </w:r>
          </w:p>
        </w:tc>
        <w:tc>
          <w:tcPr>
            <w:tcW w:w="119" w:type="dxa"/>
            <w:noWrap/>
            <w:vAlign w:val="bottom"/>
          </w:tcPr>
          <w:p w14:paraId="4334FF07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3287B72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8</w:t>
            </w:r>
          </w:p>
        </w:tc>
        <w:tc>
          <w:tcPr>
            <w:tcW w:w="119" w:type="dxa"/>
            <w:noWrap/>
            <w:vAlign w:val="bottom"/>
          </w:tcPr>
          <w:p w14:paraId="23149E55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90AD527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35</w:t>
            </w:r>
          </w:p>
        </w:tc>
        <w:tc>
          <w:tcPr>
            <w:tcW w:w="119" w:type="dxa"/>
            <w:noWrap/>
            <w:vAlign w:val="bottom"/>
          </w:tcPr>
          <w:p w14:paraId="5FA034CC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0166B13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34</w:t>
            </w:r>
          </w:p>
        </w:tc>
        <w:tc>
          <w:tcPr>
            <w:tcW w:w="119" w:type="dxa"/>
            <w:noWrap/>
            <w:vAlign w:val="bottom"/>
          </w:tcPr>
          <w:p w14:paraId="17168023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53E761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-3</w:t>
            </w:r>
          </w:p>
        </w:tc>
      </w:tr>
      <w:tr w:rsidR="00226092" w:rsidRPr="006048CC" w14:paraId="505A6E0F" w14:textId="77777777" w:rsidTr="00783223">
        <w:tc>
          <w:tcPr>
            <w:tcW w:w="2977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C06E4A9" w14:textId="2F10565A" w:rsidR="00226092" w:rsidRPr="006048CC" w:rsidRDefault="00783223" w:rsidP="008F08EB">
            <w:pPr>
              <w:pStyle w:val="TBodynormalText"/>
              <w:rPr>
                <w:lang w:val="pt-BR"/>
              </w:rPr>
            </w:pPr>
            <w:r w:rsidRPr="00AF1322">
              <w:rPr>
                <w:lang w:val="pt-BR"/>
              </w:rPr>
              <w:t>Funções Essenciais, Outras Atividades, Consolidação</w:t>
            </w:r>
          </w:p>
        </w:tc>
        <w:tc>
          <w:tcPr>
            <w:tcW w:w="54" w:type="dxa"/>
            <w:noWrap/>
            <w:vAlign w:val="bottom"/>
          </w:tcPr>
          <w:p w14:paraId="5F7F0919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78CFEE4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12</w:t>
            </w:r>
          </w:p>
        </w:tc>
        <w:tc>
          <w:tcPr>
            <w:tcW w:w="119" w:type="dxa"/>
            <w:noWrap/>
            <w:vAlign w:val="bottom"/>
          </w:tcPr>
          <w:p w14:paraId="671B3F80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B600711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11</w:t>
            </w:r>
          </w:p>
        </w:tc>
        <w:tc>
          <w:tcPr>
            <w:tcW w:w="119" w:type="dxa"/>
            <w:noWrap/>
            <w:vAlign w:val="bottom"/>
          </w:tcPr>
          <w:p w14:paraId="4DFBCA6D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4F919ABA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-8</w:t>
            </w:r>
          </w:p>
        </w:tc>
        <w:tc>
          <w:tcPr>
            <w:tcW w:w="119" w:type="dxa"/>
            <w:noWrap/>
            <w:vAlign w:val="bottom"/>
          </w:tcPr>
          <w:p w14:paraId="1FE9B753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642AB840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-68</w:t>
            </w:r>
          </w:p>
        </w:tc>
        <w:tc>
          <w:tcPr>
            <w:tcW w:w="119" w:type="dxa"/>
            <w:noWrap/>
            <w:vAlign w:val="bottom"/>
          </w:tcPr>
          <w:p w14:paraId="55EB6BE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43986CE4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-70</w:t>
            </w:r>
          </w:p>
        </w:tc>
        <w:tc>
          <w:tcPr>
            <w:tcW w:w="119" w:type="dxa"/>
            <w:noWrap/>
            <w:vAlign w:val="bottom"/>
          </w:tcPr>
          <w:p w14:paraId="49964217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24724F56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-3</w:t>
            </w:r>
          </w:p>
        </w:tc>
      </w:tr>
      <w:tr w:rsidR="00226092" w:rsidRPr="006048CC" w14:paraId="730F1525" w14:textId="77777777" w:rsidTr="00783223">
        <w:tc>
          <w:tcPr>
            <w:tcW w:w="2977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383D0ACB" w14:textId="77777777" w:rsidR="00226092" w:rsidRPr="006048CC" w:rsidRDefault="00226092" w:rsidP="008F08EB">
            <w:pPr>
              <w:pStyle w:val="TBodytotalText"/>
              <w:rPr>
                <w:lang w:val="pt-BR"/>
              </w:rPr>
            </w:pPr>
            <w:bookmarkStart w:id="14" w:name="RANGE!B33:N33"/>
            <w:bookmarkEnd w:id="14"/>
            <w:r w:rsidRPr="006048CC">
              <w:rPr>
                <w:lang w:val="pt-BR"/>
              </w:rPr>
              <w:t xml:space="preserve">Evonik </w:t>
            </w:r>
            <w:proofErr w:type="spellStart"/>
            <w:r w:rsidRPr="006048CC">
              <w:rPr>
                <w:lang w:val="pt-BR"/>
              </w:rPr>
              <w:t>Group</w:t>
            </w:r>
            <w:proofErr w:type="spellEnd"/>
          </w:p>
        </w:tc>
        <w:tc>
          <w:tcPr>
            <w:tcW w:w="54" w:type="dxa"/>
            <w:tcBorders>
              <w:bottom w:val="single" w:sz="16" w:space="0" w:color="991D85"/>
            </w:tcBorders>
            <w:noWrap/>
            <w:vAlign w:val="bottom"/>
          </w:tcPr>
          <w:p w14:paraId="18D3E351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13C45E8A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  <w:r w:rsidRPr="006048CC">
              <w:rPr>
                <w:lang w:val="pt-BR"/>
              </w:rPr>
              <w:t>4,498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6F6B8BE0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0BE215FA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  <w:r w:rsidRPr="006048CC">
              <w:rPr>
                <w:lang w:val="pt-BR"/>
              </w:rPr>
              <w:t>4,005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7B71C633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56CD7D13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  <w:r w:rsidRPr="006048CC">
              <w:rPr>
                <w:lang w:val="pt-BR"/>
              </w:rPr>
              <w:t>-11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24442722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659E0609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  <w:r w:rsidRPr="006048CC">
              <w:rPr>
                <w:lang w:val="pt-BR"/>
              </w:rPr>
              <w:t>735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7A5A7A6E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7C17D521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  <w:r w:rsidRPr="006048CC">
              <w:rPr>
                <w:lang w:val="pt-BR"/>
              </w:rPr>
              <w:t>409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395846E7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0AA4E5C3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  <w:r w:rsidRPr="006048CC">
              <w:rPr>
                <w:lang w:val="pt-BR"/>
              </w:rPr>
              <w:t>-44</w:t>
            </w:r>
          </w:p>
        </w:tc>
      </w:tr>
    </w:tbl>
    <w:bookmarkEnd w:id="2"/>
    <w:p w14:paraId="061DF3BF" w14:textId="77777777" w:rsidR="006E6BE9" w:rsidRPr="006E6BE9" w:rsidRDefault="006E6BE9" w:rsidP="006E6BE9">
      <w:pPr>
        <w:spacing w:line="260" w:lineRule="auto"/>
        <w:rPr>
          <w:sz w:val="14"/>
          <w:szCs w:val="14"/>
        </w:rPr>
      </w:pPr>
      <w:r w:rsidRPr="006E6BE9">
        <w:rPr>
          <w:sz w:val="14"/>
          <w:szCs w:val="14"/>
        </w:rPr>
        <w:t xml:space="preserve">*Os números do ano anterior foram ajustados </w:t>
      </w:r>
    </w:p>
    <w:p w14:paraId="55CB4877" w14:textId="77777777" w:rsidR="00226092" w:rsidRPr="006048CC" w:rsidRDefault="00226092" w:rsidP="00226092"/>
    <w:tbl>
      <w:tblPr>
        <w:tblW w:w="97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essemitteilung - Tabelle en!outarea_mitarbeiter"/>
        <w:tblDescription w:val="SNEID_ff49204d453a430193fb198056f74b99"/>
      </w:tblPr>
      <w:tblGrid>
        <w:gridCol w:w="7472"/>
        <w:gridCol w:w="119"/>
        <w:gridCol w:w="1021"/>
        <w:gridCol w:w="119"/>
        <w:gridCol w:w="1021"/>
      </w:tblGrid>
      <w:tr w:rsidR="00226092" w:rsidRPr="006048CC" w14:paraId="2A44C4C3" w14:textId="77777777" w:rsidTr="008F08EB">
        <w:tc>
          <w:tcPr>
            <w:tcW w:w="7472" w:type="dxa"/>
            <w:noWrap/>
            <w:vAlign w:val="bottom"/>
          </w:tcPr>
          <w:p w14:paraId="72A7CFF3" w14:textId="77777777" w:rsidR="00226092" w:rsidRPr="006048CC" w:rsidRDefault="00226092" w:rsidP="008F08EB">
            <w:pPr>
              <w:pStyle w:val="TTitleText"/>
              <w:rPr>
                <w:lang w:val="pt-BR"/>
              </w:rPr>
            </w:pPr>
            <w:bookmarkStart w:id="15" w:name="SNEID_ff49204d453a430193fb198056f74b99"/>
            <w:r>
              <w:rPr>
                <w:lang w:val="pt-BR"/>
              </w:rPr>
              <w:t xml:space="preserve">Colaboradores por Divisão </w:t>
            </w:r>
          </w:p>
        </w:tc>
        <w:tc>
          <w:tcPr>
            <w:tcW w:w="119" w:type="dxa"/>
            <w:noWrap/>
            <w:vAlign w:val="bottom"/>
          </w:tcPr>
          <w:p w14:paraId="2AE18B80" w14:textId="77777777" w:rsidR="00226092" w:rsidRPr="006048CC" w:rsidRDefault="00226092" w:rsidP="008F08EB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noWrap/>
            <w:vAlign w:val="bottom"/>
          </w:tcPr>
          <w:p w14:paraId="29B16878" w14:textId="77777777" w:rsidR="00226092" w:rsidRPr="006048CC" w:rsidRDefault="00226092" w:rsidP="008F08EB">
            <w:pPr>
              <w:pStyle w:val="TTitleText"/>
              <w:rPr>
                <w:lang w:val="pt-BR"/>
              </w:rPr>
            </w:pPr>
          </w:p>
        </w:tc>
        <w:tc>
          <w:tcPr>
            <w:tcW w:w="119" w:type="dxa"/>
            <w:noWrap/>
            <w:vAlign w:val="bottom"/>
          </w:tcPr>
          <w:p w14:paraId="16019B90" w14:textId="77777777" w:rsidR="00226092" w:rsidRPr="006048CC" w:rsidRDefault="00226092" w:rsidP="008F08EB">
            <w:pPr>
              <w:pStyle w:val="TTitleText"/>
              <w:rPr>
                <w:lang w:val="pt-BR"/>
              </w:rPr>
            </w:pPr>
          </w:p>
        </w:tc>
        <w:tc>
          <w:tcPr>
            <w:tcW w:w="1021" w:type="dxa"/>
            <w:noWrap/>
            <w:vAlign w:val="bottom"/>
          </w:tcPr>
          <w:p w14:paraId="56B9A03A" w14:textId="77777777" w:rsidR="00226092" w:rsidRPr="006048CC" w:rsidRDefault="00226092" w:rsidP="008F08EB">
            <w:pPr>
              <w:pStyle w:val="TTitleText"/>
              <w:rPr>
                <w:lang w:val="pt-BR"/>
              </w:rPr>
            </w:pPr>
          </w:p>
        </w:tc>
      </w:tr>
      <w:tr w:rsidR="00226092" w:rsidRPr="006048CC" w14:paraId="6D68FE49" w14:textId="77777777" w:rsidTr="008F08EB">
        <w:tc>
          <w:tcPr>
            <w:tcW w:w="7472" w:type="dxa"/>
            <w:tcBorders>
              <w:top w:val="single" w:sz="8" w:space="0" w:color="000000"/>
            </w:tcBorders>
            <w:noWrap/>
            <w:vAlign w:val="bottom"/>
          </w:tcPr>
          <w:p w14:paraId="2B3D31B3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65A87718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0AEDB01C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19" w:type="dxa"/>
            <w:tcBorders>
              <w:top w:val="single" w:sz="8" w:space="0" w:color="000000"/>
            </w:tcBorders>
            <w:noWrap/>
            <w:vAlign w:val="bottom"/>
          </w:tcPr>
          <w:p w14:paraId="5B89D439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8" w:space="0" w:color="000000"/>
            </w:tcBorders>
            <w:noWrap/>
            <w:vAlign w:val="bottom"/>
          </w:tcPr>
          <w:p w14:paraId="519F756F" w14:textId="77777777" w:rsidR="00226092" w:rsidRPr="006048CC" w:rsidRDefault="00226092" w:rsidP="008F08EB">
            <w:pPr>
              <w:pStyle w:val="TDummy"/>
              <w:keepNext/>
              <w:rPr>
                <w:lang w:val="pt-BR"/>
              </w:rPr>
            </w:pPr>
          </w:p>
        </w:tc>
      </w:tr>
      <w:tr w:rsidR="00226092" w:rsidRPr="006048CC" w14:paraId="67BC4B3C" w14:textId="77777777" w:rsidTr="008F08EB">
        <w:tc>
          <w:tcPr>
            <w:tcW w:w="7472" w:type="dxa"/>
            <w:tcBorders>
              <w:bottom w:val="single" w:sz="4" w:space="0" w:color="000000"/>
            </w:tcBorders>
            <w:shd w:val="clear" w:color="000000" w:fill="FFFFFF"/>
            <w:noWrap/>
            <w:vAlign w:val="bottom"/>
          </w:tcPr>
          <w:p w14:paraId="6FF023FD" w14:textId="77777777" w:rsidR="00226092" w:rsidRPr="006048CC" w:rsidRDefault="00226092" w:rsidP="008F08EB">
            <w:pPr>
              <w:pStyle w:val="THeadsingleText"/>
              <w:rPr>
                <w:lang w:val="pt-BR"/>
              </w:rPr>
            </w:pPr>
            <w:bookmarkStart w:id="16" w:name="RANGE!B51:F51"/>
            <w:bookmarkEnd w:id="16"/>
          </w:p>
        </w:tc>
        <w:tc>
          <w:tcPr>
            <w:tcW w:w="119" w:type="dxa"/>
            <w:noWrap/>
            <w:vAlign w:val="bottom"/>
          </w:tcPr>
          <w:p w14:paraId="6AA18948" w14:textId="77777777" w:rsidR="00226092" w:rsidRPr="006048CC" w:rsidRDefault="00226092" w:rsidP="008F08EB">
            <w:pPr>
              <w:pStyle w:val="THeadsingleNumber"/>
              <w:rPr>
                <w:lang w:val="pt-BR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521C9068" w14:textId="77777777" w:rsidR="00226092" w:rsidRPr="006048CC" w:rsidRDefault="00226092" w:rsidP="008F08EB">
            <w:pPr>
              <w:pStyle w:val="THeadsingleNumber"/>
              <w:rPr>
                <w:lang w:val="pt-BR"/>
              </w:rPr>
            </w:pPr>
            <w:r w:rsidRPr="006048CC">
              <w:rPr>
                <w:lang w:val="pt-BR"/>
              </w:rPr>
              <w:t>Dec. 31, 2022</w:t>
            </w:r>
          </w:p>
        </w:tc>
        <w:tc>
          <w:tcPr>
            <w:tcW w:w="119" w:type="dxa"/>
            <w:vAlign w:val="bottom"/>
          </w:tcPr>
          <w:p w14:paraId="2CDCCC49" w14:textId="77777777" w:rsidR="00226092" w:rsidRPr="006048CC" w:rsidRDefault="00226092" w:rsidP="008F08EB">
            <w:pPr>
              <w:pStyle w:val="THeadsingleNumber"/>
              <w:rPr>
                <w:lang w:val="pt-BR"/>
              </w:rPr>
            </w:pP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000000" w:fill="FFFFFF"/>
            <w:vAlign w:val="bottom"/>
          </w:tcPr>
          <w:p w14:paraId="2D95D294" w14:textId="77777777" w:rsidR="00226092" w:rsidRPr="006048CC" w:rsidRDefault="00226092" w:rsidP="008F08EB">
            <w:pPr>
              <w:pStyle w:val="THeadsingleNumberbold"/>
              <w:rPr>
                <w:lang w:val="pt-BR"/>
              </w:rPr>
            </w:pPr>
            <w:bookmarkStart w:id="17" w:name="RANGE!F51:F60"/>
            <w:bookmarkEnd w:id="17"/>
            <w:r w:rsidRPr="006048CC">
              <w:rPr>
                <w:lang w:val="pt-BR"/>
              </w:rPr>
              <w:t>Mar. 31, 2023</w:t>
            </w:r>
          </w:p>
        </w:tc>
      </w:tr>
      <w:tr w:rsidR="00226092" w:rsidRPr="006048CC" w14:paraId="5B2DE312" w14:textId="77777777" w:rsidTr="008F08EB">
        <w:tc>
          <w:tcPr>
            <w:tcW w:w="7472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3D9F23F9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proofErr w:type="spellStart"/>
            <w:r w:rsidRPr="006048CC">
              <w:rPr>
                <w:lang w:val="pt-BR"/>
              </w:rPr>
              <w:t>Specialty</w:t>
            </w:r>
            <w:proofErr w:type="spellEnd"/>
            <w:r w:rsidRPr="006048CC">
              <w:rPr>
                <w:lang w:val="pt-BR"/>
              </w:rPr>
              <w:t xml:space="preserve"> </w:t>
            </w:r>
            <w:proofErr w:type="spellStart"/>
            <w:r w:rsidRPr="006048CC">
              <w:rPr>
                <w:lang w:val="pt-BR"/>
              </w:rPr>
              <w:t>Additives</w:t>
            </w:r>
            <w:proofErr w:type="spellEnd"/>
          </w:p>
        </w:tc>
        <w:tc>
          <w:tcPr>
            <w:tcW w:w="119" w:type="dxa"/>
            <w:noWrap/>
            <w:vAlign w:val="bottom"/>
          </w:tcPr>
          <w:p w14:paraId="1D33E5D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noWrap/>
            <w:vAlign w:val="bottom"/>
          </w:tcPr>
          <w:p w14:paraId="6B064A64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3,824</w:t>
            </w:r>
          </w:p>
        </w:tc>
        <w:tc>
          <w:tcPr>
            <w:tcW w:w="119" w:type="dxa"/>
            <w:noWrap/>
            <w:vAlign w:val="bottom"/>
          </w:tcPr>
          <w:p w14:paraId="6B60C8E0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7B071E9A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3,556</w:t>
            </w:r>
          </w:p>
        </w:tc>
      </w:tr>
      <w:tr w:rsidR="00226092" w:rsidRPr="006048CC" w14:paraId="5FBC694A" w14:textId="77777777" w:rsidTr="008F08EB">
        <w:tc>
          <w:tcPr>
            <w:tcW w:w="7472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A6CFD63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proofErr w:type="spellStart"/>
            <w:r w:rsidRPr="006048CC">
              <w:rPr>
                <w:lang w:val="pt-BR"/>
              </w:rPr>
              <w:t>Nutrition</w:t>
            </w:r>
            <w:proofErr w:type="spellEnd"/>
            <w:r w:rsidRPr="006048CC">
              <w:rPr>
                <w:lang w:val="pt-BR"/>
              </w:rPr>
              <w:t xml:space="preserve"> &amp; </w:t>
            </w:r>
            <w:proofErr w:type="spellStart"/>
            <w:r w:rsidRPr="006048CC">
              <w:rPr>
                <w:lang w:val="pt-BR"/>
              </w:rPr>
              <w:t>Care</w:t>
            </w:r>
            <w:proofErr w:type="spellEnd"/>
          </w:p>
        </w:tc>
        <w:tc>
          <w:tcPr>
            <w:tcW w:w="119" w:type="dxa"/>
            <w:noWrap/>
            <w:vAlign w:val="bottom"/>
          </w:tcPr>
          <w:p w14:paraId="12417C42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548B9C7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5,690</w:t>
            </w:r>
          </w:p>
        </w:tc>
        <w:tc>
          <w:tcPr>
            <w:tcW w:w="119" w:type="dxa"/>
            <w:noWrap/>
            <w:vAlign w:val="bottom"/>
          </w:tcPr>
          <w:p w14:paraId="020C0447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20CCA5F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5,745</w:t>
            </w:r>
          </w:p>
        </w:tc>
      </w:tr>
      <w:tr w:rsidR="00226092" w:rsidRPr="006048CC" w14:paraId="151D4645" w14:textId="77777777" w:rsidTr="008F08EB">
        <w:tc>
          <w:tcPr>
            <w:tcW w:w="7472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A20375D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proofErr w:type="spellStart"/>
            <w:r w:rsidRPr="006048CC">
              <w:rPr>
                <w:lang w:val="pt-BR"/>
              </w:rPr>
              <w:t>Smart</w:t>
            </w:r>
            <w:proofErr w:type="spellEnd"/>
            <w:r w:rsidRPr="006048CC">
              <w:rPr>
                <w:lang w:val="pt-BR"/>
              </w:rPr>
              <w:t xml:space="preserve"> </w:t>
            </w:r>
            <w:proofErr w:type="spellStart"/>
            <w:r w:rsidRPr="006048CC">
              <w:rPr>
                <w:lang w:val="pt-BR"/>
              </w:rPr>
              <w:t>Materials</w:t>
            </w:r>
            <w:r w:rsidRPr="006048CC">
              <w:rPr>
                <w:vertAlign w:val="superscript"/>
                <w:lang w:val="pt-BR"/>
              </w:rPr>
              <w:t>a</w:t>
            </w:r>
            <w:proofErr w:type="spellEnd"/>
          </w:p>
        </w:tc>
        <w:tc>
          <w:tcPr>
            <w:tcW w:w="119" w:type="dxa"/>
            <w:noWrap/>
            <w:vAlign w:val="bottom"/>
          </w:tcPr>
          <w:p w14:paraId="20F8D1D0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0495E90A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8,011</w:t>
            </w:r>
          </w:p>
        </w:tc>
        <w:tc>
          <w:tcPr>
            <w:tcW w:w="119" w:type="dxa"/>
            <w:noWrap/>
            <w:vAlign w:val="bottom"/>
          </w:tcPr>
          <w:p w14:paraId="0619DB42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8FD366A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8,095</w:t>
            </w:r>
          </w:p>
        </w:tc>
      </w:tr>
      <w:tr w:rsidR="00226092" w:rsidRPr="006048CC" w14:paraId="179D018C" w14:textId="77777777" w:rsidTr="008F08EB">
        <w:tc>
          <w:tcPr>
            <w:tcW w:w="7472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F1D7CAA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r w:rsidRPr="006048CC">
              <w:rPr>
                <w:lang w:val="pt-BR"/>
              </w:rPr>
              <w:t xml:space="preserve">Performance </w:t>
            </w:r>
            <w:proofErr w:type="spellStart"/>
            <w:r w:rsidRPr="006048CC">
              <w:rPr>
                <w:lang w:val="pt-BR"/>
              </w:rPr>
              <w:t>Materials</w:t>
            </w:r>
            <w:r w:rsidRPr="006048CC">
              <w:rPr>
                <w:vertAlign w:val="superscript"/>
                <w:lang w:val="pt-BR"/>
              </w:rPr>
              <w:t>a</w:t>
            </w:r>
            <w:proofErr w:type="spellEnd"/>
          </w:p>
        </w:tc>
        <w:tc>
          <w:tcPr>
            <w:tcW w:w="119" w:type="dxa"/>
            <w:noWrap/>
            <w:vAlign w:val="bottom"/>
          </w:tcPr>
          <w:p w14:paraId="4944570E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DCC90FF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1,951</w:t>
            </w:r>
          </w:p>
        </w:tc>
        <w:tc>
          <w:tcPr>
            <w:tcW w:w="119" w:type="dxa"/>
            <w:noWrap/>
            <w:vAlign w:val="bottom"/>
          </w:tcPr>
          <w:p w14:paraId="0BE36978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2E51EA79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2,240</w:t>
            </w:r>
          </w:p>
        </w:tc>
      </w:tr>
      <w:tr w:rsidR="00226092" w:rsidRPr="006048CC" w14:paraId="00B36919" w14:textId="77777777" w:rsidTr="008F08EB">
        <w:tc>
          <w:tcPr>
            <w:tcW w:w="7472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D510650" w14:textId="77777777" w:rsidR="00226092" w:rsidRPr="006048CC" w:rsidRDefault="00226092" w:rsidP="008F08EB">
            <w:pPr>
              <w:pStyle w:val="TBodynormalText"/>
              <w:rPr>
                <w:lang w:val="pt-BR"/>
              </w:rPr>
            </w:pPr>
            <w:r w:rsidRPr="006048CC">
              <w:rPr>
                <w:lang w:val="pt-BR"/>
              </w:rPr>
              <w:t xml:space="preserve">Technology &amp; </w:t>
            </w:r>
            <w:proofErr w:type="spellStart"/>
            <w:r w:rsidRPr="006048CC">
              <w:rPr>
                <w:lang w:val="pt-BR"/>
              </w:rPr>
              <w:t>Infrastructure</w:t>
            </w:r>
            <w:proofErr w:type="spellEnd"/>
          </w:p>
        </w:tc>
        <w:tc>
          <w:tcPr>
            <w:tcW w:w="119" w:type="dxa"/>
            <w:noWrap/>
            <w:vAlign w:val="bottom"/>
          </w:tcPr>
          <w:p w14:paraId="286C1C95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56913ACC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8,367</w:t>
            </w:r>
          </w:p>
        </w:tc>
        <w:tc>
          <w:tcPr>
            <w:tcW w:w="119" w:type="dxa"/>
            <w:noWrap/>
            <w:vAlign w:val="bottom"/>
          </w:tcPr>
          <w:p w14:paraId="1C898691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62FC3613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8,041</w:t>
            </w:r>
          </w:p>
        </w:tc>
      </w:tr>
      <w:tr w:rsidR="00226092" w:rsidRPr="006048CC" w14:paraId="06E67C3B" w14:textId="77777777" w:rsidTr="008F08EB">
        <w:tc>
          <w:tcPr>
            <w:tcW w:w="7472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7DD390A9" w14:textId="3E959C37" w:rsidR="00226092" w:rsidRPr="006048CC" w:rsidRDefault="00783223" w:rsidP="008F08EB">
            <w:pPr>
              <w:pStyle w:val="TBodynormalText"/>
              <w:rPr>
                <w:lang w:val="pt-BR"/>
              </w:rPr>
            </w:pPr>
            <w:r w:rsidRPr="00AF1322">
              <w:rPr>
                <w:lang w:val="pt-BR"/>
              </w:rPr>
              <w:t>Funções Essenciais, Outras Atividades, Consolidação</w:t>
            </w:r>
          </w:p>
        </w:tc>
        <w:tc>
          <w:tcPr>
            <w:tcW w:w="119" w:type="dxa"/>
            <w:noWrap/>
            <w:vAlign w:val="bottom"/>
          </w:tcPr>
          <w:p w14:paraId="3861A685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noWrap/>
            <w:vAlign w:val="bottom"/>
          </w:tcPr>
          <w:p w14:paraId="153E1CC1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6,186</w:t>
            </w:r>
          </w:p>
        </w:tc>
        <w:tc>
          <w:tcPr>
            <w:tcW w:w="119" w:type="dxa"/>
            <w:noWrap/>
            <w:vAlign w:val="bottom"/>
          </w:tcPr>
          <w:p w14:paraId="0AE1C2D3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4" w:space="0" w:color="A59C94"/>
            </w:tcBorders>
            <w:shd w:val="clear" w:color="000000" w:fill="DAD5C9"/>
            <w:noWrap/>
            <w:vAlign w:val="bottom"/>
          </w:tcPr>
          <w:p w14:paraId="11FBE0A9" w14:textId="77777777" w:rsidR="00226092" w:rsidRPr="006048CC" w:rsidRDefault="00226092" w:rsidP="008F08EB">
            <w:pPr>
              <w:pStyle w:val="TBodynormalNumber"/>
              <w:keepNext/>
              <w:rPr>
                <w:lang w:val="pt-BR"/>
              </w:rPr>
            </w:pPr>
            <w:r w:rsidRPr="006048CC">
              <w:rPr>
                <w:lang w:val="pt-BR"/>
              </w:rPr>
              <w:t>6,241</w:t>
            </w:r>
          </w:p>
        </w:tc>
      </w:tr>
      <w:tr w:rsidR="00226092" w:rsidRPr="006048CC" w14:paraId="37DD300B" w14:textId="77777777" w:rsidTr="008F08EB">
        <w:tc>
          <w:tcPr>
            <w:tcW w:w="7472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533885D3" w14:textId="77777777" w:rsidR="00226092" w:rsidRPr="006048CC" w:rsidRDefault="00226092" w:rsidP="008F08EB">
            <w:pPr>
              <w:pStyle w:val="TBodytotalText"/>
              <w:rPr>
                <w:lang w:val="pt-BR"/>
              </w:rPr>
            </w:pPr>
            <w:bookmarkStart w:id="18" w:name="RANGE!B60:F60"/>
            <w:bookmarkEnd w:id="18"/>
            <w:r>
              <w:rPr>
                <w:lang w:val="pt-BR"/>
              </w:rPr>
              <w:t xml:space="preserve">Grupo </w:t>
            </w:r>
            <w:r w:rsidRPr="006048CC">
              <w:rPr>
                <w:lang w:val="pt-BR"/>
              </w:rPr>
              <w:t xml:space="preserve">Evonik 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3A72D7CE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noWrap/>
            <w:vAlign w:val="bottom"/>
          </w:tcPr>
          <w:p w14:paraId="62CDBFBE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  <w:r w:rsidRPr="006048CC">
              <w:rPr>
                <w:lang w:val="pt-BR"/>
              </w:rPr>
              <w:t>34,029</w:t>
            </w:r>
          </w:p>
        </w:tc>
        <w:tc>
          <w:tcPr>
            <w:tcW w:w="119" w:type="dxa"/>
            <w:tcBorders>
              <w:bottom w:val="single" w:sz="16" w:space="0" w:color="991D85"/>
            </w:tcBorders>
            <w:noWrap/>
            <w:vAlign w:val="bottom"/>
          </w:tcPr>
          <w:p w14:paraId="0A41C7EC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</w:p>
        </w:tc>
        <w:tc>
          <w:tcPr>
            <w:tcW w:w="1021" w:type="dxa"/>
            <w:tcBorders>
              <w:top w:val="single" w:sz="4" w:space="0" w:color="A59C94"/>
              <w:bottom w:val="single" w:sz="16" w:space="0" w:color="991D85"/>
            </w:tcBorders>
            <w:shd w:val="clear" w:color="000000" w:fill="DAD5C9"/>
            <w:noWrap/>
            <w:vAlign w:val="bottom"/>
          </w:tcPr>
          <w:p w14:paraId="189F71CB" w14:textId="77777777" w:rsidR="00226092" w:rsidRPr="006048CC" w:rsidRDefault="00226092" w:rsidP="008F08EB">
            <w:pPr>
              <w:pStyle w:val="TBodytotalNumber"/>
              <w:rPr>
                <w:lang w:val="pt-BR"/>
              </w:rPr>
            </w:pPr>
            <w:r w:rsidRPr="006048CC">
              <w:rPr>
                <w:lang w:val="pt-BR"/>
              </w:rPr>
              <w:t>33,918</w:t>
            </w:r>
          </w:p>
        </w:tc>
      </w:tr>
    </w:tbl>
    <w:bookmarkEnd w:id="15"/>
    <w:p w14:paraId="278593EA" w14:textId="77777777" w:rsidR="006E6BE9" w:rsidRPr="006E6BE9" w:rsidRDefault="006E6BE9" w:rsidP="006E6BE9">
      <w:pPr>
        <w:spacing w:line="260" w:lineRule="auto"/>
        <w:rPr>
          <w:sz w:val="14"/>
          <w:szCs w:val="14"/>
        </w:rPr>
      </w:pPr>
      <w:r w:rsidRPr="006E6BE9">
        <w:rPr>
          <w:sz w:val="14"/>
          <w:szCs w:val="14"/>
        </w:rPr>
        <w:t xml:space="preserve">*Os números do ano anterior foram ajustados </w:t>
      </w:r>
    </w:p>
    <w:p w14:paraId="6D93C8D3" w14:textId="77777777" w:rsidR="00226092" w:rsidRDefault="00226092" w:rsidP="00226092"/>
    <w:p w14:paraId="0D2A4429" w14:textId="29858627" w:rsidR="00F81830" w:rsidRDefault="00F81830" w:rsidP="001B2244">
      <w:pPr>
        <w:rPr>
          <w:szCs w:val="22"/>
        </w:rPr>
      </w:pPr>
    </w:p>
    <w:p w14:paraId="5F9614FD" w14:textId="603AE255" w:rsidR="00975DC0" w:rsidRPr="00B515A5" w:rsidRDefault="001F2939" w:rsidP="00975DC0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B515A5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1BB0165D" w14:textId="77777777" w:rsidR="00975DC0" w:rsidRPr="00BE6C6B" w:rsidRDefault="00975DC0" w:rsidP="00975DC0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B25431">
        <w:rPr>
          <w:rFonts w:eastAsia="Lucida Sans Unicode" w:cs="Lucida Sans Unicode"/>
          <w:bCs/>
          <w:sz w:val="18"/>
          <w:szCs w:val="18"/>
          <w:bdr w:val="nil"/>
        </w:rPr>
        <w:lastRenderedPageBreak/>
        <w:t>A Evonik é uma das líderes mundiais em especialidades químicas. A empresa atua em mais de 100 países no mundo inteiro. Em 2022, registrou vendas de 18,5 bilhões de euros e um lucro operacional (EBITDA ajustado) de 2,49 bilhões de euros.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vai muito além da química para criar soluções inovadoras, lucrativas e sustentáveis para seus clientes.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Cerca de 34.000 colaboradores trabalham juntos em prol de um objetivo comum:  melhorar a vida das pessoas hoje e no futuro. </w:t>
      </w:r>
    </w:p>
    <w:p w14:paraId="67C6E005" w14:textId="1E1D41FD" w:rsidR="001B2244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52273" w14:textId="77777777" w:rsidR="005053BC" w:rsidRDefault="005053BC">
      <w:pPr>
        <w:spacing w:line="240" w:lineRule="auto"/>
      </w:pPr>
      <w:r>
        <w:separator/>
      </w:r>
    </w:p>
  </w:endnote>
  <w:endnote w:type="continuationSeparator" w:id="0">
    <w:p w14:paraId="6D6B74D7" w14:textId="77777777" w:rsidR="005053BC" w:rsidRDefault="005053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vonik Prokyon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vonik Prokyon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22A5B" w14:textId="77777777" w:rsidR="00752115" w:rsidRDefault="0075211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8716D" w14:textId="77777777" w:rsidR="005053BC" w:rsidRDefault="005053BC">
      <w:pPr>
        <w:spacing w:line="240" w:lineRule="auto"/>
      </w:pPr>
      <w:r>
        <w:separator/>
      </w:r>
    </w:p>
  </w:footnote>
  <w:footnote w:type="continuationSeparator" w:id="0">
    <w:p w14:paraId="5A81BF72" w14:textId="77777777" w:rsidR="005053BC" w:rsidRDefault="005053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7CE8B" w14:textId="77777777" w:rsidR="00752115" w:rsidRDefault="0075211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3"/>
  </w:num>
  <w:num w:numId="16" w16cid:durableId="719208808">
    <w:abstractNumId w:val="22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8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8"/>
  </w:num>
  <w:num w:numId="37" w16cid:durableId="1551264808">
    <w:abstractNumId w:val="13"/>
  </w:num>
  <w:num w:numId="38" w16cid:durableId="2016414093">
    <w:abstractNumId w:val="21"/>
  </w:num>
  <w:num w:numId="39" w16cid:durableId="580288409">
    <w:abstractNumId w:val="20"/>
  </w:num>
  <w:num w:numId="40" w16cid:durableId="132671087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0C6E"/>
    <w:rsid w:val="00013722"/>
    <w:rsid w:val="00020EC3"/>
    <w:rsid w:val="000268F6"/>
    <w:rsid w:val="00033588"/>
    <w:rsid w:val="00035360"/>
    <w:rsid w:val="00037F3D"/>
    <w:rsid w:val="000400C5"/>
    <w:rsid w:val="000448AB"/>
    <w:rsid w:val="00046C72"/>
    <w:rsid w:val="00047E57"/>
    <w:rsid w:val="00084555"/>
    <w:rsid w:val="000849EF"/>
    <w:rsid w:val="00086556"/>
    <w:rsid w:val="00092F83"/>
    <w:rsid w:val="000A0DDB"/>
    <w:rsid w:val="000A4EB6"/>
    <w:rsid w:val="000B4D73"/>
    <w:rsid w:val="000C7CBD"/>
    <w:rsid w:val="000D07E0"/>
    <w:rsid w:val="000D081A"/>
    <w:rsid w:val="000D1DD8"/>
    <w:rsid w:val="000D7DF9"/>
    <w:rsid w:val="000E06AB"/>
    <w:rsid w:val="000E2184"/>
    <w:rsid w:val="000F41CC"/>
    <w:rsid w:val="000F70A3"/>
    <w:rsid w:val="000F7816"/>
    <w:rsid w:val="00103837"/>
    <w:rsid w:val="001219A6"/>
    <w:rsid w:val="00124443"/>
    <w:rsid w:val="00125BBC"/>
    <w:rsid w:val="0014346F"/>
    <w:rsid w:val="00146ADE"/>
    <w:rsid w:val="00152126"/>
    <w:rsid w:val="00157E29"/>
    <w:rsid w:val="00162B4B"/>
    <w:rsid w:val="001631E8"/>
    <w:rsid w:val="0016344A"/>
    <w:rsid w:val="00163BD5"/>
    <w:rsid w:val="00165932"/>
    <w:rsid w:val="00166485"/>
    <w:rsid w:val="001703DE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A7D0D"/>
    <w:rsid w:val="001B2244"/>
    <w:rsid w:val="001D0F3F"/>
    <w:rsid w:val="001D69AC"/>
    <w:rsid w:val="001E2D6F"/>
    <w:rsid w:val="001F2939"/>
    <w:rsid w:val="001F6D56"/>
    <w:rsid w:val="001F7C26"/>
    <w:rsid w:val="00201FF8"/>
    <w:rsid w:val="00206DD1"/>
    <w:rsid w:val="00221C32"/>
    <w:rsid w:val="002254F6"/>
    <w:rsid w:val="00226092"/>
    <w:rsid w:val="002376F7"/>
    <w:rsid w:val="002415C7"/>
    <w:rsid w:val="00241B78"/>
    <w:rsid w:val="002427AA"/>
    <w:rsid w:val="0024351A"/>
    <w:rsid w:val="0024351E"/>
    <w:rsid w:val="00243912"/>
    <w:rsid w:val="002527E3"/>
    <w:rsid w:val="00263FE7"/>
    <w:rsid w:val="0027659F"/>
    <w:rsid w:val="00287090"/>
    <w:rsid w:val="00290F07"/>
    <w:rsid w:val="00291794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2F78E4"/>
    <w:rsid w:val="003004BF"/>
    <w:rsid w:val="00301480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1A8C"/>
    <w:rsid w:val="00356519"/>
    <w:rsid w:val="00360782"/>
    <w:rsid w:val="00360DD4"/>
    <w:rsid w:val="00362743"/>
    <w:rsid w:val="00364D2E"/>
    <w:rsid w:val="00367974"/>
    <w:rsid w:val="00380845"/>
    <w:rsid w:val="00380F14"/>
    <w:rsid w:val="00381686"/>
    <w:rsid w:val="00381971"/>
    <w:rsid w:val="00384C52"/>
    <w:rsid w:val="00391FCB"/>
    <w:rsid w:val="00392981"/>
    <w:rsid w:val="00395B16"/>
    <w:rsid w:val="003A023D"/>
    <w:rsid w:val="003A711C"/>
    <w:rsid w:val="003C0198"/>
    <w:rsid w:val="003C5F7C"/>
    <w:rsid w:val="003D0D5E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0655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57E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053BC"/>
    <w:rsid w:val="00514C3B"/>
    <w:rsid w:val="00514CC1"/>
    <w:rsid w:val="00516C49"/>
    <w:rsid w:val="005225EC"/>
    <w:rsid w:val="00536032"/>
    <w:rsid w:val="00536E02"/>
    <w:rsid w:val="00537A93"/>
    <w:rsid w:val="00552ADA"/>
    <w:rsid w:val="005550A6"/>
    <w:rsid w:val="005657A1"/>
    <w:rsid w:val="0057548A"/>
    <w:rsid w:val="0058239E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D4CD1"/>
    <w:rsid w:val="005E3211"/>
    <w:rsid w:val="005E3EDC"/>
    <w:rsid w:val="005E6AE3"/>
    <w:rsid w:val="005E799F"/>
    <w:rsid w:val="005F234C"/>
    <w:rsid w:val="005F50D9"/>
    <w:rsid w:val="0060031A"/>
    <w:rsid w:val="00600E86"/>
    <w:rsid w:val="00601C02"/>
    <w:rsid w:val="00605C02"/>
    <w:rsid w:val="00606A38"/>
    <w:rsid w:val="00630343"/>
    <w:rsid w:val="00635F70"/>
    <w:rsid w:val="00640BDA"/>
    <w:rsid w:val="00645F2F"/>
    <w:rsid w:val="00650E27"/>
    <w:rsid w:val="00652A75"/>
    <w:rsid w:val="006616C9"/>
    <w:rsid w:val="006651E2"/>
    <w:rsid w:val="00665EC9"/>
    <w:rsid w:val="00672AFA"/>
    <w:rsid w:val="0067468A"/>
    <w:rsid w:val="00684541"/>
    <w:rsid w:val="00686BC7"/>
    <w:rsid w:val="0069294D"/>
    <w:rsid w:val="006A2C2A"/>
    <w:rsid w:val="006A581A"/>
    <w:rsid w:val="006A5A6B"/>
    <w:rsid w:val="006A663D"/>
    <w:rsid w:val="006A72AC"/>
    <w:rsid w:val="006B505B"/>
    <w:rsid w:val="006C6E39"/>
    <w:rsid w:val="006C6EA8"/>
    <w:rsid w:val="006D3293"/>
    <w:rsid w:val="006D601A"/>
    <w:rsid w:val="006E2F15"/>
    <w:rsid w:val="006E434B"/>
    <w:rsid w:val="006E520B"/>
    <w:rsid w:val="006E6BE9"/>
    <w:rsid w:val="006E7AED"/>
    <w:rsid w:val="006F30EA"/>
    <w:rsid w:val="006F3AB9"/>
    <w:rsid w:val="006F48B3"/>
    <w:rsid w:val="00701178"/>
    <w:rsid w:val="0070353B"/>
    <w:rsid w:val="00704F2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52115"/>
    <w:rsid w:val="0075741C"/>
    <w:rsid w:val="00763004"/>
    <w:rsid w:val="007676DC"/>
    <w:rsid w:val="00770879"/>
    <w:rsid w:val="007733D3"/>
    <w:rsid w:val="0077450F"/>
    <w:rsid w:val="00775D2E"/>
    <w:rsid w:val="007767AB"/>
    <w:rsid w:val="00783223"/>
    <w:rsid w:val="00784360"/>
    <w:rsid w:val="007A09BC"/>
    <w:rsid w:val="007A2C47"/>
    <w:rsid w:val="007B77E4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1E60"/>
    <w:rsid w:val="0084389E"/>
    <w:rsid w:val="008462C3"/>
    <w:rsid w:val="00850B77"/>
    <w:rsid w:val="008578F1"/>
    <w:rsid w:val="00860A6B"/>
    <w:rsid w:val="0088508F"/>
    <w:rsid w:val="00885442"/>
    <w:rsid w:val="00886FCF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C7FB9"/>
    <w:rsid w:val="008D59A8"/>
    <w:rsid w:val="008D6C5B"/>
    <w:rsid w:val="008E7921"/>
    <w:rsid w:val="008E7985"/>
    <w:rsid w:val="008F1CB7"/>
    <w:rsid w:val="008F49C5"/>
    <w:rsid w:val="008F5C81"/>
    <w:rsid w:val="00901EB9"/>
    <w:rsid w:val="0090621C"/>
    <w:rsid w:val="0092139E"/>
    <w:rsid w:val="009339D6"/>
    <w:rsid w:val="00935881"/>
    <w:rsid w:val="009454A0"/>
    <w:rsid w:val="00952805"/>
    <w:rsid w:val="00954060"/>
    <w:rsid w:val="009560C1"/>
    <w:rsid w:val="00966112"/>
    <w:rsid w:val="00971345"/>
    <w:rsid w:val="00972915"/>
    <w:rsid w:val="00972ED9"/>
    <w:rsid w:val="009752DC"/>
    <w:rsid w:val="0097547F"/>
    <w:rsid w:val="00975DC0"/>
    <w:rsid w:val="00977987"/>
    <w:rsid w:val="009814C9"/>
    <w:rsid w:val="0098727A"/>
    <w:rsid w:val="009A16A5"/>
    <w:rsid w:val="009A2A0C"/>
    <w:rsid w:val="009A7CDC"/>
    <w:rsid w:val="009B5314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31EB"/>
    <w:rsid w:val="009F6AA2"/>
    <w:rsid w:val="00A16154"/>
    <w:rsid w:val="00A24DF4"/>
    <w:rsid w:val="00A30BD0"/>
    <w:rsid w:val="00A333FB"/>
    <w:rsid w:val="00A34137"/>
    <w:rsid w:val="00A3644E"/>
    <w:rsid w:val="00A36AC5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24A0"/>
    <w:rsid w:val="00A94EC5"/>
    <w:rsid w:val="00A97CD7"/>
    <w:rsid w:val="00A97EAD"/>
    <w:rsid w:val="00AA15C6"/>
    <w:rsid w:val="00AA65D9"/>
    <w:rsid w:val="00AB26DD"/>
    <w:rsid w:val="00AC052D"/>
    <w:rsid w:val="00AD4B8F"/>
    <w:rsid w:val="00AE3848"/>
    <w:rsid w:val="00AE601F"/>
    <w:rsid w:val="00AF0606"/>
    <w:rsid w:val="00AF6529"/>
    <w:rsid w:val="00AF71D1"/>
    <w:rsid w:val="00AF7D27"/>
    <w:rsid w:val="00B00DCA"/>
    <w:rsid w:val="00B10285"/>
    <w:rsid w:val="00B175C1"/>
    <w:rsid w:val="00B2025B"/>
    <w:rsid w:val="00B31D5A"/>
    <w:rsid w:val="00B36546"/>
    <w:rsid w:val="00B46A33"/>
    <w:rsid w:val="00B51242"/>
    <w:rsid w:val="00B5137F"/>
    <w:rsid w:val="00B513BC"/>
    <w:rsid w:val="00B515A5"/>
    <w:rsid w:val="00B56705"/>
    <w:rsid w:val="00B60308"/>
    <w:rsid w:val="00B60EC3"/>
    <w:rsid w:val="00B64EAD"/>
    <w:rsid w:val="00B656C6"/>
    <w:rsid w:val="00B73500"/>
    <w:rsid w:val="00B75CA9"/>
    <w:rsid w:val="00B811DE"/>
    <w:rsid w:val="00B8368E"/>
    <w:rsid w:val="00B9317E"/>
    <w:rsid w:val="00B931DD"/>
    <w:rsid w:val="00B9548E"/>
    <w:rsid w:val="00B97006"/>
    <w:rsid w:val="00BA220D"/>
    <w:rsid w:val="00BA34A7"/>
    <w:rsid w:val="00BA41A7"/>
    <w:rsid w:val="00BA4C6A"/>
    <w:rsid w:val="00BA584D"/>
    <w:rsid w:val="00BA7130"/>
    <w:rsid w:val="00BA71B6"/>
    <w:rsid w:val="00BC1B97"/>
    <w:rsid w:val="00BC1D7E"/>
    <w:rsid w:val="00BC4141"/>
    <w:rsid w:val="00BD07B0"/>
    <w:rsid w:val="00BD1227"/>
    <w:rsid w:val="00BD2132"/>
    <w:rsid w:val="00BD2212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1524"/>
    <w:rsid w:val="00C4228E"/>
    <w:rsid w:val="00C4300F"/>
    <w:rsid w:val="00C444E8"/>
    <w:rsid w:val="00C44564"/>
    <w:rsid w:val="00C519DA"/>
    <w:rsid w:val="00C60F15"/>
    <w:rsid w:val="00C612D1"/>
    <w:rsid w:val="00C63ED1"/>
    <w:rsid w:val="00C7114A"/>
    <w:rsid w:val="00C855FC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29D8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74EB8"/>
    <w:rsid w:val="00D81410"/>
    <w:rsid w:val="00D83F4F"/>
    <w:rsid w:val="00D84239"/>
    <w:rsid w:val="00D90774"/>
    <w:rsid w:val="00D920BD"/>
    <w:rsid w:val="00D9276F"/>
    <w:rsid w:val="00D95388"/>
    <w:rsid w:val="00D96E04"/>
    <w:rsid w:val="00DB3E3C"/>
    <w:rsid w:val="00DC1267"/>
    <w:rsid w:val="00DC1494"/>
    <w:rsid w:val="00DC49A4"/>
    <w:rsid w:val="00DC6D16"/>
    <w:rsid w:val="00DD4537"/>
    <w:rsid w:val="00DD77CD"/>
    <w:rsid w:val="00DE534A"/>
    <w:rsid w:val="00DF6503"/>
    <w:rsid w:val="00DF6EF9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1C05"/>
    <w:rsid w:val="00E52EFF"/>
    <w:rsid w:val="00E559F9"/>
    <w:rsid w:val="00E5685D"/>
    <w:rsid w:val="00E62F99"/>
    <w:rsid w:val="00E6418A"/>
    <w:rsid w:val="00E67EA2"/>
    <w:rsid w:val="00E83FF0"/>
    <w:rsid w:val="00E86454"/>
    <w:rsid w:val="00E8737C"/>
    <w:rsid w:val="00E875DA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978"/>
    <w:rsid w:val="00EE4A72"/>
    <w:rsid w:val="00EE654A"/>
    <w:rsid w:val="00EF7EB3"/>
    <w:rsid w:val="00F018DC"/>
    <w:rsid w:val="00F16B56"/>
    <w:rsid w:val="00F305C6"/>
    <w:rsid w:val="00F31F7C"/>
    <w:rsid w:val="00F40271"/>
    <w:rsid w:val="00F41AD9"/>
    <w:rsid w:val="00F5203F"/>
    <w:rsid w:val="00F53B19"/>
    <w:rsid w:val="00F5602B"/>
    <w:rsid w:val="00F57C72"/>
    <w:rsid w:val="00F64D86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1D81"/>
    <w:rsid w:val="00FB316C"/>
    <w:rsid w:val="00FC641F"/>
    <w:rsid w:val="00FC7A2A"/>
    <w:rsid w:val="00FD0461"/>
    <w:rsid w:val="00FD1184"/>
    <w:rsid w:val="00FD5DEA"/>
    <w:rsid w:val="00FE5CD2"/>
    <w:rsid w:val="00FE676A"/>
    <w:rsid w:val="00FE68D3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  <w:style w:type="paragraph" w:customStyle="1" w:styleId="TTitleText">
    <w:name w:val="T_Title_Text"/>
    <w:qFormat/>
    <w:rsid w:val="00226092"/>
    <w:pPr>
      <w:keepNext/>
      <w:spacing w:after="40" w:line="220" w:lineRule="exact"/>
    </w:pPr>
    <w:rPr>
      <w:rFonts w:ascii="Evonik Prokyon Medium" w:eastAsia="Calibri" w:hAnsi="Evonik Prokyon Medium"/>
      <w:b/>
      <w:color w:val="000000"/>
      <w:sz w:val="18"/>
      <w:lang w:val="en-US" w:eastAsia="en-US"/>
    </w:rPr>
  </w:style>
  <w:style w:type="paragraph" w:customStyle="1" w:styleId="THeadfirstNumber">
    <w:name w:val="T_Head_first_Number"/>
    <w:qFormat/>
    <w:rsid w:val="00226092"/>
    <w:pPr>
      <w:keepNext/>
      <w:spacing w:before="40" w:after="40" w:line="220" w:lineRule="exact"/>
      <w:jc w:val="center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HeadlastText">
    <w:name w:val="T_Head_last_Text"/>
    <w:qFormat/>
    <w:rsid w:val="00226092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lastNumber">
    <w:name w:val="T_Head_last_Number"/>
    <w:rsid w:val="00226092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lastNumberbold">
    <w:name w:val="T_Head_last_Number_bold"/>
    <w:qFormat/>
    <w:rsid w:val="00226092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TBodysubtotalText">
    <w:name w:val="T_Body_subtotal_Text"/>
    <w:qFormat/>
    <w:rsid w:val="00226092"/>
    <w:pPr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differenceNumber">
    <w:name w:val="T_Head_difference_Number"/>
    <w:qFormat/>
    <w:rsid w:val="00226092"/>
    <w:pPr>
      <w:spacing w:after="40"/>
      <w:ind w:right="57"/>
      <w:jc w:val="right"/>
    </w:pPr>
    <w:rPr>
      <w:rFonts w:ascii="Evonik Prokyon" w:hAnsi="Evonik Prokyon"/>
      <w:color w:val="000000"/>
      <w:sz w:val="14"/>
      <w:lang w:eastAsia="en-US"/>
    </w:rPr>
  </w:style>
  <w:style w:type="paragraph" w:customStyle="1" w:styleId="TBodysubtotalNumber">
    <w:name w:val="T_Body_subtotal_Number"/>
    <w:qFormat/>
    <w:rsid w:val="00226092"/>
    <w:pPr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normalText">
    <w:name w:val="T_Body_normal_Text"/>
    <w:basedOn w:val="Normal"/>
    <w:qFormat/>
    <w:rsid w:val="00226092"/>
    <w:pPr>
      <w:keepNext/>
      <w:keepLines/>
      <w:spacing w:after="40" w:line="220" w:lineRule="exact"/>
    </w:pPr>
    <w:rPr>
      <w:rFonts w:ascii="Evonik Prokyon" w:eastAsia="Calibri" w:hAnsi="Evonik Prokyon"/>
      <w:color w:val="000000"/>
      <w:sz w:val="14"/>
      <w:szCs w:val="20"/>
      <w:lang w:val="de-DE" w:eastAsia="en-US"/>
    </w:rPr>
  </w:style>
  <w:style w:type="paragraph" w:customStyle="1" w:styleId="TBodynormalNumber">
    <w:name w:val="T_Body_normal_Number"/>
    <w:qFormat/>
    <w:rsid w:val="00226092"/>
    <w:pPr>
      <w:spacing w:after="40" w:line="220" w:lineRule="exact"/>
      <w:ind w:right="57"/>
      <w:jc w:val="right"/>
    </w:pPr>
    <w:rPr>
      <w:rFonts w:ascii="Evonik Prokyon" w:eastAsia="Calibri" w:hAnsi="Evonik Prokyon"/>
      <w:color w:val="000000"/>
      <w:sz w:val="14"/>
      <w:lang w:eastAsia="en-US"/>
    </w:rPr>
  </w:style>
  <w:style w:type="paragraph" w:customStyle="1" w:styleId="TDummy">
    <w:name w:val="T_Dummy"/>
    <w:rsid w:val="00226092"/>
    <w:rPr>
      <w:rFonts w:ascii="Evonik Prokyon" w:eastAsia="Calibri" w:hAnsi="Evonik Prokyon"/>
      <w:color w:val="000000"/>
      <w:sz w:val="4"/>
      <w:lang w:val="en-US" w:eastAsia="en-US"/>
    </w:rPr>
  </w:style>
  <w:style w:type="paragraph" w:customStyle="1" w:styleId="TBodytotalText">
    <w:name w:val="T_Body_total_Text"/>
    <w:qFormat/>
    <w:rsid w:val="00226092"/>
    <w:pPr>
      <w:keepNext/>
      <w:spacing w:after="40" w:line="220" w:lineRule="exac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BodytotalNumber">
    <w:name w:val="T_Body_total_Number"/>
    <w:qFormat/>
    <w:rsid w:val="00226092"/>
    <w:pPr>
      <w:keepNext/>
      <w:spacing w:after="40" w:line="220" w:lineRule="exact"/>
      <w:ind w:right="57"/>
      <w:jc w:val="right"/>
    </w:pPr>
    <w:rPr>
      <w:rFonts w:ascii="Evonik Prokyon" w:eastAsia="Calibri" w:hAnsi="Evonik Prokyon"/>
      <w:b/>
      <w:color w:val="000000"/>
      <w:sz w:val="14"/>
      <w:lang w:eastAsia="en-US"/>
    </w:rPr>
  </w:style>
  <w:style w:type="paragraph" w:customStyle="1" w:styleId="THeadsingleText">
    <w:name w:val="T_Head_single_Text"/>
    <w:qFormat/>
    <w:rsid w:val="00226092"/>
    <w:pPr>
      <w:keepNext/>
      <w:spacing w:before="40" w:after="40" w:line="220" w:lineRule="exact"/>
    </w:pPr>
    <w:rPr>
      <w:rFonts w:ascii="Evonik Prokyon" w:eastAsia="Calibri" w:hAnsi="Evonik Prokyon"/>
      <w:color w:val="000000"/>
      <w:sz w:val="12"/>
      <w:lang w:eastAsia="en-US"/>
    </w:rPr>
  </w:style>
  <w:style w:type="paragraph" w:customStyle="1" w:styleId="THeadsingleNumber">
    <w:name w:val="T_Head_single_Number"/>
    <w:qFormat/>
    <w:rsid w:val="00226092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color w:val="991D85"/>
      <w:sz w:val="14"/>
      <w:lang w:eastAsia="en-US"/>
    </w:rPr>
  </w:style>
  <w:style w:type="paragraph" w:customStyle="1" w:styleId="THeadsingleNumberbold">
    <w:name w:val="T_Head_single_Number_bold"/>
    <w:qFormat/>
    <w:rsid w:val="00226092"/>
    <w:pPr>
      <w:keepNext/>
      <w:spacing w:before="40" w:after="40" w:line="220" w:lineRule="exact"/>
      <w:ind w:right="57"/>
      <w:jc w:val="right"/>
    </w:pPr>
    <w:rPr>
      <w:rFonts w:ascii="Evonik Prokyon" w:eastAsia="Calibri" w:hAnsi="Evonik Prokyon"/>
      <w:b/>
      <w:color w:val="991D85"/>
      <w:sz w:val="14"/>
      <w:lang w:eastAsia="en-US"/>
    </w:rPr>
  </w:style>
  <w:style w:type="paragraph" w:customStyle="1" w:styleId="SNEvonikTabellenfu">
    <w:name w:val="_SN_Evonik Tabellenfuß"/>
    <w:basedOn w:val="Normal"/>
    <w:qFormat/>
    <w:rsid w:val="00226092"/>
    <w:pPr>
      <w:spacing w:before="60" w:line="160" w:lineRule="exact"/>
    </w:pPr>
    <w:rPr>
      <w:rFonts w:ascii="Evonik Prokyon" w:hAnsi="Evonik Prokyon"/>
      <w:sz w:val="12"/>
      <w:szCs w:val="1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1459</Words>
  <Characters>7883</Characters>
  <Application>Microsoft Office Word</Application>
  <DocSecurity>0</DocSecurity>
  <Lines>65</Lines>
  <Paragraphs>18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9324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Resultados Financeiros 1 Trim 2023</dc:subject>
  <dc:creator>Taís Augusto</dc:creator>
  <cp:keywords/>
  <dc:description>Maio 2023</dc:description>
  <cp:lastModifiedBy>Taís Augusto</cp:lastModifiedBy>
  <cp:revision>2</cp:revision>
  <cp:lastPrinted>2022-12-09T12:42:00Z</cp:lastPrinted>
  <dcterms:created xsi:type="dcterms:W3CDTF">2023-05-12T20:22:00Z</dcterms:created>
  <dcterms:modified xsi:type="dcterms:W3CDTF">2023-05-12T20:22:00Z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