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999" w14:textId="22CC89D7" w:rsidR="004C66C2" w:rsidRPr="001D03F2" w:rsidRDefault="004C66C2" w:rsidP="001D03F2">
      <w:pPr>
        <w:rPr>
          <w:b/>
          <w:bCs/>
          <w:sz w:val="28"/>
          <w:szCs w:val="28"/>
          <w:lang w:eastAsia="pt-BR"/>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C66C2" w:rsidRPr="008D6C5B" w14:paraId="22BC0F87" w14:textId="77777777" w:rsidTr="0001216E">
        <w:trPr>
          <w:trHeight w:val="851"/>
        </w:trPr>
        <w:tc>
          <w:tcPr>
            <w:tcW w:w="2552" w:type="dxa"/>
            <w:shd w:val="clear" w:color="auto" w:fill="auto"/>
          </w:tcPr>
          <w:p w14:paraId="74DD3AB9" w14:textId="7E2411DC" w:rsidR="004C66C2" w:rsidRPr="008D6C5B" w:rsidRDefault="00B277D3" w:rsidP="0001216E">
            <w:pPr>
              <w:pStyle w:val="M7"/>
              <w:framePr w:wrap="auto" w:vAnchor="margin" w:hAnchor="text" w:xAlign="left" w:yAlign="inline"/>
              <w:suppressOverlap w:val="0"/>
              <w:rPr>
                <w:b w:val="0"/>
                <w:sz w:val="18"/>
                <w:szCs w:val="18"/>
                <w:lang w:val="pt-BR"/>
              </w:rPr>
            </w:pPr>
            <w:r>
              <w:rPr>
                <w:b w:val="0"/>
                <w:sz w:val="18"/>
                <w:szCs w:val="18"/>
                <w:lang w:val="pt-BR"/>
              </w:rPr>
              <w:t>22</w:t>
            </w:r>
            <w:r w:rsidR="004C66C2" w:rsidRPr="008D6C5B">
              <w:rPr>
                <w:b w:val="0"/>
                <w:sz w:val="18"/>
                <w:szCs w:val="18"/>
                <w:lang w:val="pt-BR"/>
              </w:rPr>
              <w:t xml:space="preserve"> de</w:t>
            </w:r>
            <w:r w:rsidR="004C66C2">
              <w:rPr>
                <w:b w:val="0"/>
                <w:sz w:val="18"/>
                <w:szCs w:val="18"/>
                <w:lang w:val="pt-BR"/>
              </w:rPr>
              <w:t xml:space="preserve"> </w:t>
            </w:r>
            <w:r w:rsidR="00FD06B2">
              <w:rPr>
                <w:b w:val="0"/>
                <w:sz w:val="18"/>
                <w:szCs w:val="18"/>
                <w:lang w:val="pt-BR"/>
              </w:rPr>
              <w:t>abril</w:t>
            </w:r>
            <w:r w:rsidR="004C66C2">
              <w:rPr>
                <w:b w:val="0"/>
                <w:sz w:val="18"/>
                <w:szCs w:val="18"/>
                <w:lang w:val="pt-BR"/>
              </w:rPr>
              <w:t xml:space="preserve"> </w:t>
            </w:r>
            <w:r w:rsidR="004C66C2" w:rsidRPr="008D6C5B">
              <w:rPr>
                <w:b w:val="0"/>
                <w:sz w:val="18"/>
                <w:szCs w:val="18"/>
                <w:lang w:val="pt-BR"/>
              </w:rPr>
              <w:t>de 20</w:t>
            </w:r>
            <w:r w:rsidR="004C66C2">
              <w:rPr>
                <w:b w:val="0"/>
                <w:sz w:val="18"/>
                <w:szCs w:val="18"/>
                <w:lang w:val="pt-BR"/>
              </w:rPr>
              <w:t>24</w:t>
            </w:r>
          </w:p>
          <w:p w14:paraId="6622CD0E" w14:textId="77777777" w:rsidR="004C66C2" w:rsidRPr="008D6C5B" w:rsidRDefault="004C66C2" w:rsidP="0001216E">
            <w:pPr>
              <w:pStyle w:val="M7"/>
              <w:framePr w:wrap="auto" w:vAnchor="margin" w:hAnchor="text" w:xAlign="left" w:yAlign="inline"/>
              <w:suppressOverlap w:val="0"/>
              <w:rPr>
                <w:lang w:val="pt-BR"/>
              </w:rPr>
            </w:pPr>
          </w:p>
          <w:p w14:paraId="60218A0B" w14:textId="77777777" w:rsidR="004C66C2" w:rsidRPr="008D6C5B" w:rsidRDefault="004C66C2" w:rsidP="0001216E">
            <w:pPr>
              <w:pStyle w:val="M7"/>
              <w:framePr w:wrap="auto" w:vAnchor="margin" w:hAnchor="text" w:xAlign="left" w:yAlign="inline"/>
              <w:suppressOverlap w:val="0"/>
              <w:rPr>
                <w:lang w:val="pt-BR"/>
              </w:rPr>
            </w:pPr>
          </w:p>
          <w:p w14:paraId="01B9C0C9" w14:textId="77777777" w:rsidR="004C66C2" w:rsidRPr="008D6C5B" w:rsidRDefault="004C66C2" w:rsidP="0001216E">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4E258B00" w14:textId="77777777" w:rsidR="004C66C2" w:rsidRPr="008D6C5B" w:rsidRDefault="004C66C2" w:rsidP="0001216E">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115270BF" w14:textId="77777777" w:rsidR="004C66C2" w:rsidRPr="008D6C5B" w:rsidRDefault="004C66C2" w:rsidP="0001216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4C66C2" w:rsidRPr="008D6C5B" w14:paraId="29EEDCEB" w14:textId="77777777" w:rsidTr="0001216E">
        <w:trPr>
          <w:trHeight w:val="851"/>
        </w:trPr>
        <w:tc>
          <w:tcPr>
            <w:tcW w:w="2552" w:type="dxa"/>
            <w:shd w:val="clear" w:color="auto" w:fill="auto"/>
          </w:tcPr>
          <w:p w14:paraId="23AC741A" w14:textId="77777777" w:rsidR="004C66C2" w:rsidRPr="008D6C5B" w:rsidRDefault="004C66C2" w:rsidP="0001216E">
            <w:pPr>
              <w:pStyle w:val="M10"/>
              <w:framePr w:wrap="auto" w:vAnchor="margin" w:hAnchor="text" w:xAlign="left" w:yAlign="inline"/>
              <w:suppressOverlap w:val="0"/>
              <w:rPr>
                <w:lang w:val="pt-BR"/>
              </w:rPr>
            </w:pPr>
          </w:p>
        </w:tc>
      </w:tr>
    </w:tbl>
    <w:p w14:paraId="0DC49254" w14:textId="2FCE74B7" w:rsidR="000E5D85" w:rsidRPr="000E5D85" w:rsidRDefault="000E5D85" w:rsidP="000E5D85">
      <w:pPr>
        <w:rPr>
          <w:b/>
          <w:bCs/>
          <w:sz w:val="28"/>
          <w:szCs w:val="28"/>
        </w:rPr>
      </w:pPr>
      <w:r w:rsidRPr="000E5D85">
        <w:rPr>
          <w:b/>
          <w:bCs/>
          <w:sz w:val="28"/>
          <w:szCs w:val="28"/>
        </w:rPr>
        <w:t xml:space="preserve">Evonik apresenta os novos antiespumantes TEGO® </w:t>
      </w:r>
      <w:proofErr w:type="spellStart"/>
      <w:r w:rsidRPr="000E5D85">
        <w:rPr>
          <w:b/>
          <w:bCs/>
          <w:sz w:val="28"/>
          <w:szCs w:val="28"/>
        </w:rPr>
        <w:t>Foamex</w:t>
      </w:r>
      <w:proofErr w:type="spellEnd"/>
      <w:r>
        <w:rPr>
          <w:b/>
          <w:bCs/>
          <w:sz w:val="28"/>
          <w:szCs w:val="28"/>
        </w:rPr>
        <w:t xml:space="preserve"> proporcionando</w:t>
      </w:r>
      <w:r w:rsidRPr="000E5D85">
        <w:rPr>
          <w:b/>
          <w:bCs/>
          <w:sz w:val="28"/>
          <w:szCs w:val="28"/>
        </w:rPr>
        <w:t xml:space="preserve"> sustentabilidade em revestimentos arquitetônicos</w:t>
      </w:r>
    </w:p>
    <w:p w14:paraId="143BDEB7" w14:textId="77777777" w:rsidR="000E5D85" w:rsidRDefault="000E5D85" w:rsidP="000E5D85">
      <w:pPr>
        <w:rPr>
          <w:sz w:val="24"/>
        </w:rPr>
      </w:pPr>
    </w:p>
    <w:p w14:paraId="7475AB83" w14:textId="77777777" w:rsidR="000E5D85" w:rsidRPr="000E5D85" w:rsidRDefault="000E5D85" w:rsidP="000E5D85">
      <w:pPr>
        <w:rPr>
          <w:sz w:val="24"/>
        </w:rPr>
      </w:pPr>
    </w:p>
    <w:p w14:paraId="0FCABA82" w14:textId="77777777" w:rsidR="000E5D85" w:rsidRDefault="000E5D85" w:rsidP="000E5D85">
      <w:pPr>
        <w:pStyle w:val="ListParagraph"/>
        <w:numPr>
          <w:ilvl w:val="0"/>
          <w:numId w:val="48"/>
        </w:numPr>
        <w:rPr>
          <w:sz w:val="24"/>
        </w:rPr>
      </w:pPr>
      <w:r w:rsidRPr="000E5D85">
        <w:rPr>
          <w:sz w:val="24"/>
        </w:rPr>
        <w:t xml:space="preserve">Antiespumantes à base de </w:t>
      </w:r>
      <w:proofErr w:type="spellStart"/>
      <w:r w:rsidRPr="000E5D85">
        <w:rPr>
          <w:sz w:val="24"/>
        </w:rPr>
        <w:t>siloxano</w:t>
      </w:r>
      <w:proofErr w:type="spellEnd"/>
      <w:r w:rsidRPr="000E5D85">
        <w:rPr>
          <w:sz w:val="24"/>
        </w:rPr>
        <w:t xml:space="preserve"> TEGO® </w:t>
      </w:r>
      <w:proofErr w:type="spellStart"/>
      <w:r w:rsidRPr="000E5D85">
        <w:rPr>
          <w:sz w:val="24"/>
        </w:rPr>
        <w:t>Foamex</w:t>
      </w:r>
      <w:proofErr w:type="spellEnd"/>
      <w:r w:rsidRPr="000E5D85">
        <w:rPr>
          <w:sz w:val="24"/>
        </w:rPr>
        <w:t xml:space="preserve"> 16 e TEGO® </w:t>
      </w:r>
      <w:proofErr w:type="spellStart"/>
      <w:r w:rsidRPr="000E5D85">
        <w:rPr>
          <w:sz w:val="24"/>
        </w:rPr>
        <w:t>Foamex</w:t>
      </w:r>
      <w:proofErr w:type="spellEnd"/>
      <w:r w:rsidRPr="000E5D85">
        <w:rPr>
          <w:sz w:val="24"/>
        </w:rPr>
        <w:t xml:space="preserve"> 11 para revestimentos arquitetônicos à base de água </w:t>
      </w:r>
    </w:p>
    <w:p w14:paraId="46DE243E" w14:textId="77777777" w:rsidR="000E5D85" w:rsidRDefault="000E5D85" w:rsidP="000E5D85">
      <w:pPr>
        <w:pStyle w:val="ListParagraph"/>
        <w:numPr>
          <w:ilvl w:val="0"/>
          <w:numId w:val="48"/>
        </w:numPr>
        <w:rPr>
          <w:sz w:val="24"/>
        </w:rPr>
      </w:pPr>
      <w:r w:rsidRPr="000E5D85">
        <w:rPr>
          <w:sz w:val="24"/>
        </w:rPr>
        <w:t xml:space="preserve">Definição do padrão de sustentabilidade: conteúdo cíclico, VOC e SVOC próximo de zero, de acordo com os padrões ambientais </w:t>
      </w:r>
    </w:p>
    <w:p w14:paraId="484D3BA4" w14:textId="6A34C458" w:rsidR="000E5D85" w:rsidRPr="000E5D85" w:rsidRDefault="000E5D85" w:rsidP="000E5D85">
      <w:pPr>
        <w:pStyle w:val="ListParagraph"/>
        <w:numPr>
          <w:ilvl w:val="0"/>
          <w:numId w:val="48"/>
        </w:numPr>
        <w:rPr>
          <w:sz w:val="24"/>
        </w:rPr>
      </w:pPr>
      <w:r w:rsidRPr="000E5D85">
        <w:rPr>
          <w:sz w:val="24"/>
        </w:rPr>
        <w:t xml:space="preserve">Alternativa aos antiespumantes à base de óleo mineral: TEGO® </w:t>
      </w:r>
      <w:proofErr w:type="spellStart"/>
      <w:r w:rsidRPr="000E5D85">
        <w:rPr>
          <w:sz w:val="24"/>
        </w:rPr>
        <w:t>Foamex</w:t>
      </w:r>
      <w:proofErr w:type="spellEnd"/>
      <w:r w:rsidRPr="000E5D85">
        <w:rPr>
          <w:sz w:val="24"/>
        </w:rPr>
        <w:t xml:space="preserve"> 16 contém 25% de </w:t>
      </w:r>
      <w:r w:rsidR="00253F1B">
        <w:rPr>
          <w:sz w:val="24"/>
        </w:rPr>
        <w:t>fonte renovável</w:t>
      </w:r>
    </w:p>
    <w:p w14:paraId="51AEA238" w14:textId="77777777" w:rsidR="000E5D85" w:rsidRDefault="000E5D85" w:rsidP="000E5D85"/>
    <w:p w14:paraId="7C8896EF" w14:textId="77777777" w:rsidR="000E5D85" w:rsidRDefault="000E5D85" w:rsidP="000E5D85"/>
    <w:p w14:paraId="578DE001" w14:textId="77777777" w:rsidR="00FB4A3E" w:rsidRDefault="000E5D85" w:rsidP="000E5D85">
      <w:r>
        <w:t xml:space="preserve">A Evonik Coating Additives tem o orgulho de apresentar dois antiespumantes inovadores, TEGO® </w:t>
      </w:r>
      <w:proofErr w:type="spellStart"/>
      <w:r>
        <w:t>Foamex</w:t>
      </w:r>
      <w:proofErr w:type="spellEnd"/>
      <w:r>
        <w:t xml:space="preserve"> 16 e TEGO® </w:t>
      </w:r>
      <w:proofErr w:type="spellStart"/>
      <w:r>
        <w:t>Foamex</w:t>
      </w:r>
      <w:proofErr w:type="spellEnd"/>
      <w:r>
        <w:t xml:space="preserve"> 11, na American </w:t>
      </w:r>
      <w:proofErr w:type="spellStart"/>
      <w:r>
        <w:t>Coatings</w:t>
      </w:r>
      <w:proofErr w:type="spellEnd"/>
      <w:r>
        <w:t xml:space="preserve"> Show 2024, de 30 de abril a 2 de maio, no Centro de Convenções de Indiana, em Indianápolis</w:t>
      </w:r>
      <w:r w:rsidR="00FB4A3E">
        <w:t xml:space="preserve"> (EUA)</w:t>
      </w:r>
      <w:r>
        <w:t xml:space="preserve">. Esses novos aditivos foram projetados para melhorar a sustentabilidade e o desempenho de revestimentos arquitetônicos à base de água. </w:t>
      </w:r>
    </w:p>
    <w:p w14:paraId="793F204F" w14:textId="77777777" w:rsidR="00FB4A3E" w:rsidRDefault="00FB4A3E" w:rsidP="000E5D85"/>
    <w:p w14:paraId="1E6FA937" w14:textId="77777777" w:rsidR="00FB4A3E" w:rsidRDefault="000E5D85" w:rsidP="000E5D85">
      <w:r>
        <w:t xml:space="preserve">O TEGO® </w:t>
      </w:r>
      <w:proofErr w:type="spellStart"/>
      <w:r>
        <w:t>Foamex</w:t>
      </w:r>
      <w:proofErr w:type="spellEnd"/>
      <w:r>
        <w:t xml:space="preserve"> 16 é um concentrado antiespumante à base de </w:t>
      </w:r>
      <w:proofErr w:type="spellStart"/>
      <w:r>
        <w:t>siloxano</w:t>
      </w:r>
      <w:proofErr w:type="spellEnd"/>
      <w:r>
        <w:t xml:space="preserve"> que oferece um equilíbrio excepcional de eficiência e compatibilidade de antiespumante, especialmente para revestimentos de PVC de baixa a média concentração. O TEGO® </w:t>
      </w:r>
      <w:proofErr w:type="spellStart"/>
      <w:r>
        <w:t>Foamex</w:t>
      </w:r>
      <w:proofErr w:type="spellEnd"/>
      <w:r>
        <w:t xml:space="preserve"> 11, uma emulsão antiespumante à base de </w:t>
      </w:r>
      <w:proofErr w:type="spellStart"/>
      <w:r>
        <w:t>siloxano</w:t>
      </w:r>
      <w:proofErr w:type="spellEnd"/>
      <w:r>
        <w:t xml:space="preserve">, é otimizado para revestimentos de alto PVC. Com 15% de ingrediente ativo, é uma alternativa altamente eficaz e mais ecológica aos antiespumantes tradicionais à base de óleo mineral. </w:t>
      </w:r>
    </w:p>
    <w:p w14:paraId="7A9D106A" w14:textId="77777777" w:rsidR="00FB4A3E" w:rsidRDefault="00FB4A3E" w:rsidP="000E5D85"/>
    <w:p w14:paraId="65B32020" w14:textId="4FC53790" w:rsidR="00FB4A3E" w:rsidRDefault="000E5D85" w:rsidP="000E5D85">
      <w:r>
        <w:t xml:space="preserve">Ambos os produtos demonstram o forte compromisso da Evonik com a responsabilidade ambiental, uma vez que apresentam baixíssimo teor de VOC e SVOC e não contêm solventes ou óleos minerais. Além disso, o TEGO® </w:t>
      </w:r>
      <w:proofErr w:type="spellStart"/>
      <w:r>
        <w:t>Foamex</w:t>
      </w:r>
      <w:proofErr w:type="spellEnd"/>
      <w:r>
        <w:t xml:space="preserve"> 16 contém 25% de material </w:t>
      </w:r>
      <w:r w:rsidR="00741697">
        <w:t>renovável</w:t>
      </w:r>
      <w:r>
        <w:t xml:space="preserve">, reduzindo o impacto ambiental de revestimentos e tintas sem sacrificar a qualidade ou o desempenho. </w:t>
      </w:r>
    </w:p>
    <w:p w14:paraId="090FE379" w14:textId="77777777" w:rsidR="00FB4A3E" w:rsidRDefault="00FB4A3E" w:rsidP="000E5D85"/>
    <w:p w14:paraId="3C46D11B" w14:textId="10B92FD6" w:rsidR="00607899" w:rsidRDefault="000E5D85" w:rsidP="00607899">
      <w:r>
        <w:lastRenderedPageBreak/>
        <w:t xml:space="preserve">Michael </w:t>
      </w:r>
      <w:proofErr w:type="spellStart"/>
      <w:r>
        <w:t>Zink</w:t>
      </w:r>
      <w:proofErr w:type="spellEnd"/>
      <w:r>
        <w:t xml:space="preserve">, </w:t>
      </w:r>
      <w:r w:rsidR="00607899">
        <w:t>responsável pela área</w:t>
      </w:r>
      <w:r>
        <w:t xml:space="preserve"> </w:t>
      </w:r>
      <w:proofErr w:type="spellStart"/>
      <w:r>
        <w:t>Coating</w:t>
      </w:r>
      <w:proofErr w:type="spellEnd"/>
      <w:r>
        <w:t xml:space="preserve"> </w:t>
      </w:r>
      <w:proofErr w:type="spellStart"/>
      <w:r>
        <w:t>Additives</w:t>
      </w:r>
      <w:proofErr w:type="spellEnd"/>
      <w:r>
        <w:t xml:space="preserve"> </w:t>
      </w:r>
      <w:proofErr w:type="spellStart"/>
      <w:r>
        <w:t>Americas</w:t>
      </w:r>
      <w:proofErr w:type="spellEnd"/>
      <w:r>
        <w:t xml:space="preserve"> </w:t>
      </w:r>
      <w:r w:rsidR="00607899">
        <w:t xml:space="preserve">da Evonik </w:t>
      </w:r>
      <w:r>
        <w:t>enfatiza</w:t>
      </w:r>
      <w:r w:rsidR="00FB4A3E">
        <w:t xml:space="preserve"> </w:t>
      </w:r>
      <w:r>
        <w:t xml:space="preserve">a importância desses novos produtos: "O lançamento de TEGO® </w:t>
      </w:r>
      <w:proofErr w:type="spellStart"/>
      <w:r>
        <w:t>Foamex</w:t>
      </w:r>
      <w:proofErr w:type="spellEnd"/>
      <w:r>
        <w:t xml:space="preserve"> 16 e TEGO® </w:t>
      </w:r>
      <w:proofErr w:type="spellStart"/>
      <w:r>
        <w:t>Foamex</w:t>
      </w:r>
      <w:proofErr w:type="spellEnd"/>
      <w:r>
        <w:t xml:space="preserve"> 11 mostra como a Evonik Coating Additives, juntamente com os nossos clientes, está liderando o caminho para revestimentos mais sustentáveis. Esses produtos atendem à crescente demanda por soluções sustentáveis que proporcionam um desempenho </w:t>
      </w:r>
      <w:r w:rsidR="00FB4A3E">
        <w:t>superior</w:t>
      </w:r>
      <w:r>
        <w:t xml:space="preserve">. </w:t>
      </w:r>
      <w:r w:rsidR="00607899">
        <w:t>Ao estabelecer um novo padrão industrial, demonstramos que é possível alcançar resultados excepcionais e ao mesmo tempo cumprir as mais rigorosas regulamentações ambientais”.</w:t>
      </w:r>
    </w:p>
    <w:p w14:paraId="03D0CD1B" w14:textId="77777777" w:rsidR="00607899" w:rsidRDefault="00607899" w:rsidP="00607899"/>
    <w:p w14:paraId="10EC646F" w14:textId="6DE9D41B" w:rsidR="00607899" w:rsidRDefault="00607899" w:rsidP="000E5D85">
      <w:r>
        <w:t xml:space="preserve">Os antiespumantes são componentes essenciais nas formulações de revestimentos porque previnem e eliminam a espuma durante os processos de fabricação, incorporação e aplicação. </w:t>
      </w:r>
      <w:r w:rsidR="000E5D85">
        <w:t xml:space="preserve">A espuma pode causar defeitos nos revestimentos, como </w:t>
      </w:r>
      <w:r>
        <w:t>bolhas</w:t>
      </w:r>
      <w:r w:rsidR="000E5D85">
        <w:t xml:space="preserve"> ou crateras, que comprometem as qualidades estéticas e de proteção do produto final. Os antiespumantes TEGO® </w:t>
      </w:r>
      <w:proofErr w:type="spellStart"/>
      <w:r w:rsidR="000E5D85">
        <w:t>Foamex</w:t>
      </w:r>
      <w:proofErr w:type="spellEnd"/>
      <w:r w:rsidR="000E5D85">
        <w:t xml:space="preserve"> foram projetados para enfrentar esses desafios de forma eficaz, garantindo um acabamento suave e perfeito e propriedades de aplicação ideais. </w:t>
      </w:r>
    </w:p>
    <w:p w14:paraId="3CF976F6" w14:textId="77777777" w:rsidR="00607899" w:rsidRDefault="00607899" w:rsidP="000E5D85"/>
    <w:p w14:paraId="7CB2BC0F" w14:textId="451EC90B" w:rsidR="00607899" w:rsidRDefault="000E5D85" w:rsidP="000E5D85">
      <w:r>
        <w:t xml:space="preserve">A Evonik convida clientes e parceiros do setor a visitar o estande 2030 na American </w:t>
      </w:r>
      <w:proofErr w:type="spellStart"/>
      <w:r>
        <w:t>Coatings</w:t>
      </w:r>
      <w:proofErr w:type="spellEnd"/>
      <w:r>
        <w:t xml:space="preserve"> Show 2024 para saber mais sobre o TEGO® </w:t>
      </w:r>
      <w:proofErr w:type="spellStart"/>
      <w:r>
        <w:t>Foamex</w:t>
      </w:r>
      <w:proofErr w:type="spellEnd"/>
      <w:r>
        <w:t xml:space="preserve"> 16 e o TEGO® </w:t>
      </w:r>
      <w:proofErr w:type="spellStart"/>
      <w:r>
        <w:t>Foamex</w:t>
      </w:r>
      <w:proofErr w:type="spellEnd"/>
      <w:r>
        <w:t xml:space="preserve"> 11, bem como sobre toda a gama de soluções e serviços que podem </w:t>
      </w:r>
      <w:r w:rsidR="00741697">
        <w:t>proporcionar um desempenho superior às formulações</w:t>
      </w:r>
      <w:r>
        <w:t xml:space="preserve">. </w:t>
      </w:r>
    </w:p>
    <w:p w14:paraId="555649F7" w14:textId="77777777" w:rsidR="00607899" w:rsidRDefault="00607899" w:rsidP="000E5D85"/>
    <w:p w14:paraId="6D2D4880" w14:textId="3FF7F2C1" w:rsidR="00607899" w:rsidRDefault="000E5D85" w:rsidP="000E5D85">
      <w:r>
        <w:t xml:space="preserve">A linha de negócios Coating Additives da Evonik fornece uma ampla gama de aditivos especiais para o setor de revestimentos e tintas. A empresa tem décadas de experiência em produtos pioneiros para uma série de mercados de revestimentos, incluindo </w:t>
      </w:r>
      <w:r w:rsidR="00741697">
        <w:t xml:space="preserve">os </w:t>
      </w:r>
      <w:r>
        <w:t>decorativos, industriais, automotivos e</w:t>
      </w:r>
      <w:r w:rsidR="00741697">
        <w:t xml:space="preserve"> de</w:t>
      </w:r>
      <w:r>
        <w:t xml:space="preserve"> tintas de impressão. </w:t>
      </w:r>
    </w:p>
    <w:p w14:paraId="1A95F23F" w14:textId="77777777" w:rsidR="00607899" w:rsidRDefault="00607899" w:rsidP="000E5D85"/>
    <w:p w14:paraId="6BA6ED54" w14:textId="7D435161" w:rsidR="000E5D85" w:rsidRDefault="000E5D85" w:rsidP="000E5D85">
      <w:r>
        <w:t>Para obter mais informações sobre a Evonik Coating Additives e o projeto de inovação, acesse: www.coating-additives.com</w:t>
      </w:r>
    </w:p>
    <w:p w14:paraId="51A206FA" w14:textId="77777777" w:rsidR="000E5D85" w:rsidRDefault="000E5D85" w:rsidP="000E5D85"/>
    <w:p w14:paraId="46D66C92" w14:textId="77777777" w:rsidR="0087757B" w:rsidRDefault="0087757B" w:rsidP="000E5D85"/>
    <w:p w14:paraId="20285446" w14:textId="77777777" w:rsidR="0087757B" w:rsidRDefault="0087757B" w:rsidP="000E5D85"/>
    <w:p w14:paraId="655B27E3" w14:textId="77777777" w:rsidR="000E5D85" w:rsidRPr="00D919B4" w:rsidRDefault="000E5D85" w:rsidP="00E74885">
      <w:pPr>
        <w:spacing w:line="240" w:lineRule="auto"/>
      </w:pPr>
    </w:p>
    <w:p w14:paraId="3CA99159" w14:textId="77777777" w:rsidR="00E74885" w:rsidRPr="006B657B" w:rsidRDefault="00E74885" w:rsidP="00E74885">
      <w:pPr>
        <w:spacing w:line="220" w:lineRule="exact"/>
        <w:outlineLvl w:val="0"/>
        <w:rPr>
          <w:rFonts w:eastAsia="Lucida Sans Unicode" w:cs="Lucida Sans Unicode"/>
          <w:b/>
          <w:sz w:val="18"/>
          <w:szCs w:val="18"/>
          <w:bdr w:val="nil"/>
        </w:rPr>
      </w:pPr>
      <w:r w:rsidRPr="006B657B">
        <w:rPr>
          <w:rFonts w:eastAsia="Lucida Sans Unicode" w:cs="Lucida Sans Unicode"/>
          <w:b/>
          <w:sz w:val="18"/>
          <w:szCs w:val="18"/>
          <w:bdr w:val="nil"/>
        </w:rPr>
        <w:lastRenderedPageBreak/>
        <w:t>Informações da Empresa</w:t>
      </w:r>
    </w:p>
    <w:p w14:paraId="5039CE8F" w14:textId="77777777" w:rsidR="00E74885" w:rsidRPr="0087757B" w:rsidRDefault="00E74885" w:rsidP="00E74885">
      <w:pPr>
        <w:spacing w:line="220" w:lineRule="exact"/>
        <w:outlineLvl w:val="0"/>
        <w:rPr>
          <w:rFonts w:cs="Lucida Sans Unicode"/>
          <w:bCs/>
          <w:noProof/>
          <w:sz w:val="18"/>
          <w:szCs w:val="18"/>
        </w:rPr>
      </w:pPr>
      <w:r w:rsidRPr="0087757B">
        <w:rPr>
          <w:rFonts w:eastAsia="Lucida Sans Unicode" w:cs="Lucida Sans Unicode"/>
          <w:bCs/>
          <w:sz w:val="18"/>
          <w:szCs w:val="18"/>
          <w:bdr w:val="nil"/>
        </w:rPr>
        <w:t xml:space="preserve">A Evonik é uma das líderes mundiais em especialidades químicas. A empresa atua em mais de 100 países no mundo inteiro. Em 2023, registrou vendas de 15,3 bilhões de euros e um lucro operacional (EBITDA ajustado) de 1,66 bilhão de euros. A Evonik vai muito além da química para criar soluções inovadoras, lucrativas e sustentáveis para seus clientes. Mais de 33.000 colaboradores trabalham juntos em prol de um objetivo comum: melhorar a vida das pessoas hoje e no futuro. </w:t>
      </w:r>
    </w:p>
    <w:p w14:paraId="6BBE07BD" w14:textId="77777777" w:rsidR="00E74885" w:rsidRPr="0087757B" w:rsidRDefault="00E74885" w:rsidP="00E74885">
      <w:pPr>
        <w:spacing w:line="220" w:lineRule="exact"/>
        <w:jc w:val="both"/>
        <w:outlineLvl w:val="0"/>
        <w:rPr>
          <w:bCs/>
          <w:sz w:val="18"/>
          <w:szCs w:val="18"/>
        </w:rPr>
      </w:pPr>
    </w:p>
    <w:p w14:paraId="2EE82B0C" w14:textId="1CFB427C" w:rsidR="005962F5" w:rsidRPr="0087757B" w:rsidRDefault="005962F5" w:rsidP="000E5D85">
      <w:pPr>
        <w:spacing w:line="220" w:lineRule="exact"/>
        <w:jc w:val="both"/>
        <w:outlineLvl w:val="0"/>
        <w:rPr>
          <w:bCs/>
          <w:sz w:val="18"/>
          <w:szCs w:val="18"/>
        </w:rPr>
      </w:pPr>
    </w:p>
    <w:p w14:paraId="4F8FB46B" w14:textId="77777777" w:rsidR="000E5D85" w:rsidRPr="000E5D85" w:rsidRDefault="000E5D85" w:rsidP="00607899">
      <w:pPr>
        <w:spacing w:line="220" w:lineRule="exact"/>
        <w:outlineLvl w:val="0"/>
        <w:rPr>
          <w:b/>
          <w:bCs/>
          <w:sz w:val="18"/>
          <w:szCs w:val="18"/>
        </w:rPr>
      </w:pPr>
      <w:r w:rsidRPr="000E5D85">
        <w:rPr>
          <w:b/>
          <w:bCs/>
          <w:sz w:val="18"/>
          <w:szCs w:val="18"/>
        </w:rPr>
        <w:t xml:space="preserve">Sobre </w:t>
      </w:r>
      <w:proofErr w:type="spellStart"/>
      <w:r w:rsidRPr="000E5D85">
        <w:rPr>
          <w:b/>
          <w:bCs/>
          <w:sz w:val="18"/>
          <w:szCs w:val="18"/>
        </w:rPr>
        <w:t>Specialty</w:t>
      </w:r>
      <w:proofErr w:type="spellEnd"/>
      <w:r w:rsidRPr="000E5D85">
        <w:rPr>
          <w:b/>
          <w:bCs/>
          <w:sz w:val="18"/>
          <w:szCs w:val="18"/>
        </w:rPr>
        <w:t xml:space="preserve"> </w:t>
      </w:r>
      <w:proofErr w:type="spellStart"/>
      <w:r w:rsidRPr="000E5D85">
        <w:rPr>
          <w:b/>
          <w:bCs/>
          <w:sz w:val="18"/>
          <w:szCs w:val="18"/>
        </w:rPr>
        <w:t>Additives</w:t>
      </w:r>
      <w:proofErr w:type="spellEnd"/>
    </w:p>
    <w:p w14:paraId="1363857B" w14:textId="7991C608" w:rsidR="000E5D85" w:rsidRPr="0087757B" w:rsidRDefault="000E5D85" w:rsidP="00607899">
      <w:pPr>
        <w:spacing w:line="220" w:lineRule="exact"/>
        <w:outlineLvl w:val="0"/>
        <w:rPr>
          <w:sz w:val="18"/>
          <w:szCs w:val="18"/>
        </w:rPr>
      </w:pPr>
      <w:r w:rsidRPr="0087757B">
        <w:rPr>
          <w:sz w:val="18"/>
          <w:szCs w:val="18"/>
        </w:rPr>
        <w:t xml:space="preserve">A divisão </w:t>
      </w:r>
      <w:proofErr w:type="spellStart"/>
      <w:r w:rsidRPr="0087757B">
        <w:rPr>
          <w:sz w:val="18"/>
          <w:szCs w:val="18"/>
        </w:rPr>
        <w:t>Specialty</w:t>
      </w:r>
      <w:proofErr w:type="spellEnd"/>
      <w:r w:rsidRPr="0087757B">
        <w:rPr>
          <w:sz w:val="18"/>
          <w:szCs w:val="18"/>
        </w:rPr>
        <w:t xml:space="preserve"> </w:t>
      </w:r>
      <w:proofErr w:type="spellStart"/>
      <w:r w:rsidRPr="0087757B">
        <w:rPr>
          <w:sz w:val="18"/>
          <w:szCs w:val="18"/>
        </w:rPr>
        <w:t>Additives</w:t>
      </w:r>
      <w:proofErr w:type="spellEnd"/>
      <w:r w:rsidRPr="0087757B">
        <w:rPr>
          <w:sz w:val="18"/>
          <w:szCs w:val="18"/>
        </w:rPr>
        <w:t xml:space="preserve"> combina as atividades de </w:t>
      </w:r>
      <w:proofErr w:type="spellStart"/>
      <w:r w:rsidRPr="0087757B">
        <w:rPr>
          <w:sz w:val="18"/>
          <w:szCs w:val="18"/>
        </w:rPr>
        <w:t>crosslinkers</w:t>
      </w:r>
      <w:proofErr w:type="spellEnd"/>
      <w:r w:rsidRPr="0087757B">
        <w:rPr>
          <w:sz w:val="18"/>
          <w:szCs w:val="18"/>
        </w:rPr>
        <w:t xml:space="preserve">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w:t>
      </w:r>
      <w:r w:rsidR="00607899" w:rsidRPr="0087757B">
        <w:rPr>
          <w:sz w:val="18"/>
          <w:szCs w:val="18"/>
        </w:rPr>
        <w:t>5</w:t>
      </w:r>
      <w:r w:rsidRPr="0087757B">
        <w:rPr>
          <w:sz w:val="18"/>
          <w:szCs w:val="18"/>
        </w:rPr>
        <w:t>00 colaboradores, a divisão gerou vendas de cerca de 3,5 bilhões de euros em 2023.</w:t>
      </w:r>
    </w:p>
    <w:p w14:paraId="054F14B4" w14:textId="77777777" w:rsidR="000E5D85" w:rsidRPr="0087757B" w:rsidRDefault="000E5D85" w:rsidP="00607899">
      <w:pPr>
        <w:spacing w:line="220" w:lineRule="exact"/>
        <w:outlineLvl w:val="0"/>
        <w:rPr>
          <w:sz w:val="18"/>
          <w:szCs w:val="18"/>
        </w:rPr>
      </w:pPr>
    </w:p>
    <w:p w14:paraId="35BDE4CE" w14:textId="77777777" w:rsidR="000E5D85" w:rsidRPr="0087757B" w:rsidRDefault="000E5D85" w:rsidP="000E5D85">
      <w:pPr>
        <w:spacing w:line="220" w:lineRule="exact"/>
        <w:jc w:val="both"/>
        <w:outlineLvl w:val="0"/>
        <w:rPr>
          <w:sz w:val="18"/>
          <w:szCs w:val="18"/>
        </w:rPr>
      </w:pPr>
    </w:p>
    <w:p w14:paraId="5ECDFCBF" w14:textId="77777777" w:rsidR="00E74885" w:rsidRPr="00C40CC6" w:rsidRDefault="00E74885" w:rsidP="00E74885">
      <w:pPr>
        <w:spacing w:line="220" w:lineRule="exact"/>
        <w:jc w:val="both"/>
        <w:outlineLvl w:val="0"/>
        <w:rPr>
          <w:rFonts w:cs="Lucida Sans Unicode"/>
          <w:b/>
          <w:bCs/>
          <w:sz w:val="18"/>
          <w:szCs w:val="18"/>
        </w:rPr>
      </w:pPr>
      <w:r w:rsidRPr="00C40CC6">
        <w:rPr>
          <w:b/>
          <w:bCs/>
          <w:sz w:val="18"/>
          <w:szCs w:val="18"/>
        </w:rPr>
        <w:t xml:space="preserve">Ressalva: </w:t>
      </w:r>
    </w:p>
    <w:p w14:paraId="1F660AEC" w14:textId="77777777" w:rsidR="00E74885" w:rsidRPr="0087757B" w:rsidRDefault="00E74885" w:rsidP="00E74885">
      <w:pPr>
        <w:spacing w:line="220" w:lineRule="exact"/>
        <w:rPr>
          <w:rFonts w:eastAsia="Lucida Sans Unicode" w:cs="Lucida Sans Unicode"/>
          <w:bCs/>
          <w:sz w:val="18"/>
          <w:szCs w:val="18"/>
          <w:bdr w:val="nil"/>
        </w:rPr>
      </w:pPr>
      <w:r w:rsidRPr="0087757B">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8BDC9EA" w14:textId="77777777" w:rsidR="00E74885" w:rsidRPr="0087757B" w:rsidRDefault="00E74885" w:rsidP="00E74885">
      <w:pPr>
        <w:spacing w:line="220" w:lineRule="exact"/>
        <w:rPr>
          <w:rFonts w:eastAsia="Lucida Sans Unicode" w:cs="Lucida Sans Unicode"/>
          <w:bCs/>
          <w:sz w:val="18"/>
          <w:szCs w:val="18"/>
          <w:bdr w:val="nil"/>
        </w:rPr>
      </w:pPr>
    </w:p>
    <w:p w14:paraId="13F7E91B" w14:textId="77777777" w:rsidR="00E74885" w:rsidRPr="0087757B" w:rsidRDefault="00E74885" w:rsidP="00E74885">
      <w:pPr>
        <w:spacing w:line="220" w:lineRule="exact"/>
        <w:rPr>
          <w:rFonts w:eastAsia="Lucida Sans Unicode" w:cs="Lucida Sans Unicode"/>
          <w:bCs/>
          <w:sz w:val="18"/>
          <w:szCs w:val="18"/>
          <w:bdr w:val="nil"/>
        </w:rPr>
      </w:pPr>
    </w:p>
    <w:p w14:paraId="28B67525"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Evonik Brasil Ltda.</w:t>
      </w:r>
    </w:p>
    <w:p w14:paraId="7AB8D917"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Fone: (11) 3146-4100</w:t>
      </w:r>
    </w:p>
    <w:p w14:paraId="206D4097"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www.evonik.com.br</w:t>
      </w:r>
    </w:p>
    <w:p w14:paraId="1A53B6CD"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facebook.com/Evonik</w:t>
      </w:r>
    </w:p>
    <w:p w14:paraId="18989710"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instagram.com/</w:t>
      </w:r>
      <w:proofErr w:type="spellStart"/>
      <w:r w:rsidRPr="0087757B">
        <w:rPr>
          <w:rFonts w:cs="Lucida Sans Unicode"/>
          <w:bCs/>
          <w:sz w:val="18"/>
          <w:szCs w:val="18"/>
        </w:rPr>
        <w:t>Evonik.Brasil</w:t>
      </w:r>
      <w:proofErr w:type="spellEnd"/>
    </w:p>
    <w:p w14:paraId="30E80A52"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youtube.com/</w:t>
      </w:r>
      <w:proofErr w:type="spellStart"/>
      <w:r w:rsidRPr="0087757B">
        <w:rPr>
          <w:rFonts w:cs="Lucida Sans Unicode"/>
          <w:bCs/>
          <w:sz w:val="18"/>
          <w:szCs w:val="18"/>
        </w:rPr>
        <w:t>EvonikIndustries</w:t>
      </w:r>
      <w:proofErr w:type="spellEnd"/>
    </w:p>
    <w:p w14:paraId="50E0A688"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linkedin.com/company/Evonik</w:t>
      </w:r>
    </w:p>
    <w:p w14:paraId="556198D4"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twitter.com/</w:t>
      </w:r>
      <w:proofErr w:type="spellStart"/>
      <w:r w:rsidRPr="0087757B">
        <w:rPr>
          <w:rFonts w:cs="Lucida Sans Unicode"/>
          <w:bCs/>
          <w:sz w:val="18"/>
          <w:szCs w:val="18"/>
        </w:rPr>
        <w:t>Evonik</w:t>
      </w:r>
      <w:r w:rsidRPr="0087757B">
        <w:rPr>
          <w:rStyle w:val="Hyperlink"/>
          <w:rFonts w:cs="Lucida Sans Unicode"/>
          <w:bCs/>
          <w:sz w:val="18"/>
          <w:szCs w:val="18"/>
        </w:rPr>
        <w:t>_BR</w:t>
      </w:r>
      <w:proofErr w:type="spellEnd"/>
    </w:p>
    <w:p w14:paraId="1C30ECA9" w14:textId="77777777" w:rsidR="00E74885" w:rsidRPr="0087757B" w:rsidRDefault="00E74885" w:rsidP="00E74885">
      <w:pPr>
        <w:spacing w:line="220" w:lineRule="exact"/>
        <w:outlineLvl w:val="0"/>
        <w:rPr>
          <w:bCs/>
          <w:sz w:val="18"/>
          <w:szCs w:val="18"/>
        </w:rPr>
      </w:pPr>
    </w:p>
    <w:p w14:paraId="1BF3DB99" w14:textId="77777777" w:rsidR="00E74885" w:rsidRPr="0087757B" w:rsidRDefault="00E74885" w:rsidP="00E74885">
      <w:pPr>
        <w:spacing w:line="220" w:lineRule="exact"/>
        <w:rPr>
          <w:rFonts w:eastAsia="Lucida Sans Unicode" w:cs="Lucida Sans Unicode"/>
          <w:bCs/>
          <w:sz w:val="18"/>
          <w:szCs w:val="18"/>
          <w:bdr w:val="nil"/>
        </w:rPr>
      </w:pPr>
    </w:p>
    <w:p w14:paraId="753C4C01"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Informações para imprensa</w:t>
      </w:r>
    </w:p>
    <w:p w14:paraId="253CB0E2"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Via Pública Comunicação - www.viapublicacomunicacao.com.br</w:t>
      </w:r>
    </w:p>
    <w:p w14:paraId="245AA4F2"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Sheila Diez: (11) 3473.0255 - sheila@viapublicacomunicacao.com.br</w:t>
      </w:r>
    </w:p>
    <w:p w14:paraId="44769F65" w14:textId="77777777" w:rsidR="00E74885" w:rsidRPr="0087757B" w:rsidRDefault="00E74885" w:rsidP="00E74885">
      <w:pPr>
        <w:spacing w:line="240" w:lineRule="auto"/>
        <w:rPr>
          <w:rFonts w:cs="Lucida Sans Unicode"/>
          <w:bCs/>
          <w:sz w:val="18"/>
          <w:szCs w:val="18"/>
        </w:rPr>
      </w:pPr>
      <w:r w:rsidRPr="0087757B">
        <w:rPr>
          <w:rFonts w:cs="Lucida Sans Unicode"/>
          <w:bCs/>
          <w:sz w:val="18"/>
          <w:szCs w:val="18"/>
        </w:rPr>
        <w:t>Taís Augusto: (11) 3562.5555 - tais@viapublicacomunicacao.com.br</w:t>
      </w:r>
    </w:p>
    <w:p w14:paraId="0762EB03" w14:textId="77777777" w:rsidR="00E74885" w:rsidRPr="0087757B" w:rsidRDefault="00E74885" w:rsidP="00DE73B9">
      <w:pPr>
        <w:rPr>
          <w:rFonts w:cs="Arial"/>
          <w:bCs/>
          <w:kern w:val="28"/>
          <w:sz w:val="18"/>
          <w:szCs w:val="18"/>
        </w:rPr>
      </w:pPr>
    </w:p>
    <w:sectPr w:rsidR="00E74885" w:rsidRPr="0087757B" w:rsidSect="00AC6FE8">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49D3" w14:textId="77777777" w:rsidR="00D30100" w:rsidRDefault="00D30100">
      <w:pPr>
        <w:spacing w:line="240" w:lineRule="auto"/>
      </w:pPr>
      <w:r>
        <w:separator/>
      </w:r>
    </w:p>
  </w:endnote>
  <w:endnote w:type="continuationSeparator" w:id="0">
    <w:p w14:paraId="1DB22012" w14:textId="77777777" w:rsidR="00D30100" w:rsidRDefault="00D30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84F6" w14:textId="77777777" w:rsidR="00D30100" w:rsidRDefault="00D30100">
      <w:pPr>
        <w:spacing w:line="240" w:lineRule="auto"/>
      </w:pPr>
      <w:r>
        <w:separator/>
      </w:r>
    </w:p>
  </w:footnote>
  <w:footnote w:type="continuationSeparator" w:id="0">
    <w:p w14:paraId="102A8084" w14:textId="77777777" w:rsidR="00D30100" w:rsidRDefault="00D30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8E06C76"/>
    <w:multiLevelType w:val="hybridMultilevel"/>
    <w:tmpl w:val="D1F0A526"/>
    <w:lvl w:ilvl="0" w:tplc="BE2292C4">
      <w:numFmt w:val="bullet"/>
      <w:lvlText w:val="•"/>
      <w:lvlJc w:val="left"/>
      <w:pPr>
        <w:ind w:left="720" w:hanging="360"/>
      </w:pPr>
      <w:rPr>
        <w:rFonts w:ascii="Lucida Sans Unicode" w:eastAsia="Times New Roman" w:hAnsi="Lucida Sans Unicode"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0"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5" w15:restartNumberingAfterBreak="0">
    <w:nsid w:val="54D6514D"/>
    <w:multiLevelType w:val="hybridMultilevel"/>
    <w:tmpl w:val="96ACCB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984483C"/>
    <w:multiLevelType w:val="hybridMultilevel"/>
    <w:tmpl w:val="DCD2F2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2"/>
  </w:num>
  <w:num w:numId="13" w16cid:durableId="242419562">
    <w:abstractNumId w:val="20"/>
  </w:num>
  <w:num w:numId="14" w16cid:durableId="84541705">
    <w:abstractNumId w:val="10"/>
  </w:num>
  <w:num w:numId="15" w16cid:durableId="925114115">
    <w:abstractNumId w:val="31"/>
  </w:num>
  <w:num w:numId="16" w16cid:durableId="719208808">
    <w:abstractNumId w:val="30"/>
  </w:num>
  <w:num w:numId="17" w16cid:durableId="835731004">
    <w:abstractNumId w:val="12"/>
  </w:num>
  <w:num w:numId="18" w16cid:durableId="293827327">
    <w:abstractNumId w:val="15"/>
  </w:num>
  <w:num w:numId="19" w16cid:durableId="1404134852">
    <w:abstractNumId w:val="22"/>
  </w:num>
  <w:num w:numId="20" w16cid:durableId="153491856">
    <w:abstractNumId w:val="20"/>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4"/>
  </w:num>
  <w:num w:numId="33" w16cid:durableId="1155030672">
    <w:abstractNumId w:val="21"/>
  </w:num>
  <w:num w:numId="34" w16cid:durableId="1337995297">
    <w:abstractNumId w:val="11"/>
  </w:num>
  <w:num w:numId="35" w16cid:durableId="2139637395">
    <w:abstractNumId w:val="11"/>
  </w:num>
  <w:num w:numId="36" w16cid:durableId="553006827">
    <w:abstractNumId w:val="24"/>
  </w:num>
  <w:num w:numId="37" w16cid:durableId="1551264808">
    <w:abstractNumId w:val="13"/>
  </w:num>
  <w:num w:numId="38" w16cid:durableId="2016414093">
    <w:abstractNumId w:val="28"/>
  </w:num>
  <w:num w:numId="39" w16cid:durableId="580288409">
    <w:abstractNumId w:val="27"/>
  </w:num>
  <w:num w:numId="40" w16cid:durableId="1326710877">
    <w:abstractNumId w:val="26"/>
  </w:num>
  <w:num w:numId="41" w16cid:durableId="282620082">
    <w:abstractNumId w:val="18"/>
  </w:num>
  <w:num w:numId="42" w16cid:durableId="1003554601">
    <w:abstractNumId w:val="23"/>
  </w:num>
  <w:num w:numId="43" w16cid:durableId="2117482139">
    <w:abstractNumId w:val="14"/>
  </w:num>
  <w:num w:numId="44" w16cid:durableId="39718626">
    <w:abstractNumId w:val="17"/>
  </w:num>
  <w:num w:numId="45" w16cid:durableId="2087260759">
    <w:abstractNumId w:val="19"/>
  </w:num>
  <w:num w:numId="46" w16cid:durableId="1222911267">
    <w:abstractNumId w:val="29"/>
  </w:num>
  <w:num w:numId="47" w16cid:durableId="2013682936">
    <w:abstractNumId w:val="16"/>
  </w:num>
  <w:num w:numId="48" w16cid:durableId="170607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742B4"/>
    <w:rsid w:val="000766C6"/>
    <w:rsid w:val="00082242"/>
    <w:rsid w:val="00082D2C"/>
    <w:rsid w:val="00084555"/>
    <w:rsid w:val="00086556"/>
    <w:rsid w:val="00092F83"/>
    <w:rsid w:val="000A0DDB"/>
    <w:rsid w:val="000A4EB6"/>
    <w:rsid w:val="000B4D73"/>
    <w:rsid w:val="000C3225"/>
    <w:rsid w:val="000C32C8"/>
    <w:rsid w:val="000C7CBD"/>
    <w:rsid w:val="000D081A"/>
    <w:rsid w:val="000D1DD8"/>
    <w:rsid w:val="000D7DF9"/>
    <w:rsid w:val="000E06AB"/>
    <w:rsid w:val="000E2184"/>
    <w:rsid w:val="000E5D85"/>
    <w:rsid w:val="000F70A3"/>
    <w:rsid w:val="000F7816"/>
    <w:rsid w:val="00103837"/>
    <w:rsid w:val="00124443"/>
    <w:rsid w:val="00125BBC"/>
    <w:rsid w:val="0014346F"/>
    <w:rsid w:val="00146ADE"/>
    <w:rsid w:val="00152126"/>
    <w:rsid w:val="00162B4B"/>
    <w:rsid w:val="001631E8"/>
    <w:rsid w:val="00165932"/>
    <w:rsid w:val="00166485"/>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3F2"/>
    <w:rsid w:val="001D0F3F"/>
    <w:rsid w:val="001E2D6F"/>
    <w:rsid w:val="001F7C26"/>
    <w:rsid w:val="00211E92"/>
    <w:rsid w:val="00221C32"/>
    <w:rsid w:val="00230F6B"/>
    <w:rsid w:val="002376F7"/>
    <w:rsid w:val="00241B78"/>
    <w:rsid w:val="002427AA"/>
    <w:rsid w:val="0024351A"/>
    <w:rsid w:val="0024351E"/>
    <w:rsid w:val="00243912"/>
    <w:rsid w:val="002527E3"/>
    <w:rsid w:val="00253F1B"/>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3F55"/>
    <w:rsid w:val="0032793B"/>
    <w:rsid w:val="00327FAD"/>
    <w:rsid w:val="00345B60"/>
    <w:rsid w:val="003508E4"/>
    <w:rsid w:val="00350CE3"/>
    <w:rsid w:val="00356519"/>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65D3"/>
    <w:rsid w:val="00536032"/>
    <w:rsid w:val="00536E02"/>
    <w:rsid w:val="00537A93"/>
    <w:rsid w:val="00545FF8"/>
    <w:rsid w:val="0055006B"/>
    <w:rsid w:val="00552ADA"/>
    <w:rsid w:val="00553F54"/>
    <w:rsid w:val="0057548A"/>
    <w:rsid w:val="00582643"/>
    <w:rsid w:val="00582C0E"/>
    <w:rsid w:val="00583E3E"/>
    <w:rsid w:val="00587C52"/>
    <w:rsid w:val="005962F5"/>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07899"/>
    <w:rsid w:val="0060795E"/>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0095"/>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1697"/>
    <w:rsid w:val="00742651"/>
    <w:rsid w:val="00744FA6"/>
    <w:rsid w:val="00763004"/>
    <w:rsid w:val="007676DC"/>
    <w:rsid w:val="00770879"/>
    <w:rsid w:val="007733D3"/>
    <w:rsid w:val="00775D2E"/>
    <w:rsid w:val="007767AB"/>
    <w:rsid w:val="00784360"/>
    <w:rsid w:val="00793061"/>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1A71"/>
    <w:rsid w:val="00870B88"/>
    <w:rsid w:val="0087757B"/>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2A3D"/>
    <w:rsid w:val="00966112"/>
    <w:rsid w:val="00971345"/>
    <w:rsid w:val="00972915"/>
    <w:rsid w:val="00972ED9"/>
    <w:rsid w:val="009752DC"/>
    <w:rsid w:val="0097547F"/>
    <w:rsid w:val="0097723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A394F"/>
    <w:rsid w:val="00AB26DD"/>
    <w:rsid w:val="00AB63EA"/>
    <w:rsid w:val="00AC052D"/>
    <w:rsid w:val="00AC2229"/>
    <w:rsid w:val="00AC6FE8"/>
    <w:rsid w:val="00AD4B8F"/>
    <w:rsid w:val="00AE3848"/>
    <w:rsid w:val="00AE601F"/>
    <w:rsid w:val="00AF0606"/>
    <w:rsid w:val="00AF64AA"/>
    <w:rsid w:val="00AF6529"/>
    <w:rsid w:val="00AF7D27"/>
    <w:rsid w:val="00B044B0"/>
    <w:rsid w:val="00B175C1"/>
    <w:rsid w:val="00B2025B"/>
    <w:rsid w:val="00B277D3"/>
    <w:rsid w:val="00B31D5A"/>
    <w:rsid w:val="00B41650"/>
    <w:rsid w:val="00B46A33"/>
    <w:rsid w:val="00B51242"/>
    <w:rsid w:val="00B5137F"/>
    <w:rsid w:val="00B513BC"/>
    <w:rsid w:val="00B56705"/>
    <w:rsid w:val="00B60308"/>
    <w:rsid w:val="00B64EAD"/>
    <w:rsid w:val="00B656C6"/>
    <w:rsid w:val="00B73500"/>
    <w:rsid w:val="00B75CA9"/>
    <w:rsid w:val="00B76E89"/>
    <w:rsid w:val="00B811DE"/>
    <w:rsid w:val="00B8368E"/>
    <w:rsid w:val="00B9317E"/>
    <w:rsid w:val="00B931DD"/>
    <w:rsid w:val="00B933CE"/>
    <w:rsid w:val="00BA41A7"/>
    <w:rsid w:val="00BA4C6A"/>
    <w:rsid w:val="00BA584D"/>
    <w:rsid w:val="00BA7130"/>
    <w:rsid w:val="00BB2147"/>
    <w:rsid w:val="00BC1B97"/>
    <w:rsid w:val="00BC1D7E"/>
    <w:rsid w:val="00BC2142"/>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35E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A72F1"/>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0100"/>
    <w:rsid w:val="00D37F3A"/>
    <w:rsid w:val="00D46695"/>
    <w:rsid w:val="00D46B4F"/>
    <w:rsid w:val="00D46B68"/>
    <w:rsid w:val="00D46DAB"/>
    <w:rsid w:val="00D50B3E"/>
    <w:rsid w:val="00D5275A"/>
    <w:rsid w:val="00D571CA"/>
    <w:rsid w:val="00D60C11"/>
    <w:rsid w:val="00D630D8"/>
    <w:rsid w:val="00D669F5"/>
    <w:rsid w:val="00D67BE8"/>
    <w:rsid w:val="00D70539"/>
    <w:rsid w:val="00D72A07"/>
    <w:rsid w:val="00D81410"/>
    <w:rsid w:val="00D83F4F"/>
    <w:rsid w:val="00D84239"/>
    <w:rsid w:val="00D90774"/>
    <w:rsid w:val="00D95388"/>
    <w:rsid w:val="00D96E04"/>
    <w:rsid w:val="00DA5029"/>
    <w:rsid w:val="00DB3E3C"/>
    <w:rsid w:val="00DC1267"/>
    <w:rsid w:val="00DC1494"/>
    <w:rsid w:val="00DC3D7B"/>
    <w:rsid w:val="00DD23E6"/>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74885"/>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B4A3E"/>
    <w:rsid w:val="00FC641F"/>
    <w:rsid w:val="00FC7A2A"/>
    <w:rsid w:val="00FD0461"/>
    <w:rsid w:val="00FD06B2"/>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styleId="z-TopofForm">
    <w:name w:val="HTML Top of Form"/>
    <w:basedOn w:val="Normal"/>
    <w:next w:val="Normal"/>
    <w:link w:val="z-TopofForm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http://www.w3.org/XML/1998/namespace"/>
    <ds:schemaRef ds:uri="http://schemas.microsoft.com/office/2006/documentManagement/types"/>
    <ds:schemaRef ds:uri="http://purl.org/dc/dcmitype/"/>
    <ds:schemaRef ds:uri="http://purl.org/dc/elements/1.1/"/>
    <ds:schemaRef ds:uri="975ba0ad-2743-46d6-a51d-86035555cdd3"/>
    <ds:schemaRef ds:uri="http://schemas.microsoft.com/office/infopath/2007/PartnerControls"/>
    <ds:schemaRef ds:uri="http://schemas.openxmlformats.org/package/2006/metadata/core-properties"/>
    <ds:schemaRef ds:uri="5aa82502-32e2-449a-ab91-8687627c3bc2"/>
    <ds:schemaRef ds:uri="http://schemas.microsoft.com/office/2006/metadata/properties"/>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4814</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Release Internacional TEGO Foamex 16 e 11</dc:subject>
  <dc:creator>Taís Augusto</dc:creator>
  <cp:keywords/>
  <dc:description>Abril 2024</dc:description>
  <cp:lastModifiedBy>Cabrera, Guilherme</cp:lastModifiedBy>
  <cp:revision>6</cp:revision>
  <cp:lastPrinted>2024-04-25T14:35:00Z</cp:lastPrinted>
  <dcterms:created xsi:type="dcterms:W3CDTF">2024-04-11T19:37:00Z</dcterms:created>
  <dcterms:modified xsi:type="dcterms:W3CDTF">2024-04-25T14:35:00Z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