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069E" w14:textId="77777777" w:rsidR="001D4AEC" w:rsidRPr="00292C85" w:rsidRDefault="00292C85" w:rsidP="00292C85">
      <w:pPr>
        <w:widowControl w:val="0"/>
        <w:overflowPunct w:val="0"/>
        <w:autoSpaceDE w:val="0"/>
        <w:autoSpaceDN w:val="0"/>
        <w:adjustRightInd w:val="0"/>
        <w:spacing w:line="182" w:lineRule="auto"/>
        <w:ind w:right="840"/>
        <w:rPr>
          <w:rFonts w:cs="Arial"/>
          <w:b/>
          <w:bCs/>
          <w:kern w:val="28"/>
          <w:sz w:val="24"/>
          <w:szCs w:val="32"/>
          <w:lang w:val="pt-BR"/>
        </w:rPr>
      </w:pPr>
      <w:bookmarkStart w:id="0" w:name="_Int_q3zN2eWu"/>
      <w:r w:rsidRPr="00292C85">
        <w:rPr>
          <w:rFonts w:cs="Arial"/>
          <w:b/>
          <w:bCs/>
          <w:kern w:val="28"/>
          <w:sz w:val="24"/>
          <w:szCs w:val="32"/>
          <w:lang w:val="pt-BR"/>
        </w:rPr>
        <w:t>Primeiro trimestre da Evonik supera expectativas</w:t>
      </w:r>
      <w:r>
        <w:rPr>
          <w:rFonts w:cs="Arial"/>
          <w:b/>
          <w:bCs/>
          <w:kern w:val="28"/>
          <w:sz w:val="24"/>
          <w:szCs w:val="32"/>
          <w:lang w:val="pt-BR"/>
        </w:rPr>
        <w:t>:</w:t>
      </w:r>
      <w:r w:rsidRPr="00292C85">
        <w:rPr>
          <w:rFonts w:cs="Arial"/>
          <w:b/>
          <w:bCs/>
          <w:kern w:val="28"/>
          <w:sz w:val="24"/>
          <w:szCs w:val="32"/>
          <w:lang w:val="pt-BR"/>
        </w:rPr>
        <w:t xml:space="preserve">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D4AEC" w:rsidRPr="008D6C5B" w14:paraId="5004EC0E" w14:textId="77777777" w:rsidTr="005307D3">
        <w:trPr>
          <w:trHeight w:val="851"/>
        </w:trPr>
        <w:tc>
          <w:tcPr>
            <w:tcW w:w="2552" w:type="dxa"/>
            <w:shd w:val="clear" w:color="auto" w:fill="auto"/>
          </w:tcPr>
          <w:p w14:paraId="3A7C8715" w14:textId="17CE8454" w:rsidR="001D4AEC" w:rsidRPr="008D6C5B" w:rsidRDefault="001D4AEC" w:rsidP="005307D3">
            <w:pPr>
              <w:pStyle w:val="M7"/>
              <w:framePr w:wrap="auto" w:vAnchor="margin" w:hAnchor="text" w:xAlign="left" w:yAlign="inline"/>
              <w:suppressOverlap w:val="0"/>
              <w:rPr>
                <w:b w:val="0"/>
                <w:sz w:val="18"/>
                <w:szCs w:val="18"/>
                <w:lang w:val="pt-BR"/>
              </w:rPr>
            </w:pPr>
            <w:r>
              <w:rPr>
                <w:b w:val="0"/>
                <w:sz w:val="18"/>
                <w:szCs w:val="18"/>
                <w:lang w:val="pt-BR"/>
              </w:rPr>
              <w:t xml:space="preserve">27 </w:t>
            </w:r>
            <w:r w:rsidRPr="008D6C5B">
              <w:rPr>
                <w:b w:val="0"/>
                <w:sz w:val="18"/>
                <w:szCs w:val="18"/>
                <w:lang w:val="pt-BR"/>
              </w:rPr>
              <w:t xml:space="preserve">de </w:t>
            </w:r>
            <w:r>
              <w:rPr>
                <w:b w:val="0"/>
                <w:sz w:val="18"/>
                <w:szCs w:val="18"/>
                <w:lang w:val="pt-BR"/>
              </w:rPr>
              <w:t xml:space="preserve">maio </w:t>
            </w:r>
            <w:r w:rsidRPr="008D6C5B">
              <w:rPr>
                <w:b w:val="0"/>
                <w:sz w:val="18"/>
                <w:szCs w:val="18"/>
                <w:lang w:val="pt-BR"/>
              </w:rPr>
              <w:t>de 202</w:t>
            </w:r>
            <w:r>
              <w:rPr>
                <w:b w:val="0"/>
                <w:sz w:val="18"/>
                <w:szCs w:val="18"/>
                <w:lang w:val="pt-BR"/>
              </w:rPr>
              <w:t>4</w:t>
            </w:r>
          </w:p>
          <w:p w14:paraId="5657067F" w14:textId="77777777" w:rsidR="001D4AEC" w:rsidRPr="008D6C5B" w:rsidRDefault="001D4AEC" w:rsidP="005307D3">
            <w:pPr>
              <w:pStyle w:val="M7"/>
              <w:framePr w:wrap="auto" w:vAnchor="margin" w:hAnchor="text" w:xAlign="left" w:yAlign="inline"/>
              <w:suppressOverlap w:val="0"/>
              <w:rPr>
                <w:lang w:val="pt-BR"/>
              </w:rPr>
            </w:pPr>
          </w:p>
          <w:p w14:paraId="63A1161E" w14:textId="77777777" w:rsidR="001D4AEC" w:rsidRPr="008D6C5B" w:rsidRDefault="001D4AEC" w:rsidP="005307D3">
            <w:pPr>
              <w:pStyle w:val="M7"/>
              <w:framePr w:wrap="auto" w:vAnchor="margin" w:hAnchor="text" w:xAlign="left" w:yAlign="inline"/>
              <w:suppressOverlap w:val="0"/>
              <w:rPr>
                <w:lang w:val="pt-BR"/>
              </w:rPr>
            </w:pPr>
          </w:p>
          <w:p w14:paraId="35DA70E3" w14:textId="77777777" w:rsidR="001D4AEC" w:rsidRPr="008D6C5B" w:rsidRDefault="001D4AEC" w:rsidP="005307D3">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18299533" w14:textId="77777777" w:rsidR="001D4AEC" w:rsidRPr="008D6C5B" w:rsidRDefault="001D4AEC" w:rsidP="005307D3">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0E4D8C1D" w14:textId="77777777" w:rsidR="001D4AEC" w:rsidRPr="008D6C5B" w:rsidRDefault="001D4AEC" w:rsidP="005307D3">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1D4AEC" w:rsidRPr="008D6C5B" w14:paraId="35104453" w14:textId="77777777" w:rsidTr="005307D3">
        <w:trPr>
          <w:trHeight w:val="851"/>
        </w:trPr>
        <w:tc>
          <w:tcPr>
            <w:tcW w:w="2552" w:type="dxa"/>
            <w:shd w:val="clear" w:color="auto" w:fill="auto"/>
          </w:tcPr>
          <w:p w14:paraId="67E0C5C7" w14:textId="77777777" w:rsidR="001D4AEC" w:rsidRPr="008D6C5B" w:rsidRDefault="001D4AEC" w:rsidP="005307D3">
            <w:pPr>
              <w:pStyle w:val="M10"/>
              <w:framePr w:wrap="auto" w:vAnchor="margin" w:hAnchor="text" w:xAlign="left" w:yAlign="inline"/>
              <w:suppressOverlap w:val="0"/>
              <w:rPr>
                <w:lang w:val="pt-BR"/>
              </w:rPr>
            </w:pPr>
          </w:p>
        </w:tc>
      </w:tr>
    </w:tbl>
    <w:p w14:paraId="0CB1C70E" w14:textId="7BC69A4A" w:rsidR="00292C85" w:rsidRDefault="00292C85" w:rsidP="00292C85">
      <w:pPr>
        <w:widowControl w:val="0"/>
        <w:overflowPunct w:val="0"/>
        <w:autoSpaceDE w:val="0"/>
        <w:autoSpaceDN w:val="0"/>
        <w:adjustRightInd w:val="0"/>
        <w:spacing w:line="182" w:lineRule="auto"/>
        <w:ind w:right="840"/>
        <w:rPr>
          <w:rFonts w:ascii="Times New Roman" w:hAnsi="Times New Roman"/>
        </w:rPr>
      </w:pPr>
      <w:r w:rsidRPr="00292C85">
        <w:rPr>
          <w:rFonts w:cs="Arial"/>
          <w:b/>
          <w:bCs/>
          <w:kern w:val="28"/>
          <w:sz w:val="24"/>
          <w:szCs w:val="32"/>
          <w:lang w:val="pt-BR"/>
        </w:rPr>
        <w:t xml:space="preserve">confirmada </w:t>
      </w:r>
      <w:r>
        <w:rPr>
          <w:rFonts w:cs="Arial"/>
          <w:b/>
          <w:bCs/>
          <w:kern w:val="28"/>
          <w:sz w:val="24"/>
          <w:szCs w:val="32"/>
          <w:lang w:val="pt-BR"/>
        </w:rPr>
        <w:t xml:space="preserve">a </w:t>
      </w:r>
      <w:r w:rsidRPr="00292C85">
        <w:rPr>
          <w:rFonts w:cs="Arial"/>
          <w:b/>
          <w:bCs/>
          <w:kern w:val="28"/>
          <w:sz w:val="24"/>
          <w:szCs w:val="32"/>
          <w:lang w:val="pt-BR"/>
        </w:rPr>
        <w:t xml:space="preserve">projeção de resultados </w:t>
      </w:r>
    </w:p>
    <w:p w14:paraId="2486A1C2" w14:textId="1B2E2234" w:rsidR="003D3082" w:rsidRPr="00292C85" w:rsidRDefault="003D3082" w:rsidP="003D3082">
      <w:pPr>
        <w:pStyle w:val="Title"/>
      </w:pPr>
    </w:p>
    <w:p w14:paraId="5BF8572E" w14:textId="77777777" w:rsidR="003D3082" w:rsidRPr="00292C85" w:rsidRDefault="003D3082" w:rsidP="003D3082">
      <w:pPr>
        <w:rPr>
          <w:rFonts w:cs="Lucida Sans Unicode"/>
          <w:b/>
          <w:bCs/>
          <w:szCs w:val="22"/>
        </w:rPr>
      </w:pPr>
    </w:p>
    <w:p w14:paraId="6E281827" w14:textId="01A15A40" w:rsidR="00AF152A" w:rsidRPr="00B52613" w:rsidRDefault="00AF152A" w:rsidP="00AF152A">
      <w:pPr>
        <w:widowControl w:val="0"/>
        <w:numPr>
          <w:ilvl w:val="0"/>
          <w:numId w:val="33"/>
        </w:numPr>
        <w:tabs>
          <w:tab w:val="clear" w:pos="720"/>
          <w:tab w:val="num" w:pos="360"/>
        </w:tabs>
        <w:overflowPunct w:val="0"/>
        <w:autoSpaceDE w:val="0"/>
        <w:autoSpaceDN w:val="0"/>
        <w:adjustRightInd w:val="0"/>
        <w:spacing w:line="195" w:lineRule="auto"/>
        <w:ind w:left="360" w:hanging="359"/>
        <w:jc w:val="both"/>
        <w:rPr>
          <w:rFonts w:cs="Lucida Sans Unicode"/>
          <w:lang w:val="pt-BR"/>
        </w:rPr>
      </w:pPr>
      <w:r w:rsidRPr="00BE42AE">
        <w:rPr>
          <w:rFonts w:eastAsia="Lucida Sans Unicode" w:cs="Lucida Sans Unicode"/>
          <w:sz w:val="24"/>
          <w:bdr w:val="nil"/>
          <w:lang w:val="pt-BR" w:eastAsia="pt-BR"/>
        </w:rPr>
        <w:t xml:space="preserve">Números preliminares validados: aumento de 28% no EBITDA ajustado, atingindo 522 milhões de euros no primeiro trimestre </w:t>
      </w:r>
    </w:p>
    <w:p w14:paraId="133390E6" w14:textId="22D84575" w:rsidR="00AF152A" w:rsidRPr="00B52613" w:rsidRDefault="00AF152A" w:rsidP="00AF152A">
      <w:pPr>
        <w:widowControl w:val="0"/>
        <w:numPr>
          <w:ilvl w:val="0"/>
          <w:numId w:val="33"/>
        </w:numPr>
        <w:tabs>
          <w:tab w:val="clear" w:pos="720"/>
          <w:tab w:val="num" w:pos="340"/>
        </w:tabs>
        <w:overflowPunct w:val="0"/>
        <w:autoSpaceDE w:val="0"/>
        <w:autoSpaceDN w:val="0"/>
        <w:adjustRightInd w:val="0"/>
        <w:spacing w:line="195" w:lineRule="auto"/>
        <w:ind w:left="340" w:hanging="339"/>
        <w:jc w:val="both"/>
        <w:rPr>
          <w:rFonts w:cs="Lucida Sans Unicode"/>
          <w:lang w:val="pt-BR"/>
        </w:rPr>
      </w:pPr>
      <w:r>
        <w:rPr>
          <w:rFonts w:eastAsia="Lucida Sans Unicode" w:cs="Lucida Sans Unicode"/>
          <w:sz w:val="24"/>
          <w:bdr w:val="nil"/>
          <w:lang w:val="pt-BR" w:eastAsia="pt-BR"/>
        </w:rPr>
        <w:t xml:space="preserve">Robusto fluxo de caixa livre de </w:t>
      </w:r>
      <w:r w:rsidR="00E0288E">
        <w:rPr>
          <w:rFonts w:eastAsia="Lucida Sans Unicode" w:cs="Lucida Sans Unicode"/>
          <w:sz w:val="24"/>
          <w:bdr w:val="nil"/>
          <w:lang w:val="pt-BR" w:eastAsia="pt-BR"/>
        </w:rPr>
        <w:t>1</w:t>
      </w:r>
      <w:r>
        <w:rPr>
          <w:rFonts w:eastAsia="Lucida Sans Unicode" w:cs="Lucida Sans Unicode"/>
          <w:sz w:val="24"/>
          <w:bdr w:val="nil"/>
          <w:lang w:val="pt-BR" w:eastAsia="pt-BR"/>
        </w:rPr>
        <w:t xml:space="preserve">27 milhões de euros </w:t>
      </w:r>
    </w:p>
    <w:p w14:paraId="3C4A7D6E" w14:textId="77777777" w:rsidR="00AF152A" w:rsidRPr="00B52613" w:rsidRDefault="00AF152A" w:rsidP="00AF152A">
      <w:pPr>
        <w:widowControl w:val="0"/>
        <w:numPr>
          <w:ilvl w:val="0"/>
          <w:numId w:val="33"/>
        </w:numPr>
        <w:tabs>
          <w:tab w:val="clear" w:pos="720"/>
          <w:tab w:val="num" w:pos="340"/>
        </w:tabs>
        <w:overflowPunct w:val="0"/>
        <w:autoSpaceDE w:val="0"/>
        <w:autoSpaceDN w:val="0"/>
        <w:adjustRightInd w:val="0"/>
        <w:spacing w:line="202" w:lineRule="auto"/>
        <w:ind w:left="340" w:hanging="339"/>
        <w:jc w:val="both"/>
        <w:rPr>
          <w:rFonts w:cs="Lucida Sans Unicode"/>
          <w:lang w:val="pt-BR"/>
        </w:rPr>
      </w:pPr>
      <w:r>
        <w:rPr>
          <w:rFonts w:eastAsia="Lucida Sans Unicode" w:cs="Lucida Sans Unicode"/>
          <w:sz w:val="24"/>
          <w:bdr w:val="nil"/>
          <w:lang w:val="pt-BR" w:eastAsia="pt-BR"/>
        </w:rPr>
        <w:t xml:space="preserve">Aumento de 4% no volume de vendas </w:t>
      </w:r>
    </w:p>
    <w:p w14:paraId="4F164987" w14:textId="77777777" w:rsidR="003D3082" w:rsidRPr="00B52613" w:rsidRDefault="003D3082" w:rsidP="003D3082">
      <w:pPr>
        <w:ind w:right="85"/>
        <w:rPr>
          <w:color w:val="000000"/>
          <w:sz w:val="24"/>
          <w:lang w:val="pt-BR"/>
        </w:rPr>
      </w:pPr>
    </w:p>
    <w:p w14:paraId="38D4EB37" w14:textId="77777777" w:rsidR="003D3082" w:rsidRDefault="003D3082" w:rsidP="003D3082">
      <w:pPr>
        <w:rPr>
          <w:color w:val="000000"/>
          <w:lang w:val="pt-BR"/>
        </w:rPr>
      </w:pPr>
    </w:p>
    <w:p w14:paraId="582DB3D8" w14:textId="7F946A66" w:rsidR="0054174C" w:rsidRPr="00322F18" w:rsidRDefault="0054174C" w:rsidP="00322F18">
      <w:pPr>
        <w:widowControl w:val="0"/>
        <w:overflowPunct w:val="0"/>
        <w:autoSpaceDE w:val="0"/>
        <w:autoSpaceDN w:val="0"/>
        <w:adjustRightInd w:val="0"/>
        <w:ind w:right="20"/>
        <w:rPr>
          <w:rFonts w:cs="Lucida Sans Unicode"/>
          <w:color w:val="000000"/>
          <w:szCs w:val="22"/>
          <w:lang w:val="pt-BR"/>
        </w:rPr>
      </w:pPr>
      <w:r w:rsidRPr="00322F18">
        <w:rPr>
          <w:rFonts w:cs="Lucida Sans Unicode"/>
          <w:color w:val="000000"/>
          <w:szCs w:val="22"/>
          <w:lang w:val="pt-BR"/>
        </w:rPr>
        <w:t xml:space="preserve">A Evonik excedeu as previsões do mercado de capitais no início de 2024. Os </w:t>
      </w:r>
      <w:r w:rsidR="00AD01F1" w:rsidRPr="00322F18">
        <w:rPr>
          <w:rFonts w:cs="Lucida Sans Unicode"/>
          <w:color w:val="000000"/>
          <w:szCs w:val="22"/>
          <w:lang w:val="pt-BR"/>
        </w:rPr>
        <w:t>resultados</w:t>
      </w:r>
      <w:r w:rsidRPr="00322F18">
        <w:rPr>
          <w:rFonts w:cs="Lucida Sans Unicode"/>
          <w:color w:val="000000"/>
          <w:szCs w:val="22"/>
          <w:lang w:val="pt-BR"/>
        </w:rPr>
        <w:t xml:space="preserve"> do primeiro trimestre de 2024 da empresa de especialidades químicas confirmaram os dados preliminares divulgados no dia 16 de abril. O EBITDA ajustado aumentou 28% em comparação com o mesmo período do ano </w:t>
      </w:r>
      <w:r w:rsidR="00AD01F1" w:rsidRPr="00322F18">
        <w:rPr>
          <w:rFonts w:cs="Lucida Sans Unicode"/>
          <w:color w:val="000000"/>
          <w:szCs w:val="22"/>
          <w:lang w:val="pt-BR"/>
        </w:rPr>
        <w:t>anterior, totalizando</w:t>
      </w:r>
      <w:r w:rsidRPr="00322F18">
        <w:rPr>
          <w:rFonts w:cs="Lucida Sans Unicode"/>
          <w:color w:val="000000"/>
          <w:szCs w:val="22"/>
          <w:lang w:val="pt-BR"/>
        </w:rPr>
        <w:t xml:space="preserve"> 522 milhões de euros.  Houve também um incremento significativo do fluxo de caixa livre: </w:t>
      </w:r>
      <w:r w:rsidR="00AD01F1" w:rsidRPr="00322F18">
        <w:rPr>
          <w:rFonts w:cs="Lucida Sans Unicode"/>
          <w:color w:val="000000"/>
          <w:szCs w:val="22"/>
          <w:lang w:val="pt-BR"/>
        </w:rPr>
        <w:t>1</w:t>
      </w:r>
      <w:r w:rsidRPr="00322F18">
        <w:rPr>
          <w:rFonts w:cs="Lucida Sans Unicode"/>
          <w:color w:val="000000"/>
          <w:szCs w:val="22"/>
          <w:lang w:val="pt-BR"/>
        </w:rPr>
        <w:t>27 milhões de euros, uma elevação expressiva do patamar registrado no primeiro trimestre de</w:t>
      </w:r>
      <w:r w:rsidR="00AD01F1" w:rsidRPr="00322F18">
        <w:rPr>
          <w:rFonts w:cs="Lucida Sans Unicode"/>
          <w:color w:val="000000"/>
          <w:szCs w:val="22"/>
          <w:lang w:val="pt-BR"/>
        </w:rPr>
        <w:t xml:space="preserve"> </w:t>
      </w:r>
      <w:r w:rsidRPr="00322F18">
        <w:rPr>
          <w:rFonts w:cs="Lucida Sans Unicode"/>
          <w:color w:val="000000"/>
          <w:szCs w:val="22"/>
          <w:lang w:val="pt-BR"/>
        </w:rPr>
        <w:t>2023 (21 milhões</w:t>
      </w:r>
      <w:r w:rsidR="00AD01F1" w:rsidRPr="00322F18">
        <w:rPr>
          <w:rFonts w:cs="Lucida Sans Unicode"/>
          <w:color w:val="000000"/>
          <w:szCs w:val="22"/>
          <w:lang w:val="pt-BR"/>
        </w:rPr>
        <w:t xml:space="preserve"> de euros</w:t>
      </w:r>
      <w:r w:rsidRPr="00322F18">
        <w:rPr>
          <w:rFonts w:cs="Lucida Sans Unicode"/>
          <w:color w:val="000000"/>
          <w:szCs w:val="22"/>
          <w:lang w:val="pt-BR"/>
        </w:rPr>
        <w:t>).</w:t>
      </w:r>
    </w:p>
    <w:p w14:paraId="661E7BC6" w14:textId="77777777" w:rsidR="003D3082" w:rsidRPr="00322F18" w:rsidRDefault="003D3082" w:rsidP="00322F18">
      <w:pPr>
        <w:rPr>
          <w:rFonts w:cs="Lucida Sans Unicode"/>
          <w:szCs w:val="22"/>
          <w:lang w:val="pt-BR"/>
        </w:rPr>
      </w:pPr>
    </w:p>
    <w:p w14:paraId="7F5F4FDB" w14:textId="5ED18B88" w:rsidR="00530F06" w:rsidRPr="00B52613" w:rsidRDefault="00530F06" w:rsidP="00322F18">
      <w:pPr>
        <w:widowControl w:val="0"/>
        <w:overflowPunct w:val="0"/>
        <w:autoSpaceDE w:val="0"/>
        <w:autoSpaceDN w:val="0"/>
        <w:adjustRightInd w:val="0"/>
        <w:ind w:right="220"/>
        <w:rPr>
          <w:rFonts w:cs="Lucida Sans Unicode"/>
          <w:szCs w:val="22"/>
          <w:lang w:val="pt-BR"/>
        </w:rPr>
      </w:pPr>
      <w:r w:rsidRPr="00322F18">
        <w:rPr>
          <w:rFonts w:eastAsia="Lucida Sans Unicode" w:cs="Lucida Sans Unicode"/>
          <w:szCs w:val="22"/>
          <w:bdr w:val="nil"/>
          <w:lang w:val="pt-BR" w:eastAsia="pt-BR"/>
        </w:rPr>
        <w:t xml:space="preserve">“Muitos de nossos clientes estão voltando a comprar”, </w:t>
      </w:r>
      <w:r w:rsidR="00F73C6A" w:rsidRPr="00322F18">
        <w:rPr>
          <w:rFonts w:eastAsia="Lucida Sans Unicode" w:cs="Lucida Sans Unicode"/>
          <w:szCs w:val="22"/>
          <w:bdr w:val="nil"/>
          <w:lang w:val="pt-BR" w:eastAsia="pt-BR"/>
        </w:rPr>
        <w:t>constata</w:t>
      </w:r>
      <w:r w:rsidRPr="00322F18">
        <w:rPr>
          <w:rFonts w:eastAsia="Lucida Sans Unicode" w:cs="Lucida Sans Unicode"/>
          <w:szCs w:val="22"/>
          <w:bdr w:val="nil"/>
          <w:lang w:val="pt-BR" w:eastAsia="pt-BR"/>
        </w:rPr>
        <w:t xml:space="preserve"> Christian Kullmann, CEO da Evonik. “No entanto, devido a restrições que persistem em algumas indústrias e mercados, ainda não vislumbramos uma expansão generalizada </w:t>
      </w:r>
      <w:r w:rsidR="00DC6BFE" w:rsidRPr="00322F18">
        <w:rPr>
          <w:rFonts w:eastAsia="Lucida Sans Unicode" w:cs="Lucida Sans Unicode"/>
          <w:szCs w:val="22"/>
          <w:bdr w:val="nil"/>
          <w:lang w:val="pt-BR" w:eastAsia="pt-BR"/>
        </w:rPr>
        <w:t>de uma</w:t>
      </w:r>
      <w:r w:rsidRPr="00322F18">
        <w:rPr>
          <w:rFonts w:eastAsia="Lucida Sans Unicode" w:cs="Lucida Sans Unicode"/>
          <w:szCs w:val="22"/>
          <w:bdr w:val="nil"/>
          <w:lang w:val="pt-BR" w:eastAsia="pt-BR"/>
        </w:rPr>
        <w:t xml:space="preserve"> retomada.”</w:t>
      </w:r>
    </w:p>
    <w:p w14:paraId="42791D4B" w14:textId="77777777" w:rsidR="003D3082" w:rsidRPr="00B52613" w:rsidRDefault="003D3082" w:rsidP="00322F18">
      <w:pPr>
        <w:rPr>
          <w:rFonts w:cs="Lucida Sans Unicode"/>
          <w:color w:val="000000"/>
          <w:szCs w:val="22"/>
          <w:lang w:val="pt-BR"/>
        </w:rPr>
      </w:pPr>
    </w:p>
    <w:p w14:paraId="3C8B048B" w14:textId="2DB530C5" w:rsidR="00696664" w:rsidRPr="00B52613" w:rsidRDefault="00696664" w:rsidP="00322F18">
      <w:pPr>
        <w:widowControl w:val="0"/>
        <w:overflowPunct w:val="0"/>
        <w:autoSpaceDE w:val="0"/>
        <w:autoSpaceDN w:val="0"/>
        <w:adjustRightInd w:val="0"/>
        <w:rPr>
          <w:rFonts w:cs="Lucida Sans Unicode"/>
          <w:szCs w:val="22"/>
          <w:lang w:val="pt-BR"/>
        </w:rPr>
      </w:pPr>
      <w:r w:rsidRPr="00322F18">
        <w:rPr>
          <w:rFonts w:eastAsia="Lucida Sans Unicode" w:cs="Lucida Sans Unicode"/>
          <w:szCs w:val="22"/>
          <w:bdr w:val="nil"/>
          <w:lang w:val="pt-BR" w:eastAsia="pt-BR"/>
        </w:rPr>
        <w:t xml:space="preserve">Os volumes de vendas avançaram 4% no primeiro trimestre. Observou-se, por outro lado, uma redução de 5% nos preços, parcialmente impulsionada pelo repasse do menor custos das matérias-primas. As receitas totalizaram 3,80 </w:t>
      </w:r>
      <w:r w:rsidR="00DE758D" w:rsidRPr="00322F18">
        <w:rPr>
          <w:rFonts w:eastAsia="Lucida Sans Unicode" w:cs="Lucida Sans Unicode"/>
          <w:szCs w:val="22"/>
          <w:bdr w:val="nil"/>
          <w:lang w:val="pt-BR" w:eastAsia="pt-BR"/>
        </w:rPr>
        <w:t>bilhões</w:t>
      </w:r>
      <w:r w:rsidRPr="00322F18">
        <w:rPr>
          <w:rFonts w:eastAsia="Lucida Sans Unicode" w:cs="Lucida Sans Unicode"/>
          <w:szCs w:val="22"/>
          <w:bdr w:val="nil"/>
          <w:lang w:val="pt-BR" w:eastAsia="pt-BR"/>
        </w:rPr>
        <w:t xml:space="preserve"> de euros, uma redução de 5</w:t>
      </w:r>
      <w:r w:rsidR="00DC6BFE" w:rsidRPr="00322F18">
        <w:rPr>
          <w:rFonts w:eastAsia="Lucida Sans Unicode" w:cs="Lucida Sans Unicode"/>
          <w:szCs w:val="22"/>
          <w:bdr w:val="nil"/>
          <w:lang w:val="pt-BR" w:eastAsia="pt-BR"/>
        </w:rPr>
        <w:t>%, enquanto</w:t>
      </w:r>
      <w:r w:rsidRPr="00322F18">
        <w:rPr>
          <w:rFonts w:eastAsia="Lucida Sans Unicode" w:cs="Lucida Sans Unicode"/>
          <w:szCs w:val="22"/>
          <w:bdr w:val="nil"/>
          <w:lang w:val="pt-BR" w:eastAsia="pt-BR"/>
        </w:rPr>
        <w:t xml:space="preserve"> o lucro líquido consolidado ficou em 156 milhões de euros, diante dos 47 milhões de euros </w:t>
      </w:r>
      <w:r w:rsidR="00DC6BFE" w:rsidRPr="00322F18">
        <w:rPr>
          <w:rFonts w:eastAsia="Lucida Sans Unicode" w:cs="Lucida Sans Unicode"/>
          <w:szCs w:val="22"/>
          <w:bdr w:val="nil"/>
          <w:lang w:val="pt-BR" w:eastAsia="pt-BR"/>
        </w:rPr>
        <w:t>do</w:t>
      </w:r>
      <w:r w:rsidRPr="00322F18">
        <w:rPr>
          <w:rFonts w:eastAsia="Lucida Sans Unicode" w:cs="Lucida Sans Unicode"/>
          <w:szCs w:val="22"/>
          <w:bdr w:val="nil"/>
          <w:lang w:val="pt-BR" w:eastAsia="pt-BR"/>
        </w:rPr>
        <w:t xml:space="preserve"> primeiro trimestre de 2023. A margem EBITDA ajustada registrou aumento de 3,6 pontos percentuais, </w:t>
      </w:r>
      <w:r w:rsidR="00296256" w:rsidRPr="00322F18">
        <w:rPr>
          <w:rFonts w:eastAsia="Lucida Sans Unicode" w:cs="Lucida Sans Unicode"/>
          <w:szCs w:val="22"/>
          <w:bdr w:val="nil"/>
          <w:lang w:val="pt-BR" w:eastAsia="pt-BR"/>
        </w:rPr>
        <w:t>chegando a</w:t>
      </w:r>
      <w:r w:rsidRPr="00322F18">
        <w:rPr>
          <w:rFonts w:eastAsia="Lucida Sans Unicode" w:cs="Lucida Sans Unicode"/>
          <w:szCs w:val="22"/>
          <w:bdr w:val="nil"/>
          <w:lang w:val="pt-BR" w:eastAsia="pt-BR"/>
        </w:rPr>
        <w:t xml:space="preserve"> 13,8%.</w:t>
      </w:r>
    </w:p>
    <w:p w14:paraId="420C3C93" w14:textId="77777777" w:rsidR="003D3082" w:rsidRPr="00B52613" w:rsidRDefault="003D3082" w:rsidP="00322F18">
      <w:pPr>
        <w:rPr>
          <w:rFonts w:cs="Lucida Sans Unicode"/>
          <w:color w:val="000000"/>
          <w:szCs w:val="22"/>
          <w:lang w:val="pt-BR"/>
        </w:rPr>
      </w:pPr>
    </w:p>
    <w:p w14:paraId="6A7CA047" w14:textId="007AC85D" w:rsidR="003D3082" w:rsidRPr="00322F18" w:rsidRDefault="003B3D89" w:rsidP="00322F18">
      <w:pPr>
        <w:rPr>
          <w:rFonts w:cs="Lucida Sans Unicode"/>
          <w:color w:val="000000"/>
          <w:szCs w:val="22"/>
          <w:lang w:val="pt-BR"/>
        </w:rPr>
      </w:pPr>
      <w:r w:rsidRPr="00322F18">
        <w:rPr>
          <w:rFonts w:eastAsia="Lucida Sans Unicode" w:cs="Lucida Sans Unicode"/>
          <w:szCs w:val="22"/>
          <w:bdr w:val="nil"/>
          <w:lang w:val="pt-BR" w:eastAsia="pt-BR"/>
        </w:rPr>
        <w:t xml:space="preserve">“A desempenho positivo da margem </w:t>
      </w:r>
      <w:r w:rsidRPr="00B52613">
        <w:rPr>
          <w:rFonts w:eastAsia="Lucida Sans Unicode" w:cs="Lucida Sans Unicode"/>
          <w:szCs w:val="22"/>
          <w:bdr w:val="nil"/>
          <w:lang w:val="pt-BR"/>
        </w:rPr>
        <w:t xml:space="preserve">EBITDA </w:t>
      </w:r>
      <w:r w:rsidRPr="00322F18">
        <w:rPr>
          <w:rFonts w:eastAsia="Lucida Sans Unicode" w:cs="Lucida Sans Unicode"/>
          <w:szCs w:val="22"/>
          <w:bdr w:val="nil"/>
          <w:lang w:val="pt-BR" w:eastAsia="pt-BR"/>
        </w:rPr>
        <w:t>sinaliza que estamos no caminho certo”, afirma</w:t>
      </w:r>
      <w:r w:rsidR="006D4C86" w:rsidRPr="00322F18">
        <w:rPr>
          <w:rFonts w:eastAsia="Lucida Sans Unicode" w:cs="Lucida Sans Unicode"/>
          <w:szCs w:val="22"/>
          <w:bdr w:val="nil"/>
          <w:lang w:val="pt-BR" w:eastAsia="pt-BR"/>
        </w:rPr>
        <w:t xml:space="preserve"> a CFO,</w:t>
      </w:r>
      <w:r w:rsidRPr="00322F18">
        <w:rPr>
          <w:rFonts w:eastAsia="Lucida Sans Unicode" w:cs="Lucida Sans Unicode"/>
          <w:szCs w:val="22"/>
          <w:bdr w:val="nil"/>
          <w:lang w:val="pt-BR" w:eastAsia="pt-BR"/>
        </w:rPr>
        <w:t xml:space="preserve"> Maike </w:t>
      </w:r>
      <w:proofErr w:type="spellStart"/>
      <w:r w:rsidRPr="00322F18">
        <w:rPr>
          <w:rFonts w:eastAsia="Lucida Sans Unicode" w:cs="Lucida Sans Unicode"/>
          <w:szCs w:val="22"/>
          <w:bdr w:val="nil"/>
          <w:lang w:val="pt-BR" w:eastAsia="pt-BR"/>
        </w:rPr>
        <w:t>Schuh</w:t>
      </w:r>
      <w:proofErr w:type="spellEnd"/>
      <w:r w:rsidRPr="00322F18">
        <w:rPr>
          <w:rFonts w:eastAsia="Lucida Sans Unicode" w:cs="Lucida Sans Unicode"/>
          <w:szCs w:val="22"/>
          <w:bdr w:val="nil"/>
          <w:lang w:val="pt-BR" w:eastAsia="pt-BR"/>
        </w:rPr>
        <w:t xml:space="preserve">. “Nossas medidas para redução de custos estão produzindo efeitos cada vez maiores, o que é particularmente importante, considerando as </w:t>
      </w:r>
      <w:r w:rsidRPr="00322F18">
        <w:rPr>
          <w:rFonts w:eastAsia="Lucida Sans Unicode" w:cs="Lucida Sans Unicode"/>
          <w:szCs w:val="22"/>
          <w:bdr w:val="nil"/>
          <w:lang w:val="pt-BR" w:eastAsia="pt-BR"/>
        </w:rPr>
        <w:lastRenderedPageBreak/>
        <w:t xml:space="preserve">novas quedas nos preços. Ainda há um longo caminho a percorrer </w:t>
      </w:r>
      <w:r w:rsidR="00B92E9D" w:rsidRPr="00322F18">
        <w:rPr>
          <w:rFonts w:eastAsia="Lucida Sans Unicode" w:cs="Lucida Sans Unicode"/>
          <w:szCs w:val="22"/>
          <w:bdr w:val="nil"/>
          <w:lang w:val="pt-BR" w:eastAsia="pt-BR"/>
        </w:rPr>
        <w:t>até</w:t>
      </w:r>
      <w:r w:rsidRPr="00322F18">
        <w:rPr>
          <w:rFonts w:eastAsia="Lucida Sans Unicode" w:cs="Lucida Sans Unicode"/>
          <w:szCs w:val="22"/>
          <w:bdr w:val="nil"/>
          <w:lang w:val="pt-BR" w:eastAsia="pt-BR"/>
        </w:rPr>
        <w:t xml:space="preserve"> alcançarmos nossas metas financeiras.</w:t>
      </w:r>
      <w:r w:rsidR="003D3082" w:rsidRPr="00322F18">
        <w:rPr>
          <w:rFonts w:cs="Lucida Sans Unicode"/>
          <w:color w:val="000000"/>
          <w:szCs w:val="22"/>
          <w:lang w:val="pt-BR"/>
        </w:rPr>
        <w:t xml:space="preserve"> </w:t>
      </w:r>
      <w:r w:rsidR="0050512A" w:rsidRPr="00322F18">
        <w:rPr>
          <w:rFonts w:cs="Lucida Sans Unicode"/>
          <w:color w:val="000000"/>
          <w:szCs w:val="22"/>
          <w:lang w:val="pt-BR"/>
        </w:rPr>
        <w:t>Precisamos nos esforçar para cada pequena melhoria.”</w:t>
      </w:r>
    </w:p>
    <w:p w14:paraId="4A1DAB92" w14:textId="77777777" w:rsidR="003D3082" w:rsidRPr="00322F18" w:rsidRDefault="003D3082" w:rsidP="00322F18">
      <w:pPr>
        <w:rPr>
          <w:rFonts w:cs="Lucida Sans Unicode"/>
          <w:color w:val="000000"/>
          <w:szCs w:val="22"/>
          <w:lang w:val="pt-BR"/>
        </w:rPr>
      </w:pPr>
      <w:r w:rsidRPr="00322F18">
        <w:rPr>
          <w:rFonts w:cs="Lucida Sans Unicode"/>
          <w:color w:val="000000"/>
          <w:szCs w:val="22"/>
          <w:lang w:val="pt-BR"/>
        </w:rPr>
        <w:t xml:space="preserve"> </w:t>
      </w:r>
    </w:p>
    <w:p w14:paraId="497CDABB" w14:textId="50D9C7A0" w:rsidR="003D3082" w:rsidRPr="00322F18" w:rsidRDefault="00391C2D" w:rsidP="00322F18">
      <w:pPr>
        <w:rPr>
          <w:rFonts w:eastAsia="Lucida Sans Unicode" w:cs="Lucida Sans Unicode"/>
          <w:szCs w:val="22"/>
          <w:bdr w:val="nil"/>
          <w:lang w:val="pt-BR" w:eastAsia="pt-BR"/>
        </w:rPr>
      </w:pPr>
      <w:r w:rsidRPr="00322F18">
        <w:rPr>
          <w:rFonts w:eastAsia="Lucida Sans Unicode" w:cs="Lucida Sans Unicode"/>
          <w:szCs w:val="22"/>
          <w:bdr w:val="nil"/>
          <w:lang w:val="pt-BR" w:eastAsia="pt-BR"/>
        </w:rPr>
        <w:t>A Evonik mantém as metas para o ano inteiro e projeta um EBITDA ajustado na faixa de 1,7 bilh</w:t>
      </w:r>
      <w:r w:rsidR="006D4C86" w:rsidRPr="00322F18">
        <w:rPr>
          <w:rFonts w:eastAsia="Lucida Sans Unicode" w:cs="Lucida Sans Unicode"/>
          <w:szCs w:val="22"/>
          <w:bdr w:val="nil"/>
          <w:lang w:val="pt-BR" w:eastAsia="pt-BR"/>
        </w:rPr>
        <w:t>ão</w:t>
      </w:r>
      <w:r w:rsidRPr="00322F18">
        <w:rPr>
          <w:rFonts w:eastAsia="Lucida Sans Unicode" w:cs="Lucida Sans Unicode"/>
          <w:szCs w:val="22"/>
          <w:bdr w:val="nil"/>
          <w:lang w:val="pt-BR" w:eastAsia="pt-BR"/>
        </w:rPr>
        <w:t xml:space="preserve"> a 2,0 bilhões de euros. As vendas deverão permanecer entre 15 bilhões e 17 bilhões de euros</w:t>
      </w:r>
      <w:r w:rsidR="00CA502E" w:rsidRPr="00322F18">
        <w:rPr>
          <w:rFonts w:eastAsia="Lucida Sans Unicode" w:cs="Lucida Sans Unicode"/>
          <w:szCs w:val="22"/>
          <w:bdr w:val="nil"/>
          <w:lang w:val="pt-BR" w:eastAsia="pt-BR"/>
        </w:rPr>
        <w:t>.</w:t>
      </w:r>
      <w:r w:rsidRPr="00322F18">
        <w:rPr>
          <w:rFonts w:eastAsia="Lucida Sans Unicode" w:cs="Lucida Sans Unicode"/>
          <w:szCs w:val="22"/>
          <w:bdr w:val="nil"/>
          <w:lang w:val="pt-BR" w:eastAsia="pt-BR"/>
        </w:rPr>
        <w:t xml:space="preserve"> A Evonik prevê uma taxa de conversão de caixa em torno de 40% e um ROCE significativamente superior ao do ano anterior. Para o segundo trimestre de 2024, a Evonik espera um EBITDA ajustado praticamente no mesmo patamar do primeiro trimestre.</w:t>
      </w:r>
    </w:p>
    <w:p w14:paraId="2960D4AB" w14:textId="77777777" w:rsidR="00391C2D" w:rsidRPr="00322F18" w:rsidRDefault="00391C2D" w:rsidP="00322F18">
      <w:pPr>
        <w:rPr>
          <w:rFonts w:cs="Lucida Sans Unicode"/>
          <w:color w:val="000000"/>
          <w:szCs w:val="22"/>
          <w:lang w:val="pt-BR"/>
        </w:rPr>
      </w:pPr>
    </w:p>
    <w:p w14:paraId="0F5825EB" w14:textId="2345E590" w:rsidR="00944099" w:rsidRPr="00B52613" w:rsidRDefault="00FC52FB" w:rsidP="00322F18">
      <w:pPr>
        <w:widowControl w:val="0"/>
        <w:overflowPunct w:val="0"/>
        <w:autoSpaceDE w:val="0"/>
        <w:autoSpaceDN w:val="0"/>
        <w:adjustRightInd w:val="0"/>
        <w:ind w:right="160"/>
        <w:rPr>
          <w:rFonts w:eastAsia="Lucida Sans Unicode" w:cs="Lucida Sans Unicode"/>
          <w:szCs w:val="22"/>
          <w:bdr w:val="nil"/>
          <w:lang w:val="pt-BR"/>
        </w:rPr>
      </w:pPr>
      <w:r w:rsidRPr="00322F18">
        <w:rPr>
          <w:rFonts w:eastAsia="Lucida Sans Unicode" w:cs="Lucida Sans Unicode"/>
          <w:szCs w:val="22"/>
          <w:bdr w:val="nil"/>
          <w:lang w:val="pt-BR" w:eastAsia="pt-BR"/>
        </w:rPr>
        <w:t xml:space="preserve">O programa de eficiência “Evonik </w:t>
      </w:r>
      <w:proofErr w:type="spellStart"/>
      <w:r w:rsidRPr="00322F18">
        <w:rPr>
          <w:rFonts w:eastAsia="Lucida Sans Unicode" w:cs="Lucida Sans Unicode"/>
          <w:szCs w:val="22"/>
          <w:bdr w:val="nil"/>
          <w:lang w:val="pt-BR" w:eastAsia="pt-BR"/>
        </w:rPr>
        <w:t>Tailor</w:t>
      </w:r>
      <w:proofErr w:type="spellEnd"/>
      <w:r w:rsidRPr="00322F18">
        <w:rPr>
          <w:rFonts w:eastAsia="Lucida Sans Unicode" w:cs="Lucida Sans Unicode"/>
          <w:szCs w:val="22"/>
          <w:bdr w:val="nil"/>
          <w:lang w:val="pt-BR" w:eastAsia="pt-BR"/>
        </w:rPr>
        <w:t xml:space="preserve"> </w:t>
      </w:r>
      <w:proofErr w:type="spellStart"/>
      <w:r w:rsidRPr="00322F18">
        <w:rPr>
          <w:rFonts w:eastAsia="Lucida Sans Unicode" w:cs="Lucida Sans Unicode"/>
          <w:szCs w:val="22"/>
          <w:bdr w:val="nil"/>
          <w:lang w:val="pt-BR" w:eastAsia="pt-BR"/>
        </w:rPr>
        <w:t>Made</w:t>
      </w:r>
      <w:proofErr w:type="spellEnd"/>
      <w:r w:rsidRPr="00322F18">
        <w:rPr>
          <w:rFonts w:eastAsia="Lucida Sans Unicode" w:cs="Lucida Sans Unicode"/>
          <w:szCs w:val="22"/>
          <w:bdr w:val="nil"/>
          <w:lang w:val="pt-BR" w:eastAsia="pt-BR"/>
        </w:rPr>
        <w:t xml:space="preserve">” trará economias </w:t>
      </w:r>
      <w:r w:rsidR="00227C4A" w:rsidRPr="00322F18">
        <w:rPr>
          <w:rFonts w:eastAsia="Lucida Sans Unicode" w:cs="Lucida Sans Unicode"/>
          <w:szCs w:val="22"/>
          <w:bdr w:val="nil"/>
          <w:lang w:val="pt-BR" w:eastAsia="pt-BR"/>
        </w:rPr>
        <w:t>iniciais até</w:t>
      </w:r>
      <w:r w:rsidRPr="00322F18">
        <w:rPr>
          <w:rFonts w:eastAsia="Lucida Sans Unicode" w:cs="Lucida Sans Unicode"/>
          <w:szCs w:val="22"/>
          <w:bdr w:val="nil"/>
          <w:lang w:val="pt-BR" w:eastAsia="pt-BR"/>
        </w:rPr>
        <w:t xml:space="preserve"> o final do ano</w:t>
      </w:r>
      <w:r w:rsidR="00944099" w:rsidRPr="00322F18">
        <w:rPr>
          <w:rFonts w:eastAsia="Lucida Sans Unicode" w:cs="Lucida Sans Unicode"/>
          <w:szCs w:val="22"/>
          <w:bdr w:val="nil"/>
          <w:lang w:val="pt-BR" w:eastAsia="pt-BR"/>
        </w:rPr>
        <w:t>. Foram concluídas as negociações sobre os principais pontos relacionados a demissões socialmente responsáveis.</w:t>
      </w:r>
      <w:r w:rsidR="00944099" w:rsidRPr="00B52613">
        <w:rPr>
          <w:rFonts w:eastAsia="Lucida Sans Unicode" w:cs="Lucida Sans Unicode"/>
          <w:szCs w:val="22"/>
          <w:bdr w:val="nil"/>
          <w:lang w:val="pt-BR"/>
        </w:rPr>
        <w:t xml:space="preserve"> </w:t>
      </w:r>
      <w:r w:rsidR="006833FD" w:rsidRPr="00322F18">
        <w:rPr>
          <w:rFonts w:eastAsia="Lucida Sans Unicode" w:cs="Lucida Sans Unicode"/>
          <w:szCs w:val="22"/>
          <w:bdr w:val="nil"/>
          <w:lang w:val="pt-BR" w:eastAsia="pt-BR"/>
        </w:rPr>
        <w:t>Sua</w:t>
      </w:r>
      <w:r w:rsidR="00944099" w:rsidRPr="00322F18">
        <w:rPr>
          <w:rFonts w:eastAsia="Lucida Sans Unicode" w:cs="Lucida Sans Unicode"/>
          <w:szCs w:val="22"/>
          <w:bdr w:val="nil"/>
          <w:lang w:val="pt-BR" w:eastAsia="pt-BR"/>
        </w:rPr>
        <w:t xml:space="preserve"> implementação </w:t>
      </w:r>
      <w:r w:rsidR="006833FD" w:rsidRPr="00322F18">
        <w:rPr>
          <w:rFonts w:eastAsia="Lucida Sans Unicode" w:cs="Lucida Sans Unicode"/>
          <w:szCs w:val="22"/>
          <w:bdr w:val="nil"/>
          <w:lang w:val="pt-BR" w:eastAsia="pt-BR"/>
        </w:rPr>
        <w:t>se encontra</w:t>
      </w:r>
      <w:r w:rsidR="00944099" w:rsidRPr="00322F18">
        <w:rPr>
          <w:rFonts w:eastAsia="Lucida Sans Unicode" w:cs="Lucida Sans Unicode"/>
          <w:szCs w:val="22"/>
          <w:bdr w:val="nil"/>
          <w:lang w:val="pt-BR" w:eastAsia="pt-BR"/>
        </w:rPr>
        <w:t xml:space="preserve"> em andamento </w:t>
      </w:r>
      <w:r w:rsidR="00007CF4" w:rsidRPr="00322F18">
        <w:rPr>
          <w:rFonts w:eastAsia="Lucida Sans Unicode" w:cs="Lucida Sans Unicode"/>
          <w:szCs w:val="22"/>
          <w:bdr w:val="nil"/>
          <w:lang w:val="pt-BR" w:eastAsia="pt-BR"/>
        </w:rPr>
        <w:t>por meio de</w:t>
      </w:r>
      <w:r w:rsidR="00944099" w:rsidRPr="00322F18">
        <w:rPr>
          <w:rFonts w:eastAsia="Lucida Sans Unicode" w:cs="Lucida Sans Unicode"/>
          <w:szCs w:val="22"/>
          <w:bdr w:val="nil"/>
          <w:lang w:val="pt-BR" w:eastAsia="pt-BR"/>
        </w:rPr>
        <w:t xml:space="preserve"> consulta alinhada com os representantes dos colaboradores. Até o terceiro trimestre, serão finalizados os detalhes </w:t>
      </w:r>
      <w:r w:rsidR="00007CF4" w:rsidRPr="00322F18">
        <w:rPr>
          <w:rFonts w:eastAsia="Lucida Sans Unicode" w:cs="Lucida Sans Unicode"/>
          <w:szCs w:val="22"/>
          <w:bdr w:val="nil"/>
          <w:lang w:val="pt-BR" w:eastAsia="pt-BR"/>
        </w:rPr>
        <w:t>sobre a reorganização da</w:t>
      </w:r>
      <w:r w:rsidR="00944099" w:rsidRPr="00322F18">
        <w:rPr>
          <w:rFonts w:eastAsia="Lucida Sans Unicode" w:cs="Lucida Sans Unicode"/>
          <w:szCs w:val="22"/>
          <w:bdr w:val="nil"/>
          <w:lang w:val="pt-BR" w:eastAsia="pt-BR"/>
        </w:rPr>
        <w:t xml:space="preserve"> Evonik. Em seguida, </w:t>
      </w:r>
      <w:r w:rsidR="00E133F1" w:rsidRPr="00322F18">
        <w:rPr>
          <w:rFonts w:eastAsia="Lucida Sans Unicode" w:cs="Lucida Sans Unicode"/>
          <w:szCs w:val="22"/>
          <w:bdr w:val="nil"/>
          <w:lang w:val="pt-BR" w:eastAsia="pt-BR"/>
        </w:rPr>
        <w:t>o programa entrará em vigor</w:t>
      </w:r>
      <w:r w:rsidR="00944099" w:rsidRPr="00322F18">
        <w:rPr>
          <w:rFonts w:eastAsia="Lucida Sans Unicode" w:cs="Lucida Sans Unicode"/>
          <w:szCs w:val="22"/>
          <w:bdr w:val="nil"/>
          <w:lang w:val="pt-BR" w:eastAsia="pt-BR"/>
        </w:rPr>
        <w:t xml:space="preserve"> considerando os direitos de participação relevantes dos representantes dos colaboradores. Está também em </w:t>
      </w:r>
      <w:r w:rsidR="00E8276B" w:rsidRPr="00322F18">
        <w:rPr>
          <w:rFonts w:eastAsia="Lucida Sans Unicode" w:cs="Lucida Sans Unicode"/>
          <w:szCs w:val="22"/>
          <w:bdr w:val="nil"/>
          <w:lang w:val="pt-BR" w:eastAsia="pt-BR"/>
        </w:rPr>
        <w:t>progresso</w:t>
      </w:r>
      <w:r w:rsidR="00944099" w:rsidRPr="00322F18">
        <w:rPr>
          <w:rFonts w:eastAsia="Lucida Sans Unicode" w:cs="Lucida Sans Unicode"/>
          <w:szCs w:val="22"/>
          <w:bdr w:val="nil"/>
          <w:lang w:val="pt-BR" w:eastAsia="pt-BR"/>
        </w:rPr>
        <w:t xml:space="preserve"> a anunciada divisão da área de Tecnologia e Infraestrutura em duas unidades.</w:t>
      </w:r>
    </w:p>
    <w:p w14:paraId="130D8876" w14:textId="77777777" w:rsidR="003D3082" w:rsidRPr="00B52613" w:rsidRDefault="003D3082" w:rsidP="00322F18">
      <w:pPr>
        <w:rPr>
          <w:rFonts w:cs="Lucida Sans Unicode"/>
          <w:color w:val="000000"/>
          <w:szCs w:val="22"/>
          <w:lang w:val="pt-BR"/>
        </w:rPr>
      </w:pPr>
    </w:p>
    <w:p w14:paraId="0938E279" w14:textId="77777777" w:rsidR="003D3082" w:rsidRPr="00322F18" w:rsidRDefault="003D3082" w:rsidP="00322F18">
      <w:pPr>
        <w:rPr>
          <w:rFonts w:cs="Lucida Sans Unicode"/>
          <w:color w:val="000000"/>
          <w:szCs w:val="22"/>
          <w:lang w:val="pt-BR"/>
        </w:rPr>
      </w:pPr>
    </w:p>
    <w:p w14:paraId="6654F9FF" w14:textId="77777777" w:rsidR="003D3082" w:rsidRPr="00322F18" w:rsidRDefault="003D3082" w:rsidP="00322F18">
      <w:pPr>
        <w:rPr>
          <w:rFonts w:cs="Lucida Sans Unicode"/>
          <w:b/>
          <w:bCs/>
          <w:color w:val="000000"/>
          <w:szCs w:val="22"/>
          <w:lang w:val="pt-BR"/>
        </w:rPr>
      </w:pPr>
      <w:r w:rsidRPr="00322F18">
        <w:rPr>
          <w:rFonts w:cs="Lucida Sans Unicode"/>
          <w:b/>
          <w:bCs/>
          <w:color w:val="000000"/>
          <w:szCs w:val="22"/>
          <w:lang w:val="pt-BR"/>
        </w:rPr>
        <w:t>Desenvolvimento das divisões químicas</w:t>
      </w:r>
    </w:p>
    <w:p w14:paraId="650794C2" w14:textId="77777777" w:rsidR="003D3082" w:rsidRPr="00322F18" w:rsidRDefault="003D3082" w:rsidP="00322F18">
      <w:pPr>
        <w:rPr>
          <w:rFonts w:cs="Lucida Sans Unicode"/>
          <w:color w:val="000000"/>
          <w:szCs w:val="22"/>
          <w:lang w:val="pt-BR"/>
        </w:rPr>
      </w:pPr>
    </w:p>
    <w:p w14:paraId="7DFA66D6" w14:textId="6D247C2A" w:rsidR="007B0076" w:rsidRPr="00322F18" w:rsidRDefault="009F572D" w:rsidP="00322F18">
      <w:pPr>
        <w:widowControl w:val="0"/>
        <w:overflowPunct w:val="0"/>
        <w:autoSpaceDE w:val="0"/>
        <w:autoSpaceDN w:val="0"/>
        <w:adjustRightInd w:val="0"/>
        <w:ind w:right="160"/>
        <w:rPr>
          <w:rFonts w:eastAsia="Lucida Sans Unicode" w:cs="Lucida Sans Unicode"/>
          <w:szCs w:val="22"/>
          <w:bdr w:val="nil"/>
          <w:lang w:val="pt-BR" w:eastAsia="pt-BR"/>
        </w:rPr>
      </w:pPr>
      <w:r w:rsidRPr="00322F18">
        <w:rPr>
          <w:rFonts w:cs="Lucida Sans Unicode"/>
          <w:b/>
          <w:bCs/>
          <w:color w:val="000000"/>
          <w:szCs w:val="22"/>
          <w:lang w:val="pt-BR"/>
        </w:rPr>
        <w:t>Specialty Additives</w:t>
      </w:r>
      <w:r w:rsidR="003D3082" w:rsidRPr="00322F18">
        <w:rPr>
          <w:rFonts w:cs="Lucida Sans Unicode"/>
          <w:b/>
          <w:bCs/>
          <w:color w:val="000000"/>
          <w:szCs w:val="22"/>
          <w:lang w:val="pt-BR"/>
        </w:rPr>
        <w:t xml:space="preserve">: </w:t>
      </w:r>
      <w:r w:rsidR="007B0076" w:rsidRPr="00322F18">
        <w:rPr>
          <w:rFonts w:eastAsia="Lucida Sans Unicode" w:cs="Lucida Sans Unicode"/>
          <w:szCs w:val="22"/>
          <w:bdr w:val="nil"/>
          <w:lang w:val="pt-BR" w:eastAsia="pt-BR"/>
        </w:rPr>
        <w:t>A divisão de aditivos especiais registrou maiores volumes de vendas impulsionados pelo reabastecimento dos baixos níveis de estoques dos clientes.</w:t>
      </w:r>
      <w:r w:rsidR="000749C4" w:rsidRPr="00322F18">
        <w:rPr>
          <w:rFonts w:eastAsia="Lucida Sans Unicode" w:cs="Lucida Sans Unicode"/>
          <w:szCs w:val="22"/>
          <w:bdr w:val="nil"/>
          <w:lang w:val="pt-BR" w:eastAsia="pt-BR"/>
        </w:rPr>
        <w:t xml:space="preserve"> </w:t>
      </w:r>
      <w:r w:rsidR="007B0076" w:rsidRPr="00322F18">
        <w:rPr>
          <w:rFonts w:eastAsia="Lucida Sans Unicode" w:cs="Lucida Sans Unicode"/>
          <w:szCs w:val="22"/>
          <w:bdr w:val="nil"/>
          <w:lang w:val="pt-BR" w:eastAsia="pt-BR"/>
        </w:rPr>
        <w:t xml:space="preserve">Apesar de terem atingido 908 milhões de euros, as vendas do primeiro trimestre de 2024 sofreram leve queda na comparação anual. Essa redução se deve a menores preços de venda, motivados principalmente pelo repasse </w:t>
      </w:r>
      <w:r w:rsidR="00C14D27" w:rsidRPr="00322F18">
        <w:rPr>
          <w:rFonts w:eastAsia="Lucida Sans Unicode" w:cs="Lucida Sans Unicode"/>
          <w:szCs w:val="22"/>
          <w:bdr w:val="nil"/>
          <w:lang w:val="pt-BR" w:eastAsia="pt-BR"/>
        </w:rPr>
        <w:t>dos</w:t>
      </w:r>
      <w:r w:rsidR="007B0076" w:rsidRPr="00322F18">
        <w:rPr>
          <w:rFonts w:eastAsia="Lucida Sans Unicode" w:cs="Lucida Sans Unicode"/>
          <w:szCs w:val="22"/>
          <w:bdr w:val="nil"/>
          <w:lang w:val="pt-BR" w:eastAsia="pt-BR"/>
        </w:rPr>
        <w:t xml:space="preserve"> custos mais baixos de matérias primas e </w:t>
      </w:r>
      <w:r w:rsidR="00C14D27" w:rsidRPr="00322F18">
        <w:rPr>
          <w:rFonts w:eastAsia="Lucida Sans Unicode" w:cs="Lucida Sans Unicode"/>
          <w:szCs w:val="22"/>
          <w:bdr w:val="nil"/>
          <w:lang w:val="pt-BR" w:eastAsia="pt-BR"/>
        </w:rPr>
        <w:t>dos</w:t>
      </w:r>
      <w:r w:rsidR="007B0076" w:rsidRPr="00322F18">
        <w:rPr>
          <w:rFonts w:eastAsia="Lucida Sans Unicode" w:cs="Lucida Sans Unicode"/>
          <w:szCs w:val="22"/>
          <w:bdr w:val="nil"/>
          <w:lang w:val="pt-BR" w:eastAsia="pt-BR"/>
        </w:rPr>
        <w:t xml:space="preserve"> efeitos cambiais levemente desfavoráveis. Os produtos para os setores de construção e </w:t>
      </w:r>
      <w:r w:rsidR="00F009BF" w:rsidRPr="00322F18">
        <w:rPr>
          <w:rFonts w:eastAsia="Lucida Sans Unicode" w:cs="Lucida Sans Unicode"/>
          <w:szCs w:val="22"/>
          <w:bdr w:val="nil"/>
          <w:lang w:val="pt-BR" w:eastAsia="pt-BR"/>
        </w:rPr>
        <w:t>revestimentos</w:t>
      </w:r>
      <w:r w:rsidR="007B0076" w:rsidRPr="00322F18">
        <w:rPr>
          <w:rFonts w:eastAsia="Lucida Sans Unicode" w:cs="Lucida Sans Unicode"/>
          <w:szCs w:val="22"/>
          <w:bdr w:val="nil"/>
          <w:lang w:val="pt-BR" w:eastAsia="pt-BR"/>
        </w:rPr>
        <w:t xml:space="preserve"> registraram aumento significativo de vendas decorrente no crescimento do volume. Aditivos para espumas de poliuretano e bens de consumo duráveis ​​viram seus volumes crescerem, mas os preços em queda mantiveram as vendas praticamente </w:t>
      </w:r>
      <w:r w:rsidR="007B0076" w:rsidRPr="00322F18">
        <w:rPr>
          <w:rFonts w:eastAsia="Lucida Sans Unicode" w:cs="Lucida Sans Unicode"/>
          <w:szCs w:val="22"/>
          <w:bdr w:val="nil"/>
          <w:lang w:val="pt-BR" w:eastAsia="pt-BR"/>
        </w:rPr>
        <w:lastRenderedPageBreak/>
        <w:t>estáveis. Os aditivos para o setor automotivo registraram maior demanda, resultando em vendas próximas ao nível do ano anterior. O EBITDA ajustado cresceu 10%, atingindo 185 milhões de euros, impulsionado por uma maior utilização das fábricas. A margem de EBITDA ajustada avançou de 18,2% para 20,4%.</w:t>
      </w:r>
    </w:p>
    <w:p w14:paraId="6EE2D09B" w14:textId="0A482112" w:rsidR="003D3082" w:rsidRPr="00322F18" w:rsidRDefault="003D3082" w:rsidP="00322F18">
      <w:pPr>
        <w:rPr>
          <w:rFonts w:cs="Lucida Sans Unicode"/>
          <w:color w:val="000000"/>
          <w:szCs w:val="22"/>
          <w:lang w:val="pt-BR"/>
        </w:rPr>
      </w:pPr>
    </w:p>
    <w:p w14:paraId="5C2091AC" w14:textId="38813DC1" w:rsidR="009C0FCD" w:rsidRPr="00B52613" w:rsidRDefault="009F572D" w:rsidP="00322F18">
      <w:pPr>
        <w:rPr>
          <w:rFonts w:cs="Lucida Sans Unicode"/>
          <w:color w:val="000000"/>
          <w:szCs w:val="22"/>
          <w:lang w:val="pt-BR"/>
        </w:rPr>
      </w:pPr>
      <w:r w:rsidRPr="00322F18">
        <w:rPr>
          <w:rFonts w:cs="Lucida Sans Unicode"/>
          <w:b/>
          <w:bCs/>
          <w:color w:val="000000"/>
          <w:szCs w:val="22"/>
          <w:lang w:val="pt-BR"/>
        </w:rPr>
        <w:t>Nutrition &amp; Care</w:t>
      </w:r>
      <w:r w:rsidR="003D3082" w:rsidRPr="00322F18">
        <w:rPr>
          <w:rFonts w:cs="Lucida Sans Unicode"/>
          <w:color w:val="000000"/>
          <w:szCs w:val="22"/>
          <w:lang w:val="pt-BR"/>
        </w:rPr>
        <w:t xml:space="preserve">: </w:t>
      </w:r>
      <w:r w:rsidR="004649B4" w:rsidRPr="00322F18">
        <w:rPr>
          <w:rFonts w:cs="Lucida Sans Unicode"/>
          <w:color w:val="000000"/>
          <w:szCs w:val="22"/>
          <w:lang w:val="pt-BR"/>
        </w:rPr>
        <w:t>Impulsionadas por maior demanda e preços de venda</w:t>
      </w:r>
      <w:r w:rsidR="004649B4" w:rsidRPr="00B52613">
        <w:rPr>
          <w:rFonts w:cs="Lucida Sans Unicode"/>
          <w:color w:val="000000"/>
          <w:szCs w:val="22"/>
          <w:lang w:val="pt-BR"/>
        </w:rPr>
        <w:t xml:space="preserve"> </w:t>
      </w:r>
      <w:r w:rsidR="004649B4" w:rsidRPr="00322F18">
        <w:rPr>
          <w:rFonts w:cs="Lucida Sans Unicode"/>
          <w:color w:val="000000"/>
          <w:szCs w:val="22"/>
          <w:lang w:val="pt-BR"/>
        </w:rPr>
        <w:t>em leve ascensão, as vendas do primeiro trimestre registraram um aumento de 2%, alcançando 900 milhões de euros. Os efeitos cambiais atenuaram essa tendência positiva. O negócio de aminoácidos essenciais (Animal Nutrition) foi favorecido</w:t>
      </w:r>
      <w:r w:rsidR="009C0FCD" w:rsidRPr="00322F18">
        <w:rPr>
          <w:rFonts w:cs="Lucida Sans Unicode"/>
          <w:color w:val="000000"/>
          <w:szCs w:val="22"/>
          <w:lang w:val="pt-BR"/>
        </w:rPr>
        <w:t xml:space="preserve"> pelo aumento dos volumes de vendas e preços ligeiramente mais elevados. As vendas apresentaram um avanço significativo. Em Health &amp; Care, os produtos Care Solutions apresentaram tendência positiva </w:t>
      </w:r>
      <w:r w:rsidR="00E34718" w:rsidRPr="00322F18">
        <w:rPr>
          <w:rFonts w:cs="Lucida Sans Unicode"/>
          <w:color w:val="000000"/>
          <w:szCs w:val="22"/>
          <w:lang w:val="pt-BR"/>
        </w:rPr>
        <w:t xml:space="preserve">de aumento </w:t>
      </w:r>
      <w:r w:rsidR="009C0FCD" w:rsidRPr="00322F18">
        <w:rPr>
          <w:rFonts w:cs="Lucida Sans Unicode"/>
          <w:color w:val="000000"/>
          <w:szCs w:val="22"/>
          <w:lang w:val="pt-BR"/>
        </w:rPr>
        <w:t xml:space="preserve">de volume. As vendas da Health &amp; Care, no entanto, permaneceram predominantemente abaixo do patamar do ano anterior, impactadas por preços de venda ligeiramente inferiores. Motivado por maiores volumes, custos variáveis mais baixos e economias provenientes da otimização do modelo de negócio na área de Animal Nutrition, o EBITDA ajustado da divisão disparou 84%, alcançando 140 milhões de euros. A margem de EBITDA ajustada avançou de 8,6 </w:t>
      </w:r>
      <w:r w:rsidR="004B3C5C" w:rsidRPr="00322F18">
        <w:rPr>
          <w:rFonts w:cs="Lucida Sans Unicode"/>
          <w:color w:val="000000"/>
          <w:szCs w:val="22"/>
          <w:lang w:val="pt-BR"/>
        </w:rPr>
        <w:t>%</w:t>
      </w:r>
      <w:r w:rsidR="009C0FCD" w:rsidRPr="00322F18">
        <w:rPr>
          <w:rFonts w:cs="Lucida Sans Unicode"/>
          <w:color w:val="000000"/>
          <w:szCs w:val="22"/>
          <w:lang w:val="pt-BR"/>
        </w:rPr>
        <w:t xml:space="preserve"> </w:t>
      </w:r>
      <w:r w:rsidR="00E34718" w:rsidRPr="00322F18">
        <w:rPr>
          <w:rFonts w:cs="Lucida Sans Unicode"/>
          <w:color w:val="000000"/>
          <w:szCs w:val="22"/>
          <w:lang w:val="pt-BR"/>
        </w:rPr>
        <w:t>para</w:t>
      </w:r>
      <w:r w:rsidR="009C0FCD" w:rsidRPr="00322F18">
        <w:rPr>
          <w:rFonts w:cs="Lucida Sans Unicode"/>
          <w:color w:val="000000"/>
          <w:szCs w:val="22"/>
          <w:lang w:val="pt-BR"/>
        </w:rPr>
        <w:t xml:space="preserve"> 15,6 </w:t>
      </w:r>
      <w:r w:rsidR="004B3C5C" w:rsidRPr="00322F18">
        <w:rPr>
          <w:rFonts w:cs="Lucida Sans Unicode"/>
          <w:color w:val="000000"/>
          <w:szCs w:val="22"/>
          <w:lang w:val="pt-BR"/>
        </w:rPr>
        <w:t>%</w:t>
      </w:r>
      <w:r w:rsidR="009C0FCD" w:rsidRPr="00322F18">
        <w:rPr>
          <w:rFonts w:cs="Lucida Sans Unicode"/>
          <w:color w:val="000000"/>
          <w:szCs w:val="22"/>
          <w:lang w:val="pt-BR"/>
        </w:rPr>
        <w:t>.</w:t>
      </w:r>
    </w:p>
    <w:p w14:paraId="60CB0AA8" w14:textId="77777777" w:rsidR="004649B4" w:rsidRPr="00322F18" w:rsidRDefault="004649B4" w:rsidP="00322F18">
      <w:pPr>
        <w:rPr>
          <w:rFonts w:cs="Lucida Sans Unicode"/>
          <w:color w:val="000000"/>
          <w:szCs w:val="22"/>
          <w:lang w:val="pt-BR"/>
        </w:rPr>
      </w:pPr>
    </w:p>
    <w:p w14:paraId="3E07D9C1" w14:textId="74057DB2" w:rsidR="003D3082" w:rsidRPr="00322F18" w:rsidRDefault="009F572D" w:rsidP="00322F18">
      <w:pPr>
        <w:rPr>
          <w:rFonts w:cs="Lucida Sans Unicode"/>
          <w:color w:val="000000"/>
          <w:szCs w:val="22"/>
          <w:lang w:val="pt-BR"/>
        </w:rPr>
      </w:pPr>
      <w:r w:rsidRPr="00322F18">
        <w:rPr>
          <w:rFonts w:cs="Lucida Sans Unicode"/>
          <w:b/>
          <w:bCs/>
          <w:color w:val="000000"/>
          <w:szCs w:val="22"/>
          <w:lang w:val="pt-BR"/>
        </w:rPr>
        <w:t>Smart Materials</w:t>
      </w:r>
      <w:r w:rsidR="003D3082" w:rsidRPr="00322F18">
        <w:rPr>
          <w:rFonts w:cs="Lucida Sans Unicode"/>
          <w:color w:val="000000"/>
          <w:szCs w:val="22"/>
          <w:lang w:val="pt-BR"/>
        </w:rPr>
        <w:t xml:space="preserve">: </w:t>
      </w:r>
      <w:r w:rsidR="006A798B" w:rsidRPr="00B52613">
        <w:rPr>
          <w:rFonts w:eastAsia="Lucida Sans Unicode" w:cs="Lucida Sans Unicode"/>
          <w:szCs w:val="22"/>
          <w:bdr w:val="nil"/>
          <w:lang w:val="pt-BR"/>
        </w:rPr>
        <w:t xml:space="preserve">A divisão Smart Materials apresentou um declínio de 8% nas vendas no primeiro trimestre de 2024, registrando 1,09 bilhão de euros. Os volumes se mantiveram praticamente estáveis, porém foi repassada a redução nos custos de matéria-prima e energia. A demanda por produtos inorgânicos continuou registrar queda. As vendas de polímeros diminuíram devido aos efeitos de preço e câmbio. Ainda assim, com 159 milhões de euros, o EBITDA ajustado foi apenas ligeiramente inferior ao registrado no ano anterior. A venda de uma licença para o processo de produção de peróxido de hidrogênio gerou </w:t>
      </w:r>
      <w:r w:rsidR="00CD70E4" w:rsidRPr="00B52613">
        <w:rPr>
          <w:rFonts w:eastAsia="Lucida Sans Unicode" w:cs="Lucida Sans Unicode"/>
          <w:szCs w:val="22"/>
          <w:bdr w:val="nil"/>
          <w:lang w:val="pt-BR"/>
        </w:rPr>
        <w:t xml:space="preserve">um </w:t>
      </w:r>
      <w:r w:rsidR="006A798B" w:rsidRPr="00B52613">
        <w:rPr>
          <w:rFonts w:eastAsia="Lucida Sans Unicode" w:cs="Lucida Sans Unicode"/>
          <w:szCs w:val="22"/>
          <w:bdr w:val="nil"/>
          <w:lang w:val="pt-BR"/>
        </w:rPr>
        <w:t xml:space="preserve">impacto positivo. </w:t>
      </w:r>
      <w:r w:rsidR="003D3082" w:rsidRPr="00322F18">
        <w:rPr>
          <w:rFonts w:cs="Lucida Sans Unicode"/>
          <w:color w:val="000000"/>
          <w:szCs w:val="22"/>
          <w:lang w:val="pt-BR"/>
        </w:rPr>
        <w:t>A margem EBITDA ajustada aumentou de 13,8% para 14,5%.</w:t>
      </w:r>
    </w:p>
    <w:p w14:paraId="4E39A0DF" w14:textId="77777777" w:rsidR="003D3082" w:rsidRPr="00322F18" w:rsidRDefault="003D3082" w:rsidP="00322F18">
      <w:pPr>
        <w:rPr>
          <w:rFonts w:cs="Lucida Sans Unicode"/>
          <w:color w:val="000000"/>
          <w:szCs w:val="22"/>
          <w:lang w:val="pt-BR"/>
        </w:rPr>
      </w:pPr>
    </w:p>
    <w:p w14:paraId="3A4342A6" w14:textId="2047F326" w:rsidR="00356629" w:rsidRPr="00322F18" w:rsidRDefault="009F572D" w:rsidP="00322F18">
      <w:pPr>
        <w:widowControl w:val="0"/>
        <w:overflowPunct w:val="0"/>
        <w:autoSpaceDE w:val="0"/>
        <w:autoSpaceDN w:val="0"/>
        <w:adjustRightInd w:val="0"/>
        <w:rPr>
          <w:rFonts w:cs="Lucida Sans Unicode"/>
          <w:szCs w:val="22"/>
        </w:rPr>
      </w:pPr>
      <w:r w:rsidRPr="00322F18">
        <w:rPr>
          <w:rFonts w:cs="Lucida Sans Unicode"/>
          <w:b/>
          <w:bCs/>
          <w:color w:val="000000"/>
          <w:szCs w:val="22"/>
          <w:lang w:val="pt-BR"/>
        </w:rPr>
        <w:t>Performance Materials</w:t>
      </w:r>
      <w:r w:rsidR="003D3082" w:rsidRPr="00322F18">
        <w:rPr>
          <w:rFonts w:cs="Lucida Sans Unicode"/>
          <w:color w:val="000000"/>
          <w:szCs w:val="22"/>
          <w:lang w:val="pt-BR"/>
        </w:rPr>
        <w:t xml:space="preserve">: </w:t>
      </w:r>
      <w:r w:rsidR="00356629" w:rsidRPr="00322F18">
        <w:rPr>
          <w:rFonts w:eastAsia="Lucida Sans Unicode" w:cs="Lucida Sans Unicode"/>
          <w:szCs w:val="22"/>
          <w:bdr w:val="nil"/>
          <w:lang w:val="pt-BR" w:eastAsia="pt-BR"/>
        </w:rPr>
        <w:t>Na divisão</w:t>
      </w:r>
      <w:r w:rsidR="00FB1CE9" w:rsidRPr="00322F18">
        <w:rPr>
          <w:rFonts w:eastAsia="Lucida Sans Unicode" w:cs="Lucida Sans Unicode"/>
          <w:szCs w:val="22"/>
          <w:bdr w:val="nil"/>
          <w:lang w:val="pt-BR" w:eastAsia="pt-BR"/>
        </w:rPr>
        <w:t xml:space="preserve"> de</w:t>
      </w:r>
      <w:r w:rsidR="00356629" w:rsidRPr="00322F18">
        <w:rPr>
          <w:rFonts w:eastAsia="Lucida Sans Unicode" w:cs="Lucida Sans Unicode"/>
          <w:szCs w:val="22"/>
          <w:bdr w:val="nil"/>
          <w:lang w:val="pt-BR" w:eastAsia="pt-BR"/>
        </w:rPr>
        <w:t xml:space="preserve"> Performance Materials, as vendas diminuíram 9%, chegando a 646 milhões de euros. Os efeitos positivos </w:t>
      </w:r>
      <w:r w:rsidR="002D3D8A" w:rsidRPr="00322F18">
        <w:rPr>
          <w:rFonts w:eastAsia="Lucida Sans Unicode" w:cs="Lucida Sans Unicode"/>
          <w:szCs w:val="22"/>
          <w:bdr w:val="nil"/>
          <w:lang w:val="pt-BR" w:eastAsia="pt-BR"/>
        </w:rPr>
        <w:t>do maior</w:t>
      </w:r>
      <w:r w:rsidR="00356629" w:rsidRPr="00322F18">
        <w:rPr>
          <w:rFonts w:eastAsia="Lucida Sans Unicode" w:cs="Lucida Sans Unicode"/>
          <w:szCs w:val="22"/>
          <w:bdr w:val="nil"/>
          <w:lang w:val="pt-BR" w:eastAsia="pt-BR"/>
        </w:rPr>
        <w:t xml:space="preserve"> volume foram </w:t>
      </w:r>
      <w:r w:rsidR="00860DBE" w:rsidRPr="00322F18">
        <w:rPr>
          <w:rFonts w:eastAsia="Lucida Sans Unicode" w:cs="Lucida Sans Unicode"/>
          <w:szCs w:val="22"/>
          <w:bdr w:val="nil"/>
          <w:lang w:val="pt-BR" w:eastAsia="pt-BR"/>
        </w:rPr>
        <w:t xml:space="preserve">significativamente impactados </w:t>
      </w:r>
      <w:r w:rsidR="00356629" w:rsidRPr="00322F18">
        <w:rPr>
          <w:rFonts w:eastAsia="Lucida Sans Unicode" w:cs="Lucida Sans Unicode"/>
          <w:szCs w:val="22"/>
          <w:bdr w:val="nil"/>
          <w:lang w:val="pt-BR" w:eastAsia="pt-BR"/>
        </w:rPr>
        <w:t xml:space="preserve">pelos preços mais baixos e efeitos cambiais </w:t>
      </w:r>
      <w:r w:rsidR="00356629" w:rsidRPr="00322F18">
        <w:rPr>
          <w:rFonts w:eastAsia="Lucida Sans Unicode" w:cs="Lucida Sans Unicode"/>
          <w:szCs w:val="22"/>
          <w:bdr w:val="nil"/>
          <w:lang w:val="pt-BR" w:eastAsia="pt-BR"/>
        </w:rPr>
        <w:lastRenderedPageBreak/>
        <w:t xml:space="preserve">negativos. O resultado do ano anterior também considerou as vendas provenientes da unidade de </w:t>
      </w:r>
      <w:proofErr w:type="spellStart"/>
      <w:r w:rsidR="00356629" w:rsidRPr="00322F18">
        <w:rPr>
          <w:rFonts w:eastAsia="Lucida Sans Unicode" w:cs="Lucida Sans Unicode"/>
          <w:szCs w:val="22"/>
          <w:bdr w:val="nil"/>
          <w:lang w:val="pt-BR" w:eastAsia="pt-BR"/>
        </w:rPr>
        <w:t>Luelsdorf</w:t>
      </w:r>
      <w:proofErr w:type="spellEnd"/>
      <w:r w:rsidR="00356629" w:rsidRPr="00322F18">
        <w:rPr>
          <w:rFonts w:eastAsia="Lucida Sans Unicode" w:cs="Lucida Sans Unicode"/>
          <w:szCs w:val="22"/>
          <w:bdr w:val="nil"/>
          <w:lang w:val="pt-BR" w:eastAsia="pt-BR"/>
        </w:rPr>
        <w:t xml:space="preserve">, que foi vendida em 30 de junho de 2023. Apesar dos preços mais baixos, os produtos da cadeia C4 (Intermediários de Performance) impulsionaram as vendas em decorrência da maior demanda de volume. Os superabsorventes se beneficiaram dos maiores volumes de vendas. O EBITDA ajustado aumentou em 16%, chegando a 43 milhões de euros, devido </w:t>
      </w:r>
      <w:r w:rsidR="004B3C5C" w:rsidRPr="00322F18">
        <w:rPr>
          <w:rFonts w:eastAsia="Lucida Sans Unicode" w:cs="Lucida Sans Unicode"/>
          <w:szCs w:val="22"/>
          <w:bdr w:val="nil"/>
          <w:lang w:val="pt-BR" w:eastAsia="pt-BR"/>
        </w:rPr>
        <w:t xml:space="preserve">principalmente </w:t>
      </w:r>
      <w:r w:rsidR="00356629" w:rsidRPr="00322F18">
        <w:rPr>
          <w:rFonts w:eastAsia="Lucida Sans Unicode" w:cs="Lucida Sans Unicode"/>
          <w:szCs w:val="22"/>
          <w:bdr w:val="nil"/>
          <w:lang w:val="pt-BR" w:eastAsia="pt-BR"/>
        </w:rPr>
        <w:t xml:space="preserve">aos volumes mais </w:t>
      </w:r>
      <w:r w:rsidR="004B3C5C" w:rsidRPr="00322F18">
        <w:rPr>
          <w:rFonts w:eastAsia="Lucida Sans Unicode" w:cs="Lucida Sans Unicode"/>
          <w:szCs w:val="22"/>
          <w:bdr w:val="nil"/>
          <w:lang w:val="pt-BR" w:eastAsia="pt-BR"/>
        </w:rPr>
        <w:t>elevados</w:t>
      </w:r>
      <w:r w:rsidR="00356629" w:rsidRPr="00322F18">
        <w:rPr>
          <w:rFonts w:eastAsia="Lucida Sans Unicode" w:cs="Lucida Sans Unicode"/>
          <w:szCs w:val="22"/>
          <w:bdr w:val="nil"/>
          <w:lang w:val="pt-BR" w:eastAsia="pt-BR"/>
        </w:rPr>
        <w:t xml:space="preserve">.  A margem de EBITDA ajustada cresceu de 5,2 </w:t>
      </w:r>
      <w:r w:rsidR="004B3C5C" w:rsidRPr="00322F18">
        <w:rPr>
          <w:rFonts w:eastAsia="Lucida Sans Unicode" w:cs="Lucida Sans Unicode"/>
          <w:szCs w:val="22"/>
          <w:bdr w:val="nil"/>
          <w:lang w:val="pt-BR" w:eastAsia="pt-BR"/>
        </w:rPr>
        <w:t>%</w:t>
      </w:r>
      <w:r w:rsidR="00356629" w:rsidRPr="00322F18">
        <w:rPr>
          <w:rFonts w:eastAsia="Lucida Sans Unicode" w:cs="Lucida Sans Unicode"/>
          <w:szCs w:val="22"/>
          <w:bdr w:val="nil"/>
          <w:lang w:val="pt-BR" w:eastAsia="pt-BR"/>
        </w:rPr>
        <w:t xml:space="preserve"> para 6,7 </w:t>
      </w:r>
      <w:r w:rsidR="004B3C5C" w:rsidRPr="00322F18">
        <w:rPr>
          <w:rFonts w:eastAsia="Lucida Sans Unicode" w:cs="Lucida Sans Unicode"/>
          <w:szCs w:val="22"/>
          <w:bdr w:val="nil"/>
          <w:lang w:val="pt-BR" w:eastAsia="pt-BR"/>
        </w:rPr>
        <w:t>%</w:t>
      </w:r>
      <w:r w:rsidR="00356629" w:rsidRPr="00322F18">
        <w:rPr>
          <w:rFonts w:eastAsia="Lucida Sans Unicode" w:cs="Lucida Sans Unicode"/>
          <w:szCs w:val="22"/>
          <w:bdr w:val="nil"/>
          <w:lang w:val="pt-BR" w:eastAsia="pt-BR"/>
        </w:rPr>
        <w:t>.</w:t>
      </w:r>
    </w:p>
    <w:p w14:paraId="3AA45764" w14:textId="4160A037" w:rsidR="003D3082" w:rsidRDefault="003D3082" w:rsidP="003D3082">
      <w:pPr>
        <w:rPr>
          <w:b/>
          <w:bCs/>
          <w:sz w:val="28"/>
          <w:szCs w:val="28"/>
        </w:rPr>
      </w:pPr>
    </w:p>
    <w:p w14:paraId="3796CAD3" w14:textId="47B8B352" w:rsidR="003D3082" w:rsidRDefault="003D3082" w:rsidP="0070259F">
      <w:pPr>
        <w:rPr>
          <w:b/>
          <w:bCs/>
          <w:sz w:val="28"/>
          <w:szCs w:val="28"/>
        </w:rPr>
      </w:pPr>
    </w:p>
    <w:p w14:paraId="1DA469CD" w14:textId="77777777" w:rsidR="00462845" w:rsidRPr="00356629" w:rsidRDefault="00462845" w:rsidP="00462845">
      <w:pPr>
        <w:rPr>
          <w:color w:val="000000"/>
          <w:lang w:val="pt-BR"/>
        </w:rPr>
      </w:pPr>
    </w:p>
    <w:tbl>
      <w:tblPr>
        <w:tblW w:w="9781" w:type="dxa"/>
        <w:tblLayout w:type="fixed"/>
        <w:tblCellMar>
          <w:left w:w="0" w:type="dxa"/>
          <w:right w:w="0" w:type="dxa"/>
        </w:tblCellMar>
        <w:tblLook w:val="04A0" w:firstRow="1" w:lastRow="0" w:firstColumn="1" w:lastColumn="0" w:noHBand="0" w:noVBand="1"/>
        <w:tblDescription w:val="SNEID_e9d1e4f83f5740ff9c30245b0b9f1953"/>
      </w:tblPr>
      <w:tblGrid>
        <w:gridCol w:w="6333"/>
        <w:gridCol w:w="119"/>
        <w:gridCol w:w="1021"/>
        <w:gridCol w:w="119"/>
        <w:gridCol w:w="1021"/>
        <w:gridCol w:w="119"/>
        <w:gridCol w:w="1049"/>
      </w:tblGrid>
      <w:tr w:rsidR="00462845" w:rsidRPr="00B52613" w14:paraId="6E15022D" w14:textId="77777777" w:rsidTr="00462845">
        <w:tc>
          <w:tcPr>
            <w:tcW w:w="9781" w:type="dxa"/>
            <w:gridSpan w:val="7"/>
            <w:vAlign w:val="bottom"/>
          </w:tcPr>
          <w:p w14:paraId="477BA926" w14:textId="1DD66D8F" w:rsidR="00462845" w:rsidRPr="00F53E96" w:rsidRDefault="00462845" w:rsidP="00F0526A">
            <w:pPr>
              <w:pStyle w:val="TTitleText"/>
              <w:rPr>
                <w:lang w:val="pt-BR"/>
              </w:rPr>
            </w:pPr>
            <w:bookmarkStart w:id="1" w:name="SNEID_e9d1e4f83f5740ff9c30245b0b9f1953"/>
            <w:r>
              <w:rPr>
                <w:lang w:val="pt-BR"/>
              </w:rPr>
              <w:t>Resumo do demonstrativo de resultados</w:t>
            </w:r>
          </w:p>
        </w:tc>
      </w:tr>
      <w:tr w:rsidR="00462845" w:rsidRPr="00B52613" w14:paraId="40D4B12A" w14:textId="77777777" w:rsidTr="00462845">
        <w:tc>
          <w:tcPr>
            <w:tcW w:w="6333" w:type="dxa"/>
            <w:tcBorders>
              <w:top w:val="single" w:sz="8" w:space="0" w:color="000000"/>
            </w:tcBorders>
            <w:vAlign w:val="bottom"/>
          </w:tcPr>
          <w:p w14:paraId="37015D5A" w14:textId="77777777" w:rsidR="00462845" w:rsidRPr="00F53E96" w:rsidRDefault="00462845" w:rsidP="00F0526A">
            <w:pPr>
              <w:pStyle w:val="TDummy"/>
              <w:keepNext/>
              <w:rPr>
                <w:lang w:val="pt-BR"/>
              </w:rPr>
            </w:pPr>
          </w:p>
        </w:tc>
        <w:tc>
          <w:tcPr>
            <w:tcW w:w="119" w:type="dxa"/>
            <w:tcBorders>
              <w:top w:val="single" w:sz="8" w:space="0" w:color="000000"/>
            </w:tcBorders>
            <w:vAlign w:val="bottom"/>
          </w:tcPr>
          <w:p w14:paraId="4A6719D7" w14:textId="77777777" w:rsidR="00462845" w:rsidRPr="00F53E96" w:rsidRDefault="00462845" w:rsidP="00F0526A">
            <w:pPr>
              <w:pStyle w:val="TDummy"/>
              <w:keepNext/>
              <w:rPr>
                <w:lang w:val="pt-BR"/>
              </w:rPr>
            </w:pPr>
          </w:p>
        </w:tc>
        <w:tc>
          <w:tcPr>
            <w:tcW w:w="1021" w:type="dxa"/>
            <w:tcBorders>
              <w:top w:val="single" w:sz="8" w:space="0" w:color="000000"/>
            </w:tcBorders>
            <w:vAlign w:val="bottom"/>
          </w:tcPr>
          <w:p w14:paraId="70572644" w14:textId="77777777" w:rsidR="00462845" w:rsidRPr="00F53E96" w:rsidRDefault="00462845" w:rsidP="00F0526A">
            <w:pPr>
              <w:pStyle w:val="TDummy"/>
              <w:keepNext/>
              <w:rPr>
                <w:lang w:val="pt-BR"/>
              </w:rPr>
            </w:pPr>
          </w:p>
        </w:tc>
        <w:tc>
          <w:tcPr>
            <w:tcW w:w="119" w:type="dxa"/>
            <w:tcBorders>
              <w:top w:val="single" w:sz="8" w:space="0" w:color="000000"/>
            </w:tcBorders>
            <w:vAlign w:val="bottom"/>
          </w:tcPr>
          <w:p w14:paraId="5A6404C0" w14:textId="77777777" w:rsidR="00462845" w:rsidRPr="00F53E96" w:rsidRDefault="00462845" w:rsidP="00F0526A">
            <w:pPr>
              <w:pStyle w:val="TDummy"/>
              <w:keepNext/>
              <w:rPr>
                <w:lang w:val="pt-BR"/>
              </w:rPr>
            </w:pPr>
          </w:p>
        </w:tc>
        <w:tc>
          <w:tcPr>
            <w:tcW w:w="1021" w:type="dxa"/>
            <w:tcBorders>
              <w:top w:val="single" w:sz="8" w:space="0" w:color="000000"/>
            </w:tcBorders>
            <w:vAlign w:val="bottom"/>
          </w:tcPr>
          <w:p w14:paraId="4A1711F1" w14:textId="77777777" w:rsidR="00462845" w:rsidRPr="00F53E96" w:rsidRDefault="00462845" w:rsidP="00F0526A">
            <w:pPr>
              <w:pStyle w:val="TDummy"/>
              <w:keepNext/>
              <w:rPr>
                <w:lang w:val="pt-BR"/>
              </w:rPr>
            </w:pPr>
          </w:p>
        </w:tc>
        <w:tc>
          <w:tcPr>
            <w:tcW w:w="119" w:type="dxa"/>
            <w:tcBorders>
              <w:top w:val="single" w:sz="8" w:space="0" w:color="000000"/>
            </w:tcBorders>
            <w:vAlign w:val="bottom"/>
          </w:tcPr>
          <w:p w14:paraId="72181C5F" w14:textId="77777777" w:rsidR="00462845" w:rsidRPr="00F53E96" w:rsidRDefault="00462845" w:rsidP="00F0526A">
            <w:pPr>
              <w:pStyle w:val="TDummy"/>
              <w:keepNext/>
              <w:rPr>
                <w:lang w:val="pt-BR"/>
              </w:rPr>
            </w:pPr>
          </w:p>
        </w:tc>
        <w:tc>
          <w:tcPr>
            <w:tcW w:w="1049" w:type="dxa"/>
            <w:tcBorders>
              <w:top w:val="single" w:sz="8" w:space="0" w:color="000000"/>
            </w:tcBorders>
            <w:vAlign w:val="bottom"/>
          </w:tcPr>
          <w:p w14:paraId="22054FD7" w14:textId="77777777" w:rsidR="00462845" w:rsidRPr="00F53E96" w:rsidRDefault="00462845" w:rsidP="00F0526A">
            <w:pPr>
              <w:pStyle w:val="TDummy"/>
              <w:keepNext/>
              <w:rPr>
                <w:lang w:val="pt-BR"/>
              </w:rPr>
            </w:pPr>
          </w:p>
        </w:tc>
      </w:tr>
      <w:tr w:rsidR="00462845" w14:paraId="1AA85CDB" w14:textId="77777777" w:rsidTr="00462845">
        <w:tc>
          <w:tcPr>
            <w:tcW w:w="6333" w:type="dxa"/>
            <w:shd w:val="clear" w:color="000000" w:fill="FFFFFF"/>
            <w:vAlign w:val="bottom"/>
          </w:tcPr>
          <w:p w14:paraId="3A9D6BBB" w14:textId="77777777" w:rsidR="00462845" w:rsidRPr="00F53E96" w:rsidRDefault="00462845" w:rsidP="00F0526A">
            <w:pPr>
              <w:pStyle w:val="THeadfirstNumber"/>
              <w:rPr>
                <w:lang w:val="pt-BR"/>
              </w:rPr>
            </w:pPr>
          </w:p>
        </w:tc>
        <w:tc>
          <w:tcPr>
            <w:tcW w:w="119" w:type="dxa"/>
            <w:vAlign w:val="bottom"/>
          </w:tcPr>
          <w:p w14:paraId="443AA5BF" w14:textId="77777777" w:rsidR="00462845" w:rsidRPr="00F53E96" w:rsidRDefault="00462845" w:rsidP="00F0526A">
            <w:pPr>
              <w:pStyle w:val="THeadfirstNumber"/>
              <w:rPr>
                <w:lang w:val="pt-BR"/>
              </w:rPr>
            </w:pPr>
          </w:p>
        </w:tc>
        <w:tc>
          <w:tcPr>
            <w:tcW w:w="3329" w:type="dxa"/>
            <w:gridSpan w:val="5"/>
            <w:tcBorders>
              <w:bottom w:val="single" w:sz="4" w:space="0" w:color="A59C94"/>
            </w:tcBorders>
            <w:shd w:val="clear" w:color="000000" w:fill="FFFFFF"/>
            <w:vAlign w:val="bottom"/>
          </w:tcPr>
          <w:p w14:paraId="18F56ECD" w14:textId="77777777" w:rsidR="00462845" w:rsidRDefault="00462845" w:rsidP="00F0526A">
            <w:pPr>
              <w:pStyle w:val="THeadfirstNumber"/>
            </w:pPr>
            <w:r>
              <w:t>1º trimestre</w:t>
            </w:r>
          </w:p>
        </w:tc>
      </w:tr>
      <w:tr w:rsidR="00462845" w14:paraId="46635BFF" w14:textId="77777777" w:rsidTr="00462845">
        <w:tc>
          <w:tcPr>
            <w:tcW w:w="6333" w:type="dxa"/>
            <w:tcBorders>
              <w:bottom w:val="single" w:sz="4" w:space="0" w:color="000000"/>
            </w:tcBorders>
            <w:shd w:val="clear" w:color="000000" w:fill="FFFFFF"/>
            <w:vAlign w:val="bottom"/>
          </w:tcPr>
          <w:p w14:paraId="47FF01BE" w14:textId="77777777" w:rsidR="00462845" w:rsidRDefault="00462845" w:rsidP="00F0526A">
            <w:pPr>
              <w:pStyle w:val="THeadlastText"/>
            </w:pPr>
            <w:r>
              <w:t>em milhões de euros</w:t>
            </w:r>
          </w:p>
        </w:tc>
        <w:tc>
          <w:tcPr>
            <w:tcW w:w="119" w:type="dxa"/>
            <w:vAlign w:val="bottom"/>
          </w:tcPr>
          <w:p w14:paraId="1CF2BB1B"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2700AF8F" w14:textId="77777777" w:rsidR="00462845" w:rsidRDefault="00462845" w:rsidP="00F0526A">
            <w:pPr>
              <w:pStyle w:val="THeadlastNumber"/>
            </w:pPr>
            <w:r>
              <w:t>2023</w:t>
            </w:r>
          </w:p>
        </w:tc>
        <w:tc>
          <w:tcPr>
            <w:tcW w:w="119" w:type="dxa"/>
            <w:vAlign w:val="bottom"/>
          </w:tcPr>
          <w:p w14:paraId="605BD5FE"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3E2D5155" w14:textId="77777777" w:rsidR="00462845" w:rsidRDefault="00462845" w:rsidP="00F0526A">
            <w:pPr>
              <w:pStyle w:val="THeadlastNumberbold"/>
            </w:pPr>
            <w:r>
              <w:t>2024</w:t>
            </w:r>
          </w:p>
        </w:tc>
        <w:tc>
          <w:tcPr>
            <w:tcW w:w="119" w:type="dxa"/>
            <w:vAlign w:val="bottom"/>
          </w:tcPr>
          <w:p w14:paraId="6B95FE78" w14:textId="77777777" w:rsidR="00462845" w:rsidRDefault="00462845" w:rsidP="00F0526A">
            <w:pPr>
              <w:pStyle w:val="THeadlastNumber"/>
            </w:pPr>
          </w:p>
        </w:tc>
        <w:tc>
          <w:tcPr>
            <w:tcW w:w="1049" w:type="dxa"/>
            <w:tcBorders>
              <w:top w:val="single" w:sz="4" w:space="0" w:color="A59C94"/>
              <w:bottom w:val="single" w:sz="4" w:space="0" w:color="000000"/>
            </w:tcBorders>
            <w:shd w:val="clear" w:color="000000" w:fill="FFFFFF"/>
            <w:vAlign w:val="bottom"/>
          </w:tcPr>
          <w:p w14:paraId="74504491" w14:textId="5BF55B59" w:rsidR="00462845" w:rsidRDefault="00272DA4" w:rsidP="00F0526A">
            <w:pPr>
              <w:pStyle w:val="THeaddifferenceNumber"/>
              <w:keepNext/>
            </w:pPr>
            <w:r>
              <w:t xml:space="preserve">Variação </w:t>
            </w:r>
            <w:r w:rsidR="00462845">
              <w:t>em %</w:t>
            </w:r>
          </w:p>
        </w:tc>
      </w:tr>
      <w:tr w:rsidR="00462845" w14:paraId="320ABF81" w14:textId="77777777" w:rsidTr="00462845">
        <w:tc>
          <w:tcPr>
            <w:tcW w:w="6333" w:type="dxa"/>
            <w:tcBorders>
              <w:top w:val="single" w:sz="4" w:space="0" w:color="000000"/>
              <w:bottom w:val="single" w:sz="4" w:space="0" w:color="A59C94"/>
            </w:tcBorders>
            <w:vAlign w:val="bottom"/>
          </w:tcPr>
          <w:p w14:paraId="6CCD2013" w14:textId="77777777" w:rsidR="00462845" w:rsidRDefault="00462845" w:rsidP="00F0526A">
            <w:pPr>
              <w:pStyle w:val="TBodysubtotalText"/>
              <w:keepNext/>
            </w:pPr>
            <w:r>
              <w:t>Vendas</w:t>
            </w:r>
          </w:p>
        </w:tc>
        <w:tc>
          <w:tcPr>
            <w:tcW w:w="119" w:type="dxa"/>
            <w:vAlign w:val="bottom"/>
          </w:tcPr>
          <w:p w14:paraId="14545BF6" w14:textId="77777777" w:rsidR="00462845" w:rsidRDefault="00462845" w:rsidP="00F0526A">
            <w:pPr>
              <w:pStyle w:val="TBodysubtotalNumber"/>
              <w:keepNext/>
            </w:pPr>
          </w:p>
        </w:tc>
        <w:tc>
          <w:tcPr>
            <w:tcW w:w="1021" w:type="dxa"/>
            <w:tcBorders>
              <w:top w:val="single" w:sz="4" w:space="0" w:color="000000"/>
              <w:bottom w:val="single" w:sz="4" w:space="0" w:color="A59C94"/>
            </w:tcBorders>
            <w:vAlign w:val="bottom"/>
          </w:tcPr>
          <w:p w14:paraId="0358A4F1" w14:textId="15ECD364" w:rsidR="00462845" w:rsidRDefault="00462845" w:rsidP="00F0526A">
            <w:pPr>
              <w:pStyle w:val="TBodysubtotalNumber"/>
              <w:keepNext/>
            </w:pPr>
            <w:r>
              <w:t>4</w:t>
            </w:r>
            <w:r w:rsidR="00644028">
              <w:t>.</w:t>
            </w:r>
            <w:r>
              <w:t>005</w:t>
            </w:r>
          </w:p>
        </w:tc>
        <w:tc>
          <w:tcPr>
            <w:tcW w:w="119" w:type="dxa"/>
            <w:vAlign w:val="bottom"/>
          </w:tcPr>
          <w:p w14:paraId="7ABC6A58" w14:textId="77777777" w:rsidR="00462845" w:rsidRDefault="00462845" w:rsidP="00F0526A">
            <w:pPr>
              <w:pStyle w:val="TBodysubtotalNumber"/>
              <w:keepNext/>
            </w:pPr>
          </w:p>
        </w:tc>
        <w:tc>
          <w:tcPr>
            <w:tcW w:w="1021" w:type="dxa"/>
            <w:tcBorders>
              <w:top w:val="single" w:sz="4" w:space="0" w:color="000000"/>
              <w:bottom w:val="single" w:sz="4" w:space="0" w:color="A59C94"/>
            </w:tcBorders>
            <w:shd w:val="clear" w:color="000000" w:fill="DAD5C9"/>
            <w:vAlign w:val="bottom"/>
          </w:tcPr>
          <w:p w14:paraId="2948A609" w14:textId="0E8D9040" w:rsidR="00462845" w:rsidRDefault="00462845" w:rsidP="00F0526A">
            <w:pPr>
              <w:pStyle w:val="TBodysubtotalNumber"/>
              <w:keepNext/>
            </w:pPr>
            <w:r>
              <w:t>3</w:t>
            </w:r>
            <w:r w:rsidR="00644028">
              <w:t>.</w:t>
            </w:r>
            <w:r>
              <w:t>796</w:t>
            </w:r>
          </w:p>
        </w:tc>
        <w:tc>
          <w:tcPr>
            <w:tcW w:w="119" w:type="dxa"/>
            <w:vAlign w:val="bottom"/>
          </w:tcPr>
          <w:p w14:paraId="631668AE" w14:textId="77777777" w:rsidR="00462845" w:rsidRDefault="00462845" w:rsidP="00F0526A">
            <w:pPr>
              <w:pStyle w:val="TBodysubtotalNumber"/>
              <w:keepNext/>
            </w:pPr>
          </w:p>
        </w:tc>
        <w:tc>
          <w:tcPr>
            <w:tcW w:w="1049" w:type="dxa"/>
            <w:tcBorders>
              <w:top w:val="single" w:sz="4" w:space="0" w:color="000000"/>
              <w:bottom w:val="single" w:sz="4" w:space="0" w:color="A59C94"/>
            </w:tcBorders>
            <w:vAlign w:val="bottom"/>
          </w:tcPr>
          <w:p w14:paraId="6DBACB00" w14:textId="77777777" w:rsidR="00462845" w:rsidRDefault="00462845" w:rsidP="00F0526A">
            <w:pPr>
              <w:pStyle w:val="TBodysubtotalNumber"/>
              <w:keepNext/>
            </w:pPr>
            <w:r>
              <w:t>-5</w:t>
            </w:r>
          </w:p>
        </w:tc>
      </w:tr>
      <w:tr w:rsidR="00462845" w14:paraId="7058FF9C" w14:textId="77777777" w:rsidTr="00462845">
        <w:tc>
          <w:tcPr>
            <w:tcW w:w="6333" w:type="dxa"/>
            <w:tcBorders>
              <w:top w:val="single" w:sz="4" w:space="0" w:color="A59C94"/>
              <w:bottom w:val="single" w:sz="4" w:space="0" w:color="A59C94"/>
            </w:tcBorders>
            <w:vAlign w:val="bottom"/>
          </w:tcPr>
          <w:p w14:paraId="61617F1E" w14:textId="77777777" w:rsidR="00462845" w:rsidRDefault="00462845" w:rsidP="00F0526A">
            <w:pPr>
              <w:pStyle w:val="TBodysubtotalText"/>
              <w:keepNext/>
            </w:pPr>
            <w:r>
              <w:t>EBITDA ajustado</w:t>
            </w:r>
          </w:p>
        </w:tc>
        <w:tc>
          <w:tcPr>
            <w:tcW w:w="119" w:type="dxa"/>
            <w:vAlign w:val="bottom"/>
          </w:tcPr>
          <w:p w14:paraId="74569822" w14:textId="77777777" w:rsidR="00462845" w:rsidRDefault="00462845" w:rsidP="00F0526A">
            <w:pPr>
              <w:pStyle w:val="TBodysubtotalNumber"/>
              <w:keepNext/>
            </w:pPr>
          </w:p>
        </w:tc>
        <w:tc>
          <w:tcPr>
            <w:tcW w:w="1021" w:type="dxa"/>
            <w:tcBorders>
              <w:top w:val="single" w:sz="4" w:space="0" w:color="A59C94"/>
              <w:bottom w:val="single" w:sz="4" w:space="0" w:color="A59C94"/>
            </w:tcBorders>
            <w:vAlign w:val="bottom"/>
          </w:tcPr>
          <w:p w14:paraId="39174251" w14:textId="77777777" w:rsidR="00462845" w:rsidRDefault="00462845" w:rsidP="00F0526A">
            <w:pPr>
              <w:pStyle w:val="TBodysubtotalNumber"/>
              <w:keepNext/>
            </w:pPr>
            <w:r>
              <w:t>409</w:t>
            </w:r>
          </w:p>
        </w:tc>
        <w:tc>
          <w:tcPr>
            <w:tcW w:w="119" w:type="dxa"/>
            <w:vAlign w:val="bottom"/>
          </w:tcPr>
          <w:p w14:paraId="4C5801E7" w14:textId="77777777" w:rsidR="00462845" w:rsidRDefault="00462845" w:rsidP="00F0526A">
            <w:pPr>
              <w:pStyle w:val="TBodysubtotalNumber"/>
              <w:keepNext/>
            </w:pPr>
          </w:p>
        </w:tc>
        <w:tc>
          <w:tcPr>
            <w:tcW w:w="1021" w:type="dxa"/>
            <w:tcBorders>
              <w:top w:val="single" w:sz="4" w:space="0" w:color="A59C94"/>
              <w:bottom w:val="single" w:sz="4" w:space="0" w:color="A59C94"/>
            </w:tcBorders>
            <w:shd w:val="clear" w:color="000000" w:fill="DAD5C9"/>
            <w:vAlign w:val="bottom"/>
          </w:tcPr>
          <w:p w14:paraId="674DEB02" w14:textId="77777777" w:rsidR="00462845" w:rsidRDefault="00462845" w:rsidP="00F0526A">
            <w:pPr>
              <w:pStyle w:val="TBodysubtotalNumber"/>
              <w:keepNext/>
            </w:pPr>
            <w:r>
              <w:t>522</w:t>
            </w:r>
          </w:p>
        </w:tc>
        <w:tc>
          <w:tcPr>
            <w:tcW w:w="119" w:type="dxa"/>
            <w:vAlign w:val="bottom"/>
          </w:tcPr>
          <w:p w14:paraId="333DA1BD" w14:textId="77777777" w:rsidR="00462845" w:rsidRDefault="00462845" w:rsidP="00F0526A">
            <w:pPr>
              <w:pStyle w:val="TBodysubtotalNumber"/>
              <w:keepNext/>
            </w:pPr>
          </w:p>
        </w:tc>
        <w:tc>
          <w:tcPr>
            <w:tcW w:w="1049" w:type="dxa"/>
            <w:tcBorders>
              <w:top w:val="single" w:sz="4" w:space="0" w:color="A59C94"/>
              <w:bottom w:val="single" w:sz="4" w:space="0" w:color="A59C94"/>
            </w:tcBorders>
            <w:vAlign w:val="bottom"/>
          </w:tcPr>
          <w:p w14:paraId="5E72ACB8" w14:textId="77777777" w:rsidR="00462845" w:rsidRDefault="00462845" w:rsidP="00F0526A">
            <w:pPr>
              <w:pStyle w:val="TBodysubtotalNumber"/>
              <w:keepNext/>
            </w:pPr>
            <w:r>
              <w:t>28</w:t>
            </w:r>
          </w:p>
        </w:tc>
      </w:tr>
      <w:tr w:rsidR="00462845" w14:paraId="5276C0D2" w14:textId="77777777" w:rsidTr="00462845">
        <w:tc>
          <w:tcPr>
            <w:tcW w:w="6333" w:type="dxa"/>
            <w:tcBorders>
              <w:top w:val="single" w:sz="4" w:space="0" w:color="A59C94"/>
              <w:bottom w:val="single" w:sz="4" w:space="0" w:color="A59C94"/>
            </w:tcBorders>
            <w:vAlign w:val="bottom"/>
          </w:tcPr>
          <w:p w14:paraId="2152EBAD" w14:textId="77777777" w:rsidR="00462845" w:rsidRDefault="00462845" w:rsidP="00F0526A">
            <w:pPr>
              <w:pStyle w:val="TBodysubtotalText"/>
              <w:keepNext/>
            </w:pPr>
            <w:r>
              <w:t>EBIT ajustado</w:t>
            </w:r>
          </w:p>
        </w:tc>
        <w:tc>
          <w:tcPr>
            <w:tcW w:w="119" w:type="dxa"/>
            <w:vAlign w:val="bottom"/>
          </w:tcPr>
          <w:p w14:paraId="052803D3" w14:textId="77777777" w:rsidR="00462845" w:rsidRDefault="00462845" w:rsidP="00F0526A">
            <w:pPr>
              <w:pStyle w:val="TBodysubtotalNumber"/>
              <w:keepNext/>
            </w:pPr>
          </w:p>
        </w:tc>
        <w:tc>
          <w:tcPr>
            <w:tcW w:w="1021" w:type="dxa"/>
            <w:tcBorders>
              <w:top w:val="single" w:sz="4" w:space="0" w:color="A59C94"/>
              <w:bottom w:val="single" w:sz="4" w:space="0" w:color="A59C94"/>
            </w:tcBorders>
            <w:vAlign w:val="bottom"/>
          </w:tcPr>
          <w:p w14:paraId="6B275D10" w14:textId="77777777" w:rsidR="00462845" w:rsidRDefault="00462845" w:rsidP="00F0526A">
            <w:pPr>
              <w:pStyle w:val="TBodysubtotalNumber"/>
              <w:keepNext/>
            </w:pPr>
            <w:r>
              <w:t>130</w:t>
            </w:r>
          </w:p>
        </w:tc>
        <w:tc>
          <w:tcPr>
            <w:tcW w:w="119" w:type="dxa"/>
            <w:vAlign w:val="bottom"/>
          </w:tcPr>
          <w:p w14:paraId="602A1D7B" w14:textId="77777777" w:rsidR="00462845" w:rsidRDefault="00462845" w:rsidP="00F0526A">
            <w:pPr>
              <w:pStyle w:val="TBodysubtotalNumber"/>
              <w:keepNext/>
            </w:pPr>
          </w:p>
        </w:tc>
        <w:tc>
          <w:tcPr>
            <w:tcW w:w="1021" w:type="dxa"/>
            <w:tcBorders>
              <w:top w:val="single" w:sz="4" w:space="0" w:color="A59C94"/>
              <w:bottom w:val="single" w:sz="4" w:space="0" w:color="A59C94"/>
            </w:tcBorders>
            <w:shd w:val="clear" w:color="000000" w:fill="DAD5C9"/>
            <w:vAlign w:val="bottom"/>
          </w:tcPr>
          <w:p w14:paraId="4AB9DC76" w14:textId="77777777" w:rsidR="00462845" w:rsidRDefault="00462845" w:rsidP="00F0526A">
            <w:pPr>
              <w:pStyle w:val="TBodysubtotalNumber"/>
              <w:keepNext/>
            </w:pPr>
            <w:r>
              <w:t>266</w:t>
            </w:r>
          </w:p>
        </w:tc>
        <w:tc>
          <w:tcPr>
            <w:tcW w:w="119" w:type="dxa"/>
            <w:vAlign w:val="bottom"/>
          </w:tcPr>
          <w:p w14:paraId="574B8078" w14:textId="77777777" w:rsidR="00462845" w:rsidRDefault="00462845" w:rsidP="00F0526A">
            <w:pPr>
              <w:pStyle w:val="TBodysubtotalNumber"/>
              <w:keepNext/>
            </w:pPr>
          </w:p>
        </w:tc>
        <w:tc>
          <w:tcPr>
            <w:tcW w:w="1049" w:type="dxa"/>
            <w:tcBorders>
              <w:top w:val="single" w:sz="4" w:space="0" w:color="A59C94"/>
              <w:bottom w:val="single" w:sz="4" w:space="0" w:color="A59C94"/>
            </w:tcBorders>
            <w:vAlign w:val="bottom"/>
          </w:tcPr>
          <w:p w14:paraId="068C6120" w14:textId="77777777" w:rsidR="00462845" w:rsidRDefault="00462845" w:rsidP="00F0526A">
            <w:pPr>
              <w:pStyle w:val="TBodysubtotalNumber"/>
              <w:keepNext/>
            </w:pPr>
            <w:r>
              <w:t>105</w:t>
            </w:r>
          </w:p>
        </w:tc>
      </w:tr>
      <w:tr w:rsidR="00462845" w14:paraId="03538E1E" w14:textId="77777777" w:rsidTr="00462845">
        <w:tc>
          <w:tcPr>
            <w:tcW w:w="6333" w:type="dxa"/>
            <w:tcBorders>
              <w:top w:val="single" w:sz="4" w:space="0" w:color="A59C94"/>
              <w:bottom w:val="single" w:sz="4" w:space="0" w:color="A59C94"/>
            </w:tcBorders>
            <w:vAlign w:val="bottom"/>
          </w:tcPr>
          <w:p w14:paraId="30D01AF9" w14:textId="77777777" w:rsidR="00462845" w:rsidRDefault="00462845" w:rsidP="00F0526A">
            <w:pPr>
              <w:pStyle w:val="TBodynormalText"/>
            </w:pPr>
            <w:r>
              <w:t>Ajustes</w:t>
            </w:r>
          </w:p>
        </w:tc>
        <w:tc>
          <w:tcPr>
            <w:tcW w:w="119" w:type="dxa"/>
            <w:vAlign w:val="bottom"/>
          </w:tcPr>
          <w:p w14:paraId="3AA77E66" w14:textId="77777777" w:rsidR="00462845" w:rsidRDefault="00462845" w:rsidP="00F0526A">
            <w:pPr>
              <w:pStyle w:val="TBodynormalNumber"/>
              <w:keepNext/>
            </w:pPr>
          </w:p>
        </w:tc>
        <w:tc>
          <w:tcPr>
            <w:tcW w:w="1021" w:type="dxa"/>
            <w:tcBorders>
              <w:top w:val="single" w:sz="4" w:space="0" w:color="A59C94"/>
              <w:bottom w:val="single" w:sz="4" w:space="0" w:color="A59C94"/>
            </w:tcBorders>
            <w:vAlign w:val="bottom"/>
          </w:tcPr>
          <w:p w14:paraId="46A8F4E2" w14:textId="77777777" w:rsidR="00462845" w:rsidRDefault="00462845" w:rsidP="00F0526A">
            <w:pPr>
              <w:pStyle w:val="TBodynormalNumber"/>
              <w:keepNext/>
            </w:pPr>
            <w:r>
              <w:t>-47</w:t>
            </w:r>
          </w:p>
        </w:tc>
        <w:tc>
          <w:tcPr>
            <w:tcW w:w="119" w:type="dxa"/>
            <w:vAlign w:val="bottom"/>
          </w:tcPr>
          <w:p w14:paraId="5AC7562B"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vAlign w:val="bottom"/>
          </w:tcPr>
          <w:p w14:paraId="2C41A82F" w14:textId="77777777" w:rsidR="00462845" w:rsidRDefault="00462845" w:rsidP="00F0526A">
            <w:pPr>
              <w:pStyle w:val="TBodynormalNumber"/>
              <w:keepNext/>
            </w:pPr>
            <w:r>
              <w:t>-14</w:t>
            </w:r>
          </w:p>
        </w:tc>
        <w:tc>
          <w:tcPr>
            <w:tcW w:w="119" w:type="dxa"/>
            <w:vAlign w:val="bottom"/>
          </w:tcPr>
          <w:p w14:paraId="6DDDD083" w14:textId="77777777" w:rsidR="00462845" w:rsidRDefault="00462845" w:rsidP="00F0526A">
            <w:pPr>
              <w:pStyle w:val="TBodynormalNumber"/>
              <w:keepNext/>
            </w:pPr>
          </w:p>
        </w:tc>
        <w:tc>
          <w:tcPr>
            <w:tcW w:w="1049" w:type="dxa"/>
            <w:tcBorders>
              <w:top w:val="single" w:sz="4" w:space="0" w:color="A59C94"/>
              <w:bottom w:val="single" w:sz="4" w:space="0" w:color="A59C94"/>
            </w:tcBorders>
            <w:vAlign w:val="bottom"/>
          </w:tcPr>
          <w:p w14:paraId="71952FB1" w14:textId="77777777" w:rsidR="00462845" w:rsidRDefault="00462845" w:rsidP="00F0526A">
            <w:pPr>
              <w:pStyle w:val="TBodynormalNumber"/>
              <w:keepNext/>
            </w:pPr>
          </w:p>
        </w:tc>
      </w:tr>
      <w:tr w:rsidR="00462845" w14:paraId="32859E7C" w14:textId="77777777" w:rsidTr="00462845">
        <w:tc>
          <w:tcPr>
            <w:tcW w:w="6333" w:type="dxa"/>
            <w:tcBorders>
              <w:top w:val="single" w:sz="4" w:space="0" w:color="A59C94"/>
              <w:bottom w:val="single" w:sz="4" w:space="0" w:color="A59C94"/>
            </w:tcBorders>
            <w:vAlign w:val="bottom"/>
          </w:tcPr>
          <w:p w14:paraId="377FCF45" w14:textId="77777777" w:rsidR="00462845" w:rsidRDefault="00462845" w:rsidP="00F0526A">
            <w:pPr>
              <w:pStyle w:val="TBodynormalText"/>
            </w:pPr>
            <w:r>
              <w:t>Resultado financeiro</w:t>
            </w:r>
          </w:p>
        </w:tc>
        <w:tc>
          <w:tcPr>
            <w:tcW w:w="119" w:type="dxa"/>
            <w:vAlign w:val="bottom"/>
          </w:tcPr>
          <w:p w14:paraId="3D3F50A7" w14:textId="77777777" w:rsidR="00462845" w:rsidRDefault="00462845" w:rsidP="00F0526A">
            <w:pPr>
              <w:pStyle w:val="TBodynormalNumber"/>
              <w:keepNext/>
            </w:pPr>
          </w:p>
        </w:tc>
        <w:tc>
          <w:tcPr>
            <w:tcW w:w="1021" w:type="dxa"/>
            <w:tcBorders>
              <w:top w:val="single" w:sz="4" w:space="0" w:color="A59C94"/>
              <w:bottom w:val="single" w:sz="4" w:space="0" w:color="A59C94"/>
            </w:tcBorders>
            <w:vAlign w:val="bottom"/>
          </w:tcPr>
          <w:p w14:paraId="4105E531" w14:textId="77777777" w:rsidR="00462845" w:rsidRDefault="00462845" w:rsidP="00F0526A">
            <w:pPr>
              <w:pStyle w:val="TBodynormalNumber"/>
              <w:keepNext/>
            </w:pPr>
            <w:r>
              <w:t>-14</w:t>
            </w:r>
          </w:p>
        </w:tc>
        <w:tc>
          <w:tcPr>
            <w:tcW w:w="119" w:type="dxa"/>
            <w:vAlign w:val="bottom"/>
          </w:tcPr>
          <w:p w14:paraId="1A36706E"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vAlign w:val="bottom"/>
          </w:tcPr>
          <w:p w14:paraId="3583E774" w14:textId="77777777" w:rsidR="00462845" w:rsidRDefault="00462845" w:rsidP="00F0526A">
            <w:pPr>
              <w:pStyle w:val="TBodynormalNumber"/>
              <w:keepNext/>
            </w:pPr>
            <w:r>
              <w:t>-33</w:t>
            </w:r>
          </w:p>
        </w:tc>
        <w:tc>
          <w:tcPr>
            <w:tcW w:w="119" w:type="dxa"/>
            <w:vAlign w:val="bottom"/>
          </w:tcPr>
          <w:p w14:paraId="20532F86" w14:textId="77777777" w:rsidR="00462845" w:rsidRDefault="00462845" w:rsidP="00F0526A">
            <w:pPr>
              <w:pStyle w:val="TBodynormalNumber"/>
              <w:keepNext/>
            </w:pPr>
          </w:p>
        </w:tc>
        <w:tc>
          <w:tcPr>
            <w:tcW w:w="1049" w:type="dxa"/>
            <w:tcBorders>
              <w:top w:val="single" w:sz="4" w:space="0" w:color="A59C94"/>
              <w:bottom w:val="single" w:sz="4" w:space="0" w:color="A59C94"/>
            </w:tcBorders>
            <w:vAlign w:val="bottom"/>
          </w:tcPr>
          <w:p w14:paraId="3252EE1D" w14:textId="77777777" w:rsidR="00462845" w:rsidRDefault="00462845" w:rsidP="00F0526A">
            <w:pPr>
              <w:pStyle w:val="TBodynormalNumber"/>
              <w:keepNext/>
            </w:pPr>
          </w:p>
        </w:tc>
      </w:tr>
      <w:tr w:rsidR="00462845" w14:paraId="7030FF44" w14:textId="77777777" w:rsidTr="00462845">
        <w:tc>
          <w:tcPr>
            <w:tcW w:w="6333" w:type="dxa"/>
            <w:tcBorders>
              <w:top w:val="single" w:sz="4" w:space="0" w:color="A59C94"/>
              <w:bottom w:val="single" w:sz="4" w:space="0" w:color="000000"/>
            </w:tcBorders>
            <w:vAlign w:val="bottom"/>
          </w:tcPr>
          <w:p w14:paraId="4B1DCD9E" w14:textId="33687E4B" w:rsidR="00462845" w:rsidRPr="00F53E96" w:rsidRDefault="00462845" w:rsidP="00F0526A">
            <w:pPr>
              <w:pStyle w:val="TBodysubtotalText"/>
              <w:keepNext/>
              <w:rPr>
                <w:lang w:val="pt-BR"/>
              </w:rPr>
            </w:pPr>
            <w:r w:rsidRPr="00F53E96">
              <w:rPr>
                <w:lang w:val="pt-BR"/>
              </w:rPr>
              <w:t xml:space="preserve">Lucro antes </w:t>
            </w:r>
            <w:r w:rsidR="00272DA4">
              <w:rPr>
                <w:lang w:val="pt-BR"/>
              </w:rPr>
              <w:t>do IR</w:t>
            </w:r>
            <w:r w:rsidRPr="00F53E96">
              <w:rPr>
                <w:lang w:val="pt-BR"/>
              </w:rPr>
              <w:t>, operações cont</w:t>
            </w:r>
            <w:r w:rsidR="00272DA4">
              <w:rPr>
                <w:lang w:val="pt-BR"/>
              </w:rPr>
              <w:t>inuadas</w:t>
            </w:r>
          </w:p>
        </w:tc>
        <w:tc>
          <w:tcPr>
            <w:tcW w:w="119" w:type="dxa"/>
            <w:vAlign w:val="bottom"/>
          </w:tcPr>
          <w:p w14:paraId="516606AE" w14:textId="77777777" w:rsidR="00462845" w:rsidRPr="00F53E96" w:rsidRDefault="00462845" w:rsidP="00F0526A">
            <w:pPr>
              <w:pStyle w:val="TBodysubtotalNumber"/>
              <w:keepNext/>
              <w:rPr>
                <w:lang w:val="pt-BR"/>
              </w:rPr>
            </w:pPr>
          </w:p>
        </w:tc>
        <w:tc>
          <w:tcPr>
            <w:tcW w:w="1021" w:type="dxa"/>
            <w:tcBorders>
              <w:top w:val="single" w:sz="4" w:space="0" w:color="A59C94"/>
              <w:bottom w:val="single" w:sz="4" w:space="0" w:color="000000"/>
            </w:tcBorders>
            <w:vAlign w:val="bottom"/>
          </w:tcPr>
          <w:p w14:paraId="521B2AB6" w14:textId="77777777" w:rsidR="00462845" w:rsidRDefault="00462845" w:rsidP="00F0526A">
            <w:pPr>
              <w:pStyle w:val="TBodysubtotalNumber"/>
              <w:keepNext/>
            </w:pPr>
            <w:r>
              <w:t>69</w:t>
            </w:r>
          </w:p>
        </w:tc>
        <w:tc>
          <w:tcPr>
            <w:tcW w:w="119" w:type="dxa"/>
            <w:vAlign w:val="bottom"/>
          </w:tcPr>
          <w:p w14:paraId="7742585D" w14:textId="77777777" w:rsidR="00462845" w:rsidRDefault="00462845" w:rsidP="00F0526A">
            <w:pPr>
              <w:pStyle w:val="TBodysubtotalNumber"/>
              <w:keepNext/>
            </w:pPr>
          </w:p>
        </w:tc>
        <w:tc>
          <w:tcPr>
            <w:tcW w:w="1021" w:type="dxa"/>
            <w:tcBorders>
              <w:top w:val="single" w:sz="4" w:space="0" w:color="A59C94"/>
              <w:bottom w:val="single" w:sz="4" w:space="0" w:color="000000"/>
            </w:tcBorders>
            <w:shd w:val="clear" w:color="000000" w:fill="DAD5C9"/>
            <w:vAlign w:val="bottom"/>
          </w:tcPr>
          <w:p w14:paraId="4744D63B" w14:textId="77777777" w:rsidR="00462845" w:rsidRDefault="00462845" w:rsidP="00F0526A">
            <w:pPr>
              <w:pStyle w:val="TBodysubtotalNumber"/>
              <w:keepNext/>
            </w:pPr>
            <w:r>
              <w:t>219</w:t>
            </w:r>
          </w:p>
        </w:tc>
        <w:tc>
          <w:tcPr>
            <w:tcW w:w="119" w:type="dxa"/>
            <w:vAlign w:val="bottom"/>
          </w:tcPr>
          <w:p w14:paraId="36DB6562" w14:textId="77777777" w:rsidR="00462845" w:rsidRDefault="00462845" w:rsidP="00F0526A">
            <w:pPr>
              <w:pStyle w:val="TBodysubtotalNumber"/>
              <w:keepNext/>
            </w:pPr>
          </w:p>
        </w:tc>
        <w:tc>
          <w:tcPr>
            <w:tcW w:w="1049" w:type="dxa"/>
            <w:tcBorders>
              <w:top w:val="single" w:sz="4" w:space="0" w:color="A59C94"/>
              <w:bottom w:val="single" w:sz="4" w:space="0" w:color="000000"/>
            </w:tcBorders>
            <w:vAlign w:val="bottom"/>
          </w:tcPr>
          <w:p w14:paraId="19CD332D" w14:textId="77777777" w:rsidR="00462845" w:rsidRDefault="00462845" w:rsidP="00F0526A">
            <w:pPr>
              <w:pStyle w:val="TBodysubtotalNumber"/>
              <w:keepNext/>
            </w:pPr>
            <w:r>
              <w:t>217</w:t>
            </w:r>
          </w:p>
        </w:tc>
      </w:tr>
      <w:tr w:rsidR="00462845" w14:paraId="0C597BBE" w14:textId="77777777" w:rsidTr="00462845">
        <w:tc>
          <w:tcPr>
            <w:tcW w:w="6333" w:type="dxa"/>
            <w:tcBorders>
              <w:top w:val="single" w:sz="4" w:space="0" w:color="000000"/>
              <w:bottom w:val="single" w:sz="4" w:space="0" w:color="A59C94"/>
            </w:tcBorders>
            <w:vAlign w:val="bottom"/>
          </w:tcPr>
          <w:p w14:paraId="22BDBD34" w14:textId="2DDC3C02" w:rsidR="00462845" w:rsidRPr="003B50BB" w:rsidRDefault="00462845" w:rsidP="00F0526A">
            <w:pPr>
              <w:pStyle w:val="TBodynormalText"/>
              <w:rPr>
                <w:color w:val="auto"/>
              </w:rPr>
            </w:pPr>
            <w:r w:rsidRPr="003B50BB">
              <w:rPr>
                <w:color w:val="auto"/>
              </w:rPr>
              <w:t xml:space="preserve">Impostos </w:t>
            </w:r>
            <w:r w:rsidR="00272DA4" w:rsidRPr="003B50BB">
              <w:rPr>
                <w:color w:val="auto"/>
              </w:rPr>
              <w:t>de</w:t>
            </w:r>
            <w:r w:rsidRPr="003B50BB">
              <w:rPr>
                <w:color w:val="auto"/>
              </w:rPr>
              <w:t xml:space="preserve"> renda</w:t>
            </w:r>
          </w:p>
        </w:tc>
        <w:tc>
          <w:tcPr>
            <w:tcW w:w="119" w:type="dxa"/>
            <w:vAlign w:val="bottom"/>
          </w:tcPr>
          <w:p w14:paraId="64104423" w14:textId="77777777" w:rsidR="00462845" w:rsidRDefault="00462845" w:rsidP="00F0526A">
            <w:pPr>
              <w:pStyle w:val="TBodynormalNumber"/>
              <w:keepNext/>
            </w:pPr>
          </w:p>
        </w:tc>
        <w:tc>
          <w:tcPr>
            <w:tcW w:w="1021" w:type="dxa"/>
            <w:tcBorders>
              <w:top w:val="single" w:sz="4" w:space="0" w:color="000000"/>
              <w:bottom w:val="single" w:sz="4" w:space="0" w:color="A59C94"/>
            </w:tcBorders>
            <w:vAlign w:val="bottom"/>
          </w:tcPr>
          <w:p w14:paraId="5F12E128" w14:textId="77777777" w:rsidR="00462845" w:rsidRDefault="00462845" w:rsidP="00F0526A">
            <w:pPr>
              <w:pStyle w:val="TBodynormalNumber"/>
              <w:keepNext/>
            </w:pPr>
            <w:r>
              <w:t>-20</w:t>
            </w:r>
          </w:p>
        </w:tc>
        <w:tc>
          <w:tcPr>
            <w:tcW w:w="119" w:type="dxa"/>
            <w:vAlign w:val="bottom"/>
          </w:tcPr>
          <w:p w14:paraId="7254B1B1" w14:textId="77777777" w:rsidR="00462845" w:rsidRDefault="00462845" w:rsidP="00F0526A">
            <w:pPr>
              <w:pStyle w:val="TBodynormalNumber"/>
              <w:keepNext/>
            </w:pPr>
          </w:p>
        </w:tc>
        <w:tc>
          <w:tcPr>
            <w:tcW w:w="1021" w:type="dxa"/>
            <w:tcBorders>
              <w:top w:val="single" w:sz="4" w:space="0" w:color="000000"/>
              <w:bottom w:val="single" w:sz="4" w:space="0" w:color="A59C94"/>
            </w:tcBorders>
            <w:shd w:val="clear" w:color="000000" w:fill="DAD5C9"/>
            <w:vAlign w:val="bottom"/>
          </w:tcPr>
          <w:p w14:paraId="3631BE4D" w14:textId="77777777" w:rsidR="00462845" w:rsidRDefault="00462845" w:rsidP="00F0526A">
            <w:pPr>
              <w:pStyle w:val="TBodynormalNumber"/>
              <w:keepNext/>
            </w:pPr>
            <w:r>
              <w:t>-59</w:t>
            </w:r>
          </w:p>
        </w:tc>
        <w:tc>
          <w:tcPr>
            <w:tcW w:w="119" w:type="dxa"/>
            <w:vAlign w:val="bottom"/>
          </w:tcPr>
          <w:p w14:paraId="2D5E5223" w14:textId="77777777" w:rsidR="00462845" w:rsidRDefault="00462845" w:rsidP="00F0526A">
            <w:pPr>
              <w:pStyle w:val="TBodynormalNumber"/>
              <w:keepNext/>
            </w:pPr>
          </w:p>
        </w:tc>
        <w:tc>
          <w:tcPr>
            <w:tcW w:w="1049" w:type="dxa"/>
            <w:tcBorders>
              <w:top w:val="single" w:sz="4" w:space="0" w:color="000000"/>
              <w:bottom w:val="single" w:sz="4" w:space="0" w:color="A59C94"/>
            </w:tcBorders>
            <w:vAlign w:val="bottom"/>
          </w:tcPr>
          <w:p w14:paraId="1681CB1B" w14:textId="77777777" w:rsidR="00462845" w:rsidRDefault="00462845" w:rsidP="00F0526A">
            <w:pPr>
              <w:pStyle w:val="TBodynormalNumber"/>
              <w:keepNext/>
            </w:pPr>
          </w:p>
        </w:tc>
      </w:tr>
      <w:tr w:rsidR="00462845" w14:paraId="36EB4336" w14:textId="77777777" w:rsidTr="00462845">
        <w:tc>
          <w:tcPr>
            <w:tcW w:w="6333" w:type="dxa"/>
            <w:tcBorders>
              <w:top w:val="single" w:sz="4" w:space="0" w:color="A59C94"/>
              <w:bottom w:val="single" w:sz="4" w:space="0" w:color="000000"/>
            </w:tcBorders>
            <w:vAlign w:val="bottom"/>
          </w:tcPr>
          <w:p w14:paraId="5FECCC96" w14:textId="573E3058" w:rsidR="00462845" w:rsidRPr="003B50BB" w:rsidRDefault="00272DA4" w:rsidP="00F0526A">
            <w:pPr>
              <w:pStyle w:val="TBodysubtotalText"/>
              <w:keepNext/>
              <w:rPr>
                <w:color w:val="auto"/>
              </w:rPr>
            </w:pPr>
            <w:r w:rsidRPr="003B50BB">
              <w:rPr>
                <w:color w:val="auto"/>
              </w:rPr>
              <w:t>Resultado</w:t>
            </w:r>
            <w:r w:rsidR="00462845" w:rsidRPr="003B50BB">
              <w:rPr>
                <w:color w:val="auto"/>
              </w:rPr>
              <w:t xml:space="preserve"> após impostos</w:t>
            </w:r>
          </w:p>
        </w:tc>
        <w:tc>
          <w:tcPr>
            <w:tcW w:w="119" w:type="dxa"/>
            <w:vAlign w:val="bottom"/>
          </w:tcPr>
          <w:p w14:paraId="1A7188E9" w14:textId="77777777" w:rsidR="00462845" w:rsidRDefault="00462845" w:rsidP="00F0526A">
            <w:pPr>
              <w:pStyle w:val="TBodysubtotalNumber"/>
              <w:keepNext/>
            </w:pPr>
          </w:p>
        </w:tc>
        <w:tc>
          <w:tcPr>
            <w:tcW w:w="1021" w:type="dxa"/>
            <w:tcBorders>
              <w:top w:val="single" w:sz="4" w:space="0" w:color="A59C94"/>
              <w:bottom w:val="single" w:sz="4" w:space="0" w:color="000000"/>
            </w:tcBorders>
            <w:vAlign w:val="bottom"/>
          </w:tcPr>
          <w:p w14:paraId="109E1423" w14:textId="77777777" w:rsidR="00462845" w:rsidRDefault="00462845" w:rsidP="00F0526A">
            <w:pPr>
              <w:pStyle w:val="TBodysubtotalNumber"/>
              <w:keepNext/>
            </w:pPr>
            <w:r>
              <w:t>49</w:t>
            </w:r>
          </w:p>
        </w:tc>
        <w:tc>
          <w:tcPr>
            <w:tcW w:w="119" w:type="dxa"/>
            <w:vAlign w:val="bottom"/>
          </w:tcPr>
          <w:p w14:paraId="1B772CC1" w14:textId="77777777" w:rsidR="00462845" w:rsidRDefault="00462845" w:rsidP="00F0526A">
            <w:pPr>
              <w:pStyle w:val="TBodysubtotalNumber"/>
              <w:keepNext/>
            </w:pPr>
          </w:p>
        </w:tc>
        <w:tc>
          <w:tcPr>
            <w:tcW w:w="1021" w:type="dxa"/>
            <w:tcBorders>
              <w:top w:val="single" w:sz="4" w:space="0" w:color="A59C94"/>
              <w:bottom w:val="single" w:sz="4" w:space="0" w:color="000000"/>
            </w:tcBorders>
            <w:shd w:val="clear" w:color="000000" w:fill="DAD5C9"/>
            <w:vAlign w:val="bottom"/>
          </w:tcPr>
          <w:p w14:paraId="45FC97C5" w14:textId="77777777" w:rsidR="00462845" w:rsidRDefault="00462845" w:rsidP="00F0526A">
            <w:pPr>
              <w:pStyle w:val="TBodysubtotalNumber"/>
              <w:keepNext/>
            </w:pPr>
            <w:r>
              <w:t>160</w:t>
            </w:r>
          </w:p>
        </w:tc>
        <w:tc>
          <w:tcPr>
            <w:tcW w:w="119" w:type="dxa"/>
            <w:vAlign w:val="bottom"/>
          </w:tcPr>
          <w:p w14:paraId="06572820" w14:textId="77777777" w:rsidR="00462845" w:rsidRDefault="00462845" w:rsidP="00F0526A">
            <w:pPr>
              <w:pStyle w:val="TBodysubtotalNumber"/>
              <w:keepNext/>
            </w:pPr>
          </w:p>
        </w:tc>
        <w:tc>
          <w:tcPr>
            <w:tcW w:w="1049" w:type="dxa"/>
            <w:tcBorders>
              <w:top w:val="single" w:sz="4" w:space="0" w:color="A59C94"/>
              <w:bottom w:val="single" w:sz="4" w:space="0" w:color="000000"/>
            </w:tcBorders>
            <w:vAlign w:val="bottom"/>
          </w:tcPr>
          <w:p w14:paraId="58AB1902" w14:textId="77777777" w:rsidR="00462845" w:rsidRDefault="00462845" w:rsidP="00F0526A">
            <w:pPr>
              <w:pStyle w:val="TBodysubtotalNumber"/>
              <w:keepNext/>
            </w:pPr>
            <w:r>
              <w:t>227</w:t>
            </w:r>
          </w:p>
        </w:tc>
      </w:tr>
      <w:tr w:rsidR="00462845" w14:paraId="341064E7" w14:textId="77777777" w:rsidTr="00462845">
        <w:tc>
          <w:tcPr>
            <w:tcW w:w="6333" w:type="dxa"/>
            <w:tcBorders>
              <w:top w:val="single" w:sz="4" w:space="0" w:color="000000"/>
              <w:bottom w:val="single" w:sz="4" w:space="0" w:color="A59C94"/>
            </w:tcBorders>
            <w:vAlign w:val="bottom"/>
          </w:tcPr>
          <w:p w14:paraId="7A7E2E27" w14:textId="62EB216C" w:rsidR="00462845" w:rsidRPr="00F53E96" w:rsidRDefault="00272DA4" w:rsidP="00272DA4">
            <w:pPr>
              <w:pStyle w:val="TBodyindent5Text"/>
              <w:keepNext/>
              <w:ind w:left="0"/>
              <w:rPr>
                <w:lang w:val="pt-BR"/>
              </w:rPr>
            </w:pPr>
            <w:r>
              <w:rPr>
                <w:lang w:val="pt-BR"/>
              </w:rPr>
              <w:t xml:space="preserve">Disso </w:t>
            </w:r>
            <w:r w:rsidR="00462845" w:rsidRPr="00F53E96">
              <w:rPr>
                <w:lang w:val="pt-BR"/>
              </w:rPr>
              <w:t xml:space="preserve">atribuível a </w:t>
            </w:r>
            <w:r>
              <w:rPr>
                <w:lang w:val="pt-BR"/>
              </w:rPr>
              <w:t>interesses minoritários</w:t>
            </w:r>
          </w:p>
        </w:tc>
        <w:tc>
          <w:tcPr>
            <w:tcW w:w="119" w:type="dxa"/>
            <w:vAlign w:val="bottom"/>
          </w:tcPr>
          <w:p w14:paraId="55BD8F91" w14:textId="77777777" w:rsidR="00462845" w:rsidRPr="00F53E96" w:rsidRDefault="00462845" w:rsidP="00F0526A">
            <w:pPr>
              <w:pStyle w:val="TBodyindent3Number"/>
              <w:keepNext/>
              <w:rPr>
                <w:lang w:val="pt-BR"/>
              </w:rPr>
            </w:pPr>
          </w:p>
        </w:tc>
        <w:tc>
          <w:tcPr>
            <w:tcW w:w="1021" w:type="dxa"/>
            <w:tcBorders>
              <w:top w:val="single" w:sz="4" w:space="0" w:color="000000"/>
              <w:bottom w:val="single" w:sz="4" w:space="0" w:color="A59C94"/>
            </w:tcBorders>
            <w:vAlign w:val="bottom"/>
          </w:tcPr>
          <w:p w14:paraId="6439A230" w14:textId="77777777" w:rsidR="00462845" w:rsidRDefault="00462845" w:rsidP="00F0526A">
            <w:pPr>
              <w:pStyle w:val="TBodyindent3Number"/>
              <w:keepNext/>
            </w:pPr>
            <w:r>
              <w:t>2</w:t>
            </w:r>
          </w:p>
        </w:tc>
        <w:tc>
          <w:tcPr>
            <w:tcW w:w="119" w:type="dxa"/>
            <w:vAlign w:val="bottom"/>
          </w:tcPr>
          <w:p w14:paraId="120FF697" w14:textId="77777777" w:rsidR="00462845" w:rsidRDefault="00462845" w:rsidP="00F0526A">
            <w:pPr>
              <w:pStyle w:val="TBodyindent3Number"/>
              <w:keepNext/>
            </w:pPr>
          </w:p>
        </w:tc>
        <w:tc>
          <w:tcPr>
            <w:tcW w:w="1021" w:type="dxa"/>
            <w:tcBorders>
              <w:top w:val="single" w:sz="4" w:space="0" w:color="000000"/>
              <w:bottom w:val="single" w:sz="4" w:space="0" w:color="A59C94"/>
            </w:tcBorders>
            <w:shd w:val="clear" w:color="000000" w:fill="DAD5C9"/>
            <w:vAlign w:val="bottom"/>
          </w:tcPr>
          <w:p w14:paraId="0973A898" w14:textId="77777777" w:rsidR="00462845" w:rsidRDefault="00462845" w:rsidP="00F0526A">
            <w:pPr>
              <w:pStyle w:val="TBodyindent3Number"/>
              <w:keepNext/>
            </w:pPr>
            <w:r>
              <w:t>4</w:t>
            </w:r>
          </w:p>
        </w:tc>
        <w:tc>
          <w:tcPr>
            <w:tcW w:w="119" w:type="dxa"/>
            <w:vAlign w:val="bottom"/>
          </w:tcPr>
          <w:p w14:paraId="3517895D" w14:textId="77777777" w:rsidR="00462845" w:rsidRDefault="00462845" w:rsidP="00F0526A">
            <w:pPr>
              <w:pStyle w:val="TBodyindent3Number"/>
              <w:keepNext/>
            </w:pPr>
          </w:p>
        </w:tc>
        <w:tc>
          <w:tcPr>
            <w:tcW w:w="1049" w:type="dxa"/>
            <w:tcBorders>
              <w:top w:val="single" w:sz="4" w:space="0" w:color="000000"/>
              <w:bottom w:val="single" w:sz="4" w:space="0" w:color="A59C94"/>
            </w:tcBorders>
            <w:vAlign w:val="bottom"/>
          </w:tcPr>
          <w:p w14:paraId="62FD8CD3" w14:textId="77777777" w:rsidR="00462845" w:rsidRDefault="00462845" w:rsidP="00F0526A">
            <w:pPr>
              <w:pStyle w:val="TBodyindent3Number"/>
              <w:keepNext/>
            </w:pPr>
          </w:p>
        </w:tc>
      </w:tr>
      <w:tr w:rsidR="00462845" w14:paraId="61BFD7AF" w14:textId="77777777" w:rsidTr="00462845">
        <w:tc>
          <w:tcPr>
            <w:tcW w:w="6333" w:type="dxa"/>
            <w:tcBorders>
              <w:top w:val="single" w:sz="4" w:space="0" w:color="A59C94"/>
              <w:bottom w:val="single" w:sz="4" w:space="0" w:color="000000"/>
            </w:tcBorders>
            <w:vAlign w:val="bottom"/>
          </w:tcPr>
          <w:p w14:paraId="73FBBB1F" w14:textId="1E1BCFA0" w:rsidR="00462845" w:rsidRDefault="00272DA4" w:rsidP="00F0526A">
            <w:pPr>
              <w:pStyle w:val="TBodysubtotalText"/>
              <w:keepNext/>
            </w:pPr>
            <w:r>
              <w:t>Resultado</w:t>
            </w:r>
            <w:r w:rsidR="00462845">
              <w:t xml:space="preserve"> líquido</w:t>
            </w:r>
          </w:p>
        </w:tc>
        <w:tc>
          <w:tcPr>
            <w:tcW w:w="119" w:type="dxa"/>
            <w:vAlign w:val="bottom"/>
          </w:tcPr>
          <w:p w14:paraId="1B467FDC" w14:textId="77777777" w:rsidR="00462845" w:rsidRDefault="00462845" w:rsidP="00F0526A">
            <w:pPr>
              <w:pStyle w:val="TBodysubtotalNumber"/>
              <w:keepNext/>
            </w:pPr>
          </w:p>
        </w:tc>
        <w:tc>
          <w:tcPr>
            <w:tcW w:w="1021" w:type="dxa"/>
            <w:tcBorders>
              <w:top w:val="single" w:sz="4" w:space="0" w:color="A59C94"/>
              <w:bottom w:val="single" w:sz="4" w:space="0" w:color="000000"/>
            </w:tcBorders>
            <w:vAlign w:val="bottom"/>
          </w:tcPr>
          <w:p w14:paraId="7AA3EE77" w14:textId="77777777" w:rsidR="00462845" w:rsidRDefault="00462845" w:rsidP="00F0526A">
            <w:pPr>
              <w:pStyle w:val="TBodysubtotalNumber"/>
              <w:keepNext/>
            </w:pPr>
            <w:r>
              <w:t>47</w:t>
            </w:r>
          </w:p>
        </w:tc>
        <w:tc>
          <w:tcPr>
            <w:tcW w:w="119" w:type="dxa"/>
            <w:vAlign w:val="bottom"/>
          </w:tcPr>
          <w:p w14:paraId="7E00395F" w14:textId="77777777" w:rsidR="00462845" w:rsidRDefault="00462845" w:rsidP="00F0526A">
            <w:pPr>
              <w:pStyle w:val="TBodysubtotalNumber"/>
              <w:keepNext/>
            </w:pPr>
          </w:p>
        </w:tc>
        <w:tc>
          <w:tcPr>
            <w:tcW w:w="1021" w:type="dxa"/>
            <w:tcBorders>
              <w:top w:val="single" w:sz="4" w:space="0" w:color="A59C94"/>
              <w:bottom w:val="single" w:sz="4" w:space="0" w:color="000000"/>
            </w:tcBorders>
            <w:shd w:val="clear" w:color="000000" w:fill="DAD5C9"/>
            <w:vAlign w:val="bottom"/>
          </w:tcPr>
          <w:p w14:paraId="69A5F250" w14:textId="77777777" w:rsidR="00462845" w:rsidRDefault="00462845" w:rsidP="00F0526A">
            <w:pPr>
              <w:pStyle w:val="TBodysubtotalNumber"/>
              <w:keepNext/>
            </w:pPr>
            <w:r>
              <w:t>156</w:t>
            </w:r>
          </w:p>
        </w:tc>
        <w:tc>
          <w:tcPr>
            <w:tcW w:w="119" w:type="dxa"/>
            <w:vAlign w:val="bottom"/>
          </w:tcPr>
          <w:p w14:paraId="1E4DCA32" w14:textId="77777777" w:rsidR="00462845" w:rsidRDefault="00462845" w:rsidP="00F0526A">
            <w:pPr>
              <w:pStyle w:val="TBodysubtotalNumber"/>
              <w:keepNext/>
            </w:pPr>
          </w:p>
        </w:tc>
        <w:tc>
          <w:tcPr>
            <w:tcW w:w="1049" w:type="dxa"/>
            <w:tcBorders>
              <w:top w:val="single" w:sz="4" w:space="0" w:color="A59C94"/>
              <w:bottom w:val="single" w:sz="4" w:space="0" w:color="000000"/>
            </w:tcBorders>
            <w:vAlign w:val="bottom"/>
          </w:tcPr>
          <w:p w14:paraId="29529F8E" w14:textId="77777777" w:rsidR="00462845" w:rsidRDefault="00462845" w:rsidP="00F0526A">
            <w:pPr>
              <w:pStyle w:val="TBodysubtotalNumber"/>
              <w:keepNext/>
            </w:pPr>
            <w:r>
              <w:t>232</w:t>
            </w:r>
          </w:p>
        </w:tc>
      </w:tr>
      <w:tr w:rsidR="00462845" w14:paraId="3FA9CB7F" w14:textId="77777777" w:rsidTr="00462845">
        <w:tc>
          <w:tcPr>
            <w:tcW w:w="6333" w:type="dxa"/>
            <w:tcBorders>
              <w:top w:val="single" w:sz="4" w:space="0" w:color="000000"/>
              <w:bottom w:val="single" w:sz="16" w:space="0" w:color="991D85"/>
            </w:tcBorders>
            <w:vAlign w:val="bottom"/>
          </w:tcPr>
          <w:p w14:paraId="17C25142" w14:textId="53067D3F" w:rsidR="00462845" w:rsidRDefault="00272DA4" w:rsidP="00F0526A">
            <w:pPr>
              <w:pStyle w:val="TBodytotalText"/>
            </w:pPr>
            <w:r>
              <w:t>Resultado</w:t>
            </w:r>
            <w:r w:rsidR="00462845">
              <w:t xml:space="preserve"> líquido ajustado</w:t>
            </w:r>
          </w:p>
        </w:tc>
        <w:tc>
          <w:tcPr>
            <w:tcW w:w="119" w:type="dxa"/>
            <w:tcBorders>
              <w:bottom w:val="single" w:sz="16" w:space="0" w:color="991D85"/>
            </w:tcBorders>
            <w:vAlign w:val="bottom"/>
          </w:tcPr>
          <w:p w14:paraId="14B40E0C" w14:textId="77777777" w:rsidR="00462845" w:rsidRDefault="00462845" w:rsidP="00F0526A">
            <w:pPr>
              <w:pStyle w:val="TBodytotalNumber"/>
            </w:pPr>
          </w:p>
        </w:tc>
        <w:tc>
          <w:tcPr>
            <w:tcW w:w="1021" w:type="dxa"/>
            <w:tcBorders>
              <w:top w:val="single" w:sz="4" w:space="0" w:color="000000"/>
              <w:bottom w:val="single" w:sz="16" w:space="0" w:color="991D85"/>
            </w:tcBorders>
            <w:vAlign w:val="bottom"/>
          </w:tcPr>
          <w:p w14:paraId="5A8B9742" w14:textId="77777777" w:rsidR="00462845" w:rsidRDefault="00462845" w:rsidP="00F0526A">
            <w:pPr>
              <w:pStyle w:val="TBodytotalNumber"/>
            </w:pPr>
            <w:r>
              <w:t>115</w:t>
            </w:r>
          </w:p>
        </w:tc>
        <w:tc>
          <w:tcPr>
            <w:tcW w:w="119" w:type="dxa"/>
            <w:tcBorders>
              <w:bottom w:val="single" w:sz="16" w:space="0" w:color="991D85"/>
            </w:tcBorders>
            <w:vAlign w:val="bottom"/>
          </w:tcPr>
          <w:p w14:paraId="3836A1F5" w14:textId="77777777" w:rsidR="00462845" w:rsidRDefault="00462845" w:rsidP="00F0526A">
            <w:pPr>
              <w:pStyle w:val="TBodytotalNumber"/>
            </w:pPr>
          </w:p>
        </w:tc>
        <w:tc>
          <w:tcPr>
            <w:tcW w:w="1021" w:type="dxa"/>
            <w:tcBorders>
              <w:top w:val="single" w:sz="4" w:space="0" w:color="000000"/>
              <w:bottom w:val="single" w:sz="16" w:space="0" w:color="991D85"/>
            </w:tcBorders>
            <w:shd w:val="clear" w:color="000000" w:fill="DAD5C9"/>
            <w:vAlign w:val="bottom"/>
          </w:tcPr>
          <w:p w14:paraId="22F00BD2" w14:textId="77777777" w:rsidR="00462845" w:rsidRDefault="00462845" w:rsidP="00F0526A">
            <w:pPr>
              <w:pStyle w:val="TBodytotalNumber"/>
            </w:pPr>
            <w:r>
              <w:t>197</w:t>
            </w:r>
          </w:p>
        </w:tc>
        <w:tc>
          <w:tcPr>
            <w:tcW w:w="119" w:type="dxa"/>
            <w:tcBorders>
              <w:bottom w:val="single" w:sz="16" w:space="0" w:color="991D85"/>
            </w:tcBorders>
            <w:vAlign w:val="bottom"/>
          </w:tcPr>
          <w:p w14:paraId="6E024CA1" w14:textId="77777777" w:rsidR="00462845" w:rsidRDefault="00462845" w:rsidP="00F0526A">
            <w:pPr>
              <w:pStyle w:val="TBodytotalNumber"/>
            </w:pPr>
          </w:p>
        </w:tc>
        <w:tc>
          <w:tcPr>
            <w:tcW w:w="1049" w:type="dxa"/>
            <w:tcBorders>
              <w:top w:val="single" w:sz="4" w:space="0" w:color="000000"/>
              <w:bottom w:val="single" w:sz="16" w:space="0" w:color="991D85"/>
            </w:tcBorders>
            <w:vAlign w:val="bottom"/>
          </w:tcPr>
          <w:p w14:paraId="6942B86B" w14:textId="77777777" w:rsidR="00462845" w:rsidRDefault="00462845" w:rsidP="00F0526A">
            <w:pPr>
              <w:pStyle w:val="TBodytotalNumber"/>
            </w:pPr>
            <w:r>
              <w:t>71</w:t>
            </w:r>
          </w:p>
        </w:tc>
      </w:tr>
      <w:bookmarkEnd w:id="1"/>
    </w:tbl>
    <w:p w14:paraId="6FF08CD1" w14:textId="77777777" w:rsidR="00462845" w:rsidRDefault="00462845" w:rsidP="00462845">
      <w:pPr>
        <w:rPr>
          <w:color w:val="000000"/>
          <w:lang w:val="en-US"/>
        </w:rPr>
      </w:pPr>
    </w:p>
    <w:p w14:paraId="7A572B47" w14:textId="77777777" w:rsidR="00462845" w:rsidRDefault="00462845" w:rsidP="00462845">
      <w:pPr>
        <w:rPr>
          <w:color w:val="000000"/>
          <w:lang w:val="en-US"/>
        </w:rPr>
      </w:pPr>
    </w:p>
    <w:tbl>
      <w:tblPr>
        <w:tblW w:w="9752" w:type="dxa"/>
        <w:tblLayout w:type="fixed"/>
        <w:tblCellMar>
          <w:left w:w="0" w:type="dxa"/>
          <w:right w:w="0" w:type="dxa"/>
        </w:tblCellMar>
        <w:tblLook w:val="04A0" w:firstRow="1" w:lastRow="0" w:firstColumn="1" w:lastColumn="0" w:noHBand="0" w:noVBand="1"/>
        <w:tblCaption w:val="Pressemitteilung - Tabelle en!outarea_segmenteq1"/>
        <w:tblDescription w:val="SNEID_3c00ec5e54e644f88a0a198056030d76"/>
      </w:tblPr>
      <w:tblGrid>
        <w:gridCol w:w="2912"/>
        <w:gridCol w:w="119"/>
        <w:gridCol w:w="1021"/>
        <w:gridCol w:w="119"/>
        <w:gridCol w:w="1021"/>
        <w:gridCol w:w="119"/>
        <w:gridCol w:w="1021"/>
        <w:gridCol w:w="119"/>
        <w:gridCol w:w="1021"/>
        <w:gridCol w:w="119"/>
        <w:gridCol w:w="1021"/>
        <w:gridCol w:w="119"/>
        <w:gridCol w:w="1021"/>
      </w:tblGrid>
      <w:tr w:rsidR="00462845" w:rsidRPr="00B52613" w14:paraId="728449E2" w14:textId="77777777" w:rsidTr="00272DA4">
        <w:tc>
          <w:tcPr>
            <w:tcW w:w="9752" w:type="dxa"/>
            <w:gridSpan w:val="13"/>
            <w:noWrap/>
            <w:vAlign w:val="bottom"/>
          </w:tcPr>
          <w:p w14:paraId="7D243EA5" w14:textId="0929E3D1" w:rsidR="00462845" w:rsidRPr="00F53E96" w:rsidRDefault="00462845" w:rsidP="00F0526A">
            <w:pPr>
              <w:pStyle w:val="TTitleText"/>
              <w:rPr>
                <w:lang w:val="pt-BR"/>
              </w:rPr>
            </w:pPr>
            <w:bookmarkStart w:id="2" w:name="SNEID_3c00ec5e54e644f88a0a198056030d76"/>
            <w:r w:rsidRPr="00F53E96">
              <w:rPr>
                <w:lang w:val="pt-BR"/>
              </w:rPr>
              <w:t xml:space="preserve">Desempenho </w:t>
            </w:r>
            <w:r w:rsidR="00272DA4">
              <w:rPr>
                <w:lang w:val="pt-BR"/>
              </w:rPr>
              <w:t>por</w:t>
            </w:r>
            <w:r w:rsidRPr="00F53E96">
              <w:rPr>
                <w:lang w:val="pt-BR"/>
              </w:rPr>
              <w:t xml:space="preserve"> divisão - 1º trimestre</w:t>
            </w:r>
          </w:p>
        </w:tc>
      </w:tr>
      <w:tr w:rsidR="00462845" w:rsidRPr="00B52613" w14:paraId="58085485" w14:textId="77777777" w:rsidTr="00272DA4">
        <w:tc>
          <w:tcPr>
            <w:tcW w:w="2912" w:type="dxa"/>
            <w:tcBorders>
              <w:top w:val="single" w:sz="8" w:space="0" w:color="000000"/>
            </w:tcBorders>
            <w:noWrap/>
            <w:vAlign w:val="bottom"/>
          </w:tcPr>
          <w:p w14:paraId="58134C60" w14:textId="77777777" w:rsidR="00462845" w:rsidRPr="00F53E96" w:rsidRDefault="00462845" w:rsidP="00F0526A">
            <w:pPr>
              <w:pStyle w:val="TDummy"/>
              <w:keepNext/>
              <w:rPr>
                <w:lang w:val="pt-BR"/>
              </w:rPr>
            </w:pPr>
          </w:p>
        </w:tc>
        <w:tc>
          <w:tcPr>
            <w:tcW w:w="119" w:type="dxa"/>
            <w:tcBorders>
              <w:top w:val="single" w:sz="8" w:space="0" w:color="000000"/>
            </w:tcBorders>
            <w:noWrap/>
            <w:vAlign w:val="bottom"/>
          </w:tcPr>
          <w:p w14:paraId="7765E0A7" w14:textId="77777777" w:rsidR="00462845" w:rsidRPr="00F53E96" w:rsidRDefault="00462845" w:rsidP="00F0526A">
            <w:pPr>
              <w:pStyle w:val="TDummy"/>
              <w:keepNext/>
              <w:rPr>
                <w:lang w:val="pt-BR"/>
              </w:rPr>
            </w:pPr>
          </w:p>
        </w:tc>
        <w:tc>
          <w:tcPr>
            <w:tcW w:w="1021" w:type="dxa"/>
            <w:tcBorders>
              <w:top w:val="single" w:sz="8" w:space="0" w:color="000000"/>
            </w:tcBorders>
            <w:noWrap/>
            <w:vAlign w:val="bottom"/>
          </w:tcPr>
          <w:p w14:paraId="1A686872" w14:textId="77777777" w:rsidR="00462845" w:rsidRPr="00F53E96" w:rsidRDefault="00462845" w:rsidP="00F0526A">
            <w:pPr>
              <w:pStyle w:val="TDummy"/>
              <w:keepNext/>
              <w:rPr>
                <w:lang w:val="pt-BR"/>
              </w:rPr>
            </w:pPr>
          </w:p>
        </w:tc>
        <w:tc>
          <w:tcPr>
            <w:tcW w:w="119" w:type="dxa"/>
            <w:tcBorders>
              <w:top w:val="single" w:sz="8" w:space="0" w:color="000000"/>
            </w:tcBorders>
            <w:noWrap/>
            <w:vAlign w:val="bottom"/>
          </w:tcPr>
          <w:p w14:paraId="327BA7F8" w14:textId="77777777" w:rsidR="00462845" w:rsidRPr="00F53E96" w:rsidRDefault="00462845" w:rsidP="00F0526A">
            <w:pPr>
              <w:pStyle w:val="TDummy"/>
              <w:keepNext/>
              <w:rPr>
                <w:lang w:val="pt-BR"/>
              </w:rPr>
            </w:pPr>
          </w:p>
        </w:tc>
        <w:tc>
          <w:tcPr>
            <w:tcW w:w="1021" w:type="dxa"/>
            <w:tcBorders>
              <w:top w:val="single" w:sz="8" w:space="0" w:color="000000"/>
            </w:tcBorders>
            <w:noWrap/>
            <w:vAlign w:val="bottom"/>
          </w:tcPr>
          <w:p w14:paraId="4CE7A4AB" w14:textId="77777777" w:rsidR="00462845" w:rsidRPr="00F53E96" w:rsidRDefault="00462845" w:rsidP="00F0526A">
            <w:pPr>
              <w:pStyle w:val="TDummy"/>
              <w:keepNext/>
              <w:rPr>
                <w:lang w:val="pt-BR"/>
              </w:rPr>
            </w:pPr>
          </w:p>
        </w:tc>
        <w:tc>
          <w:tcPr>
            <w:tcW w:w="119" w:type="dxa"/>
            <w:tcBorders>
              <w:top w:val="single" w:sz="8" w:space="0" w:color="000000"/>
            </w:tcBorders>
            <w:noWrap/>
            <w:vAlign w:val="bottom"/>
          </w:tcPr>
          <w:p w14:paraId="6DA50A36" w14:textId="77777777" w:rsidR="00462845" w:rsidRPr="00F53E96" w:rsidRDefault="00462845" w:rsidP="00F0526A">
            <w:pPr>
              <w:pStyle w:val="TDummy"/>
              <w:keepNext/>
              <w:rPr>
                <w:lang w:val="pt-BR"/>
              </w:rPr>
            </w:pPr>
          </w:p>
        </w:tc>
        <w:tc>
          <w:tcPr>
            <w:tcW w:w="1021" w:type="dxa"/>
            <w:tcBorders>
              <w:top w:val="single" w:sz="8" w:space="0" w:color="000000"/>
            </w:tcBorders>
            <w:noWrap/>
            <w:vAlign w:val="bottom"/>
          </w:tcPr>
          <w:p w14:paraId="6F85AE81" w14:textId="77777777" w:rsidR="00462845" w:rsidRPr="00F53E96" w:rsidRDefault="00462845" w:rsidP="00F0526A">
            <w:pPr>
              <w:pStyle w:val="TDummy"/>
              <w:keepNext/>
              <w:rPr>
                <w:lang w:val="pt-BR"/>
              </w:rPr>
            </w:pPr>
          </w:p>
        </w:tc>
        <w:tc>
          <w:tcPr>
            <w:tcW w:w="119" w:type="dxa"/>
            <w:tcBorders>
              <w:top w:val="single" w:sz="8" w:space="0" w:color="000000"/>
            </w:tcBorders>
            <w:noWrap/>
            <w:vAlign w:val="bottom"/>
          </w:tcPr>
          <w:p w14:paraId="7684727C" w14:textId="77777777" w:rsidR="00462845" w:rsidRPr="00F53E96" w:rsidRDefault="00462845" w:rsidP="00F0526A">
            <w:pPr>
              <w:pStyle w:val="TDummy"/>
              <w:keepNext/>
              <w:rPr>
                <w:lang w:val="pt-BR"/>
              </w:rPr>
            </w:pPr>
          </w:p>
        </w:tc>
        <w:tc>
          <w:tcPr>
            <w:tcW w:w="1021" w:type="dxa"/>
            <w:tcBorders>
              <w:top w:val="single" w:sz="8" w:space="0" w:color="000000"/>
            </w:tcBorders>
            <w:noWrap/>
            <w:vAlign w:val="bottom"/>
          </w:tcPr>
          <w:p w14:paraId="52290757" w14:textId="77777777" w:rsidR="00462845" w:rsidRPr="00F53E96" w:rsidRDefault="00462845" w:rsidP="00F0526A">
            <w:pPr>
              <w:pStyle w:val="TDummy"/>
              <w:keepNext/>
              <w:rPr>
                <w:lang w:val="pt-BR"/>
              </w:rPr>
            </w:pPr>
          </w:p>
        </w:tc>
        <w:tc>
          <w:tcPr>
            <w:tcW w:w="119" w:type="dxa"/>
            <w:tcBorders>
              <w:top w:val="single" w:sz="8" w:space="0" w:color="000000"/>
            </w:tcBorders>
            <w:noWrap/>
            <w:vAlign w:val="bottom"/>
          </w:tcPr>
          <w:p w14:paraId="0B0B7E08" w14:textId="77777777" w:rsidR="00462845" w:rsidRPr="00F53E96" w:rsidRDefault="00462845" w:rsidP="00F0526A">
            <w:pPr>
              <w:pStyle w:val="TDummy"/>
              <w:keepNext/>
              <w:rPr>
                <w:lang w:val="pt-BR"/>
              </w:rPr>
            </w:pPr>
          </w:p>
        </w:tc>
        <w:tc>
          <w:tcPr>
            <w:tcW w:w="1021" w:type="dxa"/>
            <w:tcBorders>
              <w:top w:val="single" w:sz="8" w:space="0" w:color="000000"/>
            </w:tcBorders>
            <w:noWrap/>
            <w:vAlign w:val="bottom"/>
          </w:tcPr>
          <w:p w14:paraId="52EEC22F" w14:textId="77777777" w:rsidR="00462845" w:rsidRPr="00F53E96" w:rsidRDefault="00462845" w:rsidP="00F0526A">
            <w:pPr>
              <w:pStyle w:val="TDummy"/>
              <w:keepNext/>
              <w:rPr>
                <w:lang w:val="pt-BR"/>
              </w:rPr>
            </w:pPr>
          </w:p>
        </w:tc>
        <w:tc>
          <w:tcPr>
            <w:tcW w:w="119" w:type="dxa"/>
            <w:tcBorders>
              <w:top w:val="single" w:sz="8" w:space="0" w:color="000000"/>
            </w:tcBorders>
            <w:noWrap/>
            <w:vAlign w:val="bottom"/>
          </w:tcPr>
          <w:p w14:paraId="2C9C77A4" w14:textId="77777777" w:rsidR="00462845" w:rsidRPr="00F53E96" w:rsidRDefault="00462845" w:rsidP="00F0526A">
            <w:pPr>
              <w:pStyle w:val="TDummy"/>
              <w:keepNext/>
              <w:rPr>
                <w:lang w:val="pt-BR"/>
              </w:rPr>
            </w:pPr>
          </w:p>
        </w:tc>
        <w:tc>
          <w:tcPr>
            <w:tcW w:w="1021" w:type="dxa"/>
            <w:tcBorders>
              <w:top w:val="single" w:sz="8" w:space="0" w:color="000000"/>
            </w:tcBorders>
            <w:noWrap/>
            <w:vAlign w:val="bottom"/>
          </w:tcPr>
          <w:p w14:paraId="09A69E01" w14:textId="77777777" w:rsidR="00462845" w:rsidRPr="00F53E96" w:rsidRDefault="00462845" w:rsidP="00F0526A">
            <w:pPr>
              <w:pStyle w:val="TDummy"/>
              <w:keepNext/>
              <w:rPr>
                <w:lang w:val="pt-BR"/>
              </w:rPr>
            </w:pPr>
          </w:p>
        </w:tc>
      </w:tr>
      <w:tr w:rsidR="00462845" w14:paraId="29921EE0" w14:textId="77777777" w:rsidTr="00272DA4">
        <w:tc>
          <w:tcPr>
            <w:tcW w:w="2912" w:type="dxa"/>
            <w:shd w:val="clear" w:color="000000" w:fill="FFFFFF"/>
            <w:noWrap/>
            <w:vAlign w:val="bottom"/>
          </w:tcPr>
          <w:p w14:paraId="529F4915" w14:textId="77777777" w:rsidR="00462845" w:rsidRPr="00B52613" w:rsidRDefault="00462845" w:rsidP="00F0526A">
            <w:pPr>
              <w:pStyle w:val="THeadfirstNumber"/>
              <w:rPr>
                <w:lang w:val="pt-BR"/>
              </w:rPr>
            </w:pPr>
            <w:bookmarkStart w:id="3" w:name="RANGE!B25:N25"/>
            <w:bookmarkStart w:id="4" w:name="RANGE!B25"/>
            <w:bookmarkEnd w:id="3"/>
            <w:bookmarkEnd w:id="4"/>
          </w:p>
        </w:tc>
        <w:tc>
          <w:tcPr>
            <w:tcW w:w="119" w:type="dxa"/>
            <w:noWrap/>
            <w:vAlign w:val="bottom"/>
          </w:tcPr>
          <w:p w14:paraId="43C39181" w14:textId="77777777" w:rsidR="00462845" w:rsidRPr="00B52613" w:rsidRDefault="00462845" w:rsidP="00F0526A">
            <w:pPr>
              <w:pStyle w:val="THeadfirstNumber"/>
              <w:rPr>
                <w:lang w:val="pt-BR"/>
              </w:rPr>
            </w:pPr>
          </w:p>
        </w:tc>
        <w:tc>
          <w:tcPr>
            <w:tcW w:w="3301" w:type="dxa"/>
            <w:gridSpan w:val="5"/>
            <w:tcBorders>
              <w:bottom w:val="single" w:sz="4" w:space="0" w:color="A59C94"/>
            </w:tcBorders>
            <w:shd w:val="clear" w:color="000000" w:fill="FFFFFF"/>
            <w:vAlign w:val="bottom"/>
          </w:tcPr>
          <w:p w14:paraId="40B1EAC3" w14:textId="77777777" w:rsidR="00462845" w:rsidRDefault="00462845" w:rsidP="00F0526A">
            <w:pPr>
              <w:pStyle w:val="THeadfirstNumber"/>
            </w:pPr>
            <w:r>
              <w:t>Vendas</w:t>
            </w:r>
          </w:p>
        </w:tc>
        <w:tc>
          <w:tcPr>
            <w:tcW w:w="119" w:type="dxa"/>
            <w:vAlign w:val="bottom"/>
          </w:tcPr>
          <w:p w14:paraId="04882012" w14:textId="77777777" w:rsidR="00462845" w:rsidRDefault="00462845" w:rsidP="00F0526A">
            <w:pPr>
              <w:pStyle w:val="THeadfirstNumber"/>
            </w:pPr>
          </w:p>
        </w:tc>
        <w:tc>
          <w:tcPr>
            <w:tcW w:w="3301" w:type="dxa"/>
            <w:gridSpan w:val="5"/>
            <w:tcBorders>
              <w:bottom w:val="single" w:sz="4" w:space="0" w:color="A59C94"/>
            </w:tcBorders>
            <w:shd w:val="clear" w:color="000000" w:fill="FFFFFF"/>
            <w:vAlign w:val="bottom"/>
          </w:tcPr>
          <w:p w14:paraId="75431539" w14:textId="77777777" w:rsidR="00462845" w:rsidRDefault="00462845" w:rsidP="00F0526A">
            <w:pPr>
              <w:pStyle w:val="THeadfirstNumber"/>
            </w:pPr>
            <w:r>
              <w:t>EBITDA ajustado</w:t>
            </w:r>
          </w:p>
        </w:tc>
      </w:tr>
      <w:tr w:rsidR="00462845" w14:paraId="0A8958FF" w14:textId="77777777" w:rsidTr="00272DA4">
        <w:tc>
          <w:tcPr>
            <w:tcW w:w="2912" w:type="dxa"/>
            <w:tcBorders>
              <w:bottom w:val="single" w:sz="4" w:space="0" w:color="000000"/>
            </w:tcBorders>
            <w:shd w:val="clear" w:color="000000" w:fill="FFFFFF"/>
            <w:noWrap/>
            <w:vAlign w:val="bottom"/>
          </w:tcPr>
          <w:p w14:paraId="65B731E4" w14:textId="77777777" w:rsidR="00462845" w:rsidRDefault="00462845" w:rsidP="00F0526A">
            <w:pPr>
              <w:pStyle w:val="THeadlastText"/>
            </w:pPr>
            <w:bookmarkStart w:id="5" w:name="RANGE!B26:N26"/>
            <w:bookmarkEnd w:id="5"/>
            <w:r>
              <w:t>em milhões de euros</w:t>
            </w:r>
          </w:p>
        </w:tc>
        <w:tc>
          <w:tcPr>
            <w:tcW w:w="119" w:type="dxa"/>
            <w:noWrap/>
            <w:vAlign w:val="bottom"/>
          </w:tcPr>
          <w:p w14:paraId="4001F2B6"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25C905C3" w14:textId="77777777" w:rsidR="00462845" w:rsidRDefault="00462845" w:rsidP="00F0526A">
            <w:pPr>
              <w:pStyle w:val="THeadlastNumber"/>
            </w:pPr>
            <w:r>
              <w:t>2023</w:t>
            </w:r>
          </w:p>
        </w:tc>
        <w:tc>
          <w:tcPr>
            <w:tcW w:w="119" w:type="dxa"/>
            <w:vAlign w:val="bottom"/>
          </w:tcPr>
          <w:p w14:paraId="2BEED4EB"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046B155D" w14:textId="77777777" w:rsidR="00462845" w:rsidRDefault="00462845" w:rsidP="00F0526A">
            <w:pPr>
              <w:pStyle w:val="THeadlastNumberbold"/>
            </w:pPr>
            <w:bookmarkStart w:id="6" w:name="RANGE!F26:F33"/>
            <w:bookmarkEnd w:id="6"/>
            <w:r>
              <w:t>2024</w:t>
            </w:r>
          </w:p>
        </w:tc>
        <w:tc>
          <w:tcPr>
            <w:tcW w:w="119" w:type="dxa"/>
            <w:vAlign w:val="bottom"/>
          </w:tcPr>
          <w:p w14:paraId="1B1F4A08"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1A67E60E" w14:textId="06017A67" w:rsidR="00462845" w:rsidRDefault="00272DA4" w:rsidP="00F0526A">
            <w:pPr>
              <w:pStyle w:val="THeaddifferenceNumber"/>
              <w:keepNext/>
            </w:pPr>
            <w:bookmarkStart w:id="7" w:name="RANGE!H26:H33"/>
            <w:bookmarkEnd w:id="7"/>
            <w:r>
              <w:t xml:space="preserve">Variação </w:t>
            </w:r>
            <w:r w:rsidR="00462845">
              <w:t>em %</w:t>
            </w:r>
          </w:p>
        </w:tc>
        <w:tc>
          <w:tcPr>
            <w:tcW w:w="119" w:type="dxa"/>
            <w:vAlign w:val="bottom"/>
          </w:tcPr>
          <w:p w14:paraId="1EF17610"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304B0886" w14:textId="77777777" w:rsidR="00462845" w:rsidRDefault="00462845" w:rsidP="00F0526A">
            <w:pPr>
              <w:pStyle w:val="THeadlastNumber"/>
            </w:pPr>
            <w:r>
              <w:t>2023</w:t>
            </w:r>
          </w:p>
        </w:tc>
        <w:tc>
          <w:tcPr>
            <w:tcW w:w="119" w:type="dxa"/>
            <w:vAlign w:val="bottom"/>
          </w:tcPr>
          <w:p w14:paraId="4992C5CF"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1EBB7AD5" w14:textId="77777777" w:rsidR="00462845" w:rsidRDefault="00462845" w:rsidP="00F0526A">
            <w:pPr>
              <w:pStyle w:val="THeadlastNumberbold"/>
            </w:pPr>
            <w:bookmarkStart w:id="8" w:name="RANGE!L26:L33"/>
            <w:bookmarkEnd w:id="8"/>
            <w:r>
              <w:t>2024</w:t>
            </w:r>
          </w:p>
        </w:tc>
        <w:tc>
          <w:tcPr>
            <w:tcW w:w="119" w:type="dxa"/>
            <w:vAlign w:val="bottom"/>
          </w:tcPr>
          <w:p w14:paraId="1963EEAF" w14:textId="77777777" w:rsidR="00462845" w:rsidRDefault="00462845" w:rsidP="00F0526A">
            <w:pPr>
              <w:pStyle w:val="THeadlastNumber"/>
            </w:pPr>
          </w:p>
        </w:tc>
        <w:tc>
          <w:tcPr>
            <w:tcW w:w="1021" w:type="dxa"/>
            <w:tcBorders>
              <w:top w:val="single" w:sz="4" w:space="0" w:color="A59C94"/>
              <w:bottom w:val="single" w:sz="4" w:space="0" w:color="000000"/>
            </w:tcBorders>
            <w:shd w:val="clear" w:color="000000" w:fill="FFFFFF"/>
            <w:vAlign w:val="bottom"/>
          </w:tcPr>
          <w:p w14:paraId="29C876FC" w14:textId="5ACA205A" w:rsidR="00462845" w:rsidRDefault="00272DA4" w:rsidP="00F0526A">
            <w:pPr>
              <w:pStyle w:val="THeaddifferenceNumber"/>
              <w:keepNext/>
            </w:pPr>
            <w:bookmarkStart w:id="9" w:name="RANGE!N26:N33"/>
            <w:bookmarkEnd w:id="9"/>
            <w:r>
              <w:t>Variação</w:t>
            </w:r>
            <w:r w:rsidR="00462845">
              <w:t xml:space="preserve"> em %</w:t>
            </w:r>
          </w:p>
        </w:tc>
      </w:tr>
      <w:tr w:rsidR="00462845" w14:paraId="47160461" w14:textId="77777777" w:rsidTr="00272DA4">
        <w:tc>
          <w:tcPr>
            <w:tcW w:w="2912" w:type="dxa"/>
            <w:tcBorders>
              <w:top w:val="single" w:sz="4" w:space="0" w:color="000000"/>
              <w:bottom w:val="single" w:sz="4" w:space="0" w:color="A59C94"/>
            </w:tcBorders>
            <w:noWrap/>
            <w:vAlign w:val="bottom"/>
          </w:tcPr>
          <w:p w14:paraId="5227F1FF" w14:textId="40DF1D41" w:rsidR="00462845" w:rsidRDefault="00272DA4" w:rsidP="00F0526A">
            <w:pPr>
              <w:pStyle w:val="TBodynormalText"/>
            </w:pPr>
            <w:r w:rsidRPr="00D919B4">
              <w:rPr>
                <w:lang w:val="pt-BR"/>
              </w:rPr>
              <w:t>Specialty Additives</w:t>
            </w:r>
          </w:p>
        </w:tc>
        <w:tc>
          <w:tcPr>
            <w:tcW w:w="119" w:type="dxa"/>
            <w:noWrap/>
            <w:vAlign w:val="bottom"/>
          </w:tcPr>
          <w:p w14:paraId="617BA8CA"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60072F76" w14:textId="77777777" w:rsidR="00462845" w:rsidRDefault="00462845" w:rsidP="00F0526A">
            <w:pPr>
              <w:pStyle w:val="TBodynormalNumber"/>
              <w:keepNext/>
            </w:pPr>
            <w:r>
              <w:t>921</w:t>
            </w:r>
          </w:p>
        </w:tc>
        <w:tc>
          <w:tcPr>
            <w:tcW w:w="119" w:type="dxa"/>
            <w:noWrap/>
            <w:vAlign w:val="bottom"/>
          </w:tcPr>
          <w:p w14:paraId="0EB4B928" w14:textId="77777777" w:rsidR="00462845" w:rsidRDefault="00462845" w:rsidP="00F0526A">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462FED9A" w14:textId="77777777" w:rsidR="00462845" w:rsidRDefault="00462845" w:rsidP="00F0526A">
            <w:pPr>
              <w:pStyle w:val="TBodynormalNumber"/>
              <w:keepNext/>
            </w:pPr>
            <w:r>
              <w:t>908</w:t>
            </w:r>
          </w:p>
        </w:tc>
        <w:tc>
          <w:tcPr>
            <w:tcW w:w="119" w:type="dxa"/>
            <w:noWrap/>
            <w:vAlign w:val="bottom"/>
          </w:tcPr>
          <w:p w14:paraId="37BAFE05"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1BAFCDD3" w14:textId="77777777" w:rsidR="00462845" w:rsidRDefault="00462845" w:rsidP="00F0526A">
            <w:pPr>
              <w:pStyle w:val="TBodynormalNumber"/>
              <w:keepNext/>
            </w:pPr>
            <w:r>
              <w:t>-1</w:t>
            </w:r>
          </w:p>
        </w:tc>
        <w:tc>
          <w:tcPr>
            <w:tcW w:w="119" w:type="dxa"/>
            <w:noWrap/>
            <w:vAlign w:val="bottom"/>
          </w:tcPr>
          <w:p w14:paraId="4277E07C"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0BEBBDCE" w14:textId="77777777" w:rsidR="00462845" w:rsidRDefault="00462845" w:rsidP="00F0526A">
            <w:pPr>
              <w:pStyle w:val="TBodynormalNumber"/>
              <w:keepNext/>
            </w:pPr>
            <w:r>
              <w:t>168</w:t>
            </w:r>
          </w:p>
        </w:tc>
        <w:tc>
          <w:tcPr>
            <w:tcW w:w="119" w:type="dxa"/>
            <w:noWrap/>
            <w:vAlign w:val="bottom"/>
          </w:tcPr>
          <w:p w14:paraId="6DDD499F" w14:textId="77777777" w:rsidR="00462845" w:rsidRDefault="00462845" w:rsidP="00F0526A">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5D5E4508" w14:textId="77777777" w:rsidR="00462845" w:rsidRDefault="00462845" w:rsidP="00F0526A">
            <w:pPr>
              <w:pStyle w:val="TBodynormalNumber"/>
              <w:keepNext/>
            </w:pPr>
            <w:r>
              <w:t>185</w:t>
            </w:r>
          </w:p>
        </w:tc>
        <w:tc>
          <w:tcPr>
            <w:tcW w:w="119" w:type="dxa"/>
            <w:noWrap/>
            <w:vAlign w:val="bottom"/>
          </w:tcPr>
          <w:p w14:paraId="048B2FE2"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6AB89AC2" w14:textId="77777777" w:rsidR="00462845" w:rsidRDefault="00462845" w:rsidP="00F0526A">
            <w:pPr>
              <w:pStyle w:val="TBodynormalNumber"/>
              <w:keepNext/>
            </w:pPr>
            <w:r>
              <w:t>10</w:t>
            </w:r>
          </w:p>
        </w:tc>
      </w:tr>
      <w:tr w:rsidR="00462845" w14:paraId="39C29122" w14:textId="77777777" w:rsidTr="00272DA4">
        <w:tc>
          <w:tcPr>
            <w:tcW w:w="2912" w:type="dxa"/>
            <w:tcBorders>
              <w:top w:val="single" w:sz="4" w:space="0" w:color="A59C94"/>
              <w:bottom w:val="single" w:sz="4" w:space="0" w:color="A59C94"/>
            </w:tcBorders>
            <w:noWrap/>
            <w:vAlign w:val="bottom"/>
          </w:tcPr>
          <w:p w14:paraId="32B2D967" w14:textId="5455B4FF" w:rsidR="00462845" w:rsidRDefault="00272DA4" w:rsidP="00F0526A">
            <w:pPr>
              <w:pStyle w:val="TBodynormalText"/>
            </w:pPr>
            <w:r w:rsidRPr="00D919B4">
              <w:rPr>
                <w:lang w:val="pt-BR"/>
              </w:rPr>
              <w:t>Nutrition &amp; Care</w:t>
            </w:r>
          </w:p>
        </w:tc>
        <w:tc>
          <w:tcPr>
            <w:tcW w:w="119" w:type="dxa"/>
            <w:noWrap/>
            <w:vAlign w:val="bottom"/>
          </w:tcPr>
          <w:p w14:paraId="124B07EE"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637C0230" w14:textId="77777777" w:rsidR="00462845" w:rsidRDefault="00462845" w:rsidP="00F0526A">
            <w:pPr>
              <w:pStyle w:val="TBodynormalNumber"/>
              <w:keepNext/>
            </w:pPr>
            <w:r>
              <w:t>886</w:t>
            </w:r>
          </w:p>
        </w:tc>
        <w:tc>
          <w:tcPr>
            <w:tcW w:w="119" w:type="dxa"/>
            <w:noWrap/>
            <w:vAlign w:val="bottom"/>
          </w:tcPr>
          <w:p w14:paraId="276CC547"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2D90678" w14:textId="77777777" w:rsidR="00462845" w:rsidRDefault="00462845" w:rsidP="00F0526A">
            <w:pPr>
              <w:pStyle w:val="TBodynormalNumber"/>
              <w:keepNext/>
            </w:pPr>
            <w:r>
              <w:t>900</w:t>
            </w:r>
          </w:p>
        </w:tc>
        <w:tc>
          <w:tcPr>
            <w:tcW w:w="119" w:type="dxa"/>
            <w:noWrap/>
            <w:vAlign w:val="bottom"/>
          </w:tcPr>
          <w:p w14:paraId="2AD9DC9F"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02F18DFE" w14:textId="77777777" w:rsidR="00462845" w:rsidRDefault="00462845" w:rsidP="00F0526A">
            <w:pPr>
              <w:pStyle w:val="TBodynormalNumber"/>
              <w:keepNext/>
            </w:pPr>
            <w:r>
              <w:t>2</w:t>
            </w:r>
          </w:p>
        </w:tc>
        <w:tc>
          <w:tcPr>
            <w:tcW w:w="119" w:type="dxa"/>
            <w:noWrap/>
            <w:vAlign w:val="bottom"/>
          </w:tcPr>
          <w:p w14:paraId="07E0EEAB"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5B30BBBC" w14:textId="77777777" w:rsidR="00462845" w:rsidRDefault="00462845" w:rsidP="00F0526A">
            <w:pPr>
              <w:pStyle w:val="TBodynormalNumber"/>
              <w:keepNext/>
            </w:pPr>
            <w:r>
              <w:t>76</w:t>
            </w:r>
          </w:p>
        </w:tc>
        <w:tc>
          <w:tcPr>
            <w:tcW w:w="119" w:type="dxa"/>
            <w:noWrap/>
            <w:vAlign w:val="bottom"/>
          </w:tcPr>
          <w:p w14:paraId="779F132B"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CAF6184" w14:textId="77777777" w:rsidR="00462845" w:rsidRDefault="00462845" w:rsidP="00F0526A">
            <w:pPr>
              <w:pStyle w:val="TBodynormalNumber"/>
              <w:keepNext/>
            </w:pPr>
            <w:r>
              <w:t>140</w:t>
            </w:r>
          </w:p>
        </w:tc>
        <w:tc>
          <w:tcPr>
            <w:tcW w:w="119" w:type="dxa"/>
            <w:noWrap/>
            <w:vAlign w:val="bottom"/>
          </w:tcPr>
          <w:p w14:paraId="5F3CD965"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3C6CECBB" w14:textId="77777777" w:rsidR="00462845" w:rsidRDefault="00462845" w:rsidP="00F0526A">
            <w:pPr>
              <w:pStyle w:val="TBodynormalNumber"/>
              <w:keepNext/>
            </w:pPr>
            <w:r>
              <w:t>84</w:t>
            </w:r>
          </w:p>
        </w:tc>
      </w:tr>
      <w:tr w:rsidR="00462845" w14:paraId="78D6CC5E" w14:textId="77777777" w:rsidTr="00272DA4">
        <w:tc>
          <w:tcPr>
            <w:tcW w:w="2912" w:type="dxa"/>
            <w:tcBorders>
              <w:top w:val="single" w:sz="4" w:space="0" w:color="A59C94"/>
              <w:bottom w:val="single" w:sz="4" w:space="0" w:color="A59C94"/>
            </w:tcBorders>
            <w:noWrap/>
            <w:vAlign w:val="bottom"/>
          </w:tcPr>
          <w:p w14:paraId="78469EF6" w14:textId="12A09069" w:rsidR="00462845" w:rsidRDefault="00272DA4" w:rsidP="00F0526A">
            <w:pPr>
              <w:pStyle w:val="TBodynormalText"/>
            </w:pPr>
            <w:r w:rsidRPr="00D919B4">
              <w:rPr>
                <w:lang w:val="pt-BR"/>
              </w:rPr>
              <w:t>Smart Materials</w:t>
            </w:r>
            <w:r w:rsidRPr="00D3234F">
              <w:rPr>
                <w:vertAlign w:val="superscript"/>
                <w:lang w:val="pt-BR"/>
              </w:rPr>
              <w:t xml:space="preserve"> </w:t>
            </w:r>
          </w:p>
        </w:tc>
        <w:tc>
          <w:tcPr>
            <w:tcW w:w="119" w:type="dxa"/>
            <w:noWrap/>
            <w:vAlign w:val="bottom"/>
          </w:tcPr>
          <w:p w14:paraId="484D4CDC"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588A79C0" w14:textId="0C10E3CB" w:rsidR="00462845" w:rsidRDefault="00462845" w:rsidP="00F0526A">
            <w:pPr>
              <w:pStyle w:val="TBodynormalNumber"/>
              <w:keepNext/>
            </w:pPr>
            <w:r>
              <w:t>1</w:t>
            </w:r>
            <w:r w:rsidR="00644028">
              <w:t>.</w:t>
            </w:r>
            <w:r>
              <w:t>188</w:t>
            </w:r>
          </w:p>
        </w:tc>
        <w:tc>
          <w:tcPr>
            <w:tcW w:w="119" w:type="dxa"/>
            <w:noWrap/>
            <w:vAlign w:val="bottom"/>
          </w:tcPr>
          <w:p w14:paraId="536D8ED2"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D0CE07D" w14:textId="18914CA2" w:rsidR="00462845" w:rsidRDefault="00462845" w:rsidP="00F0526A">
            <w:pPr>
              <w:pStyle w:val="TBodynormalNumber"/>
              <w:keepNext/>
            </w:pPr>
            <w:r>
              <w:t>1</w:t>
            </w:r>
            <w:r w:rsidR="00644028">
              <w:t>.</w:t>
            </w:r>
            <w:r>
              <w:t>093</w:t>
            </w:r>
          </w:p>
        </w:tc>
        <w:tc>
          <w:tcPr>
            <w:tcW w:w="119" w:type="dxa"/>
            <w:noWrap/>
            <w:vAlign w:val="bottom"/>
          </w:tcPr>
          <w:p w14:paraId="620CD8D9"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21E7FAF0" w14:textId="77777777" w:rsidR="00462845" w:rsidRDefault="00462845" w:rsidP="00F0526A">
            <w:pPr>
              <w:pStyle w:val="TBodynormalNumber"/>
              <w:keepNext/>
            </w:pPr>
            <w:r>
              <w:t>-8</w:t>
            </w:r>
          </w:p>
        </w:tc>
        <w:tc>
          <w:tcPr>
            <w:tcW w:w="119" w:type="dxa"/>
            <w:noWrap/>
            <w:vAlign w:val="bottom"/>
          </w:tcPr>
          <w:p w14:paraId="5B929790"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21CD4901" w14:textId="77777777" w:rsidR="00462845" w:rsidRDefault="00462845" w:rsidP="00F0526A">
            <w:pPr>
              <w:pStyle w:val="TBodynormalNumber"/>
              <w:keepNext/>
            </w:pPr>
            <w:r>
              <w:t>164</w:t>
            </w:r>
          </w:p>
        </w:tc>
        <w:tc>
          <w:tcPr>
            <w:tcW w:w="119" w:type="dxa"/>
            <w:noWrap/>
            <w:vAlign w:val="bottom"/>
          </w:tcPr>
          <w:p w14:paraId="5B766F19"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990F3B6" w14:textId="77777777" w:rsidR="00462845" w:rsidRDefault="00462845" w:rsidP="00F0526A">
            <w:pPr>
              <w:pStyle w:val="TBodynormalNumber"/>
              <w:keepNext/>
            </w:pPr>
            <w:r>
              <w:t>159</w:t>
            </w:r>
          </w:p>
        </w:tc>
        <w:tc>
          <w:tcPr>
            <w:tcW w:w="119" w:type="dxa"/>
            <w:noWrap/>
            <w:vAlign w:val="bottom"/>
          </w:tcPr>
          <w:p w14:paraId="78E280F4"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247A09CD" w14:textId="77777777" w:rsidR="00462845" w:rsidRDefault="00462845" w:rsidP="00F0526A">
            <w:pPr>
              <w:pStyle w:val="TBodynormalNumber"/>
              <w:keepNext/>
            </w:pPr>
            <w:r>
              <w:t>-3</w:t>
            </w:r>
          </w:p>
        </w:tc>
      </w:tr>
      <w:tr w:rsidR="00462845" w14:paraId="72E21658" w14:textId="77777777" w:rsidTr="00272DA4">
        <w:tc>
          <w:tcPr>
            <w:tcW w:w="2912" w:type="dxa"/>
            <w:tcBorders>
              <w:top w:val="single" w:sz="4" w:space="0" w:color="A59C94"/>
              <w:bottom w:val="single" w:sz="4" w:space="0" w:color="A59C94"/>
            </w:tcBorders>
            <w:noWrap/>
            <w:vAlign w:val="bottom"/>
          </w:tcPr>
          <w:p w14:paraId="636B3C9D" w14:textId="096F6C76" w:rsidR="00462845" w:rsidRDefault="00272DA4" w:rsidP="00F0526A">
            <w:pPr>
              <w:pStyle w:val="TBodynormalText"/>
            </w:pPr>
            <w:r w:rsidRPr="00D919B4">
              <w:rPr>
                <w:lang w:val="pt-BR"/>
              </w:rPr>
              <w:t>Performance Materials</w:t>
            </w:r>
            <w:r w:rsidRPr="00D3234F">
              <w:rPr>
                <w:vertAlign w:val="superscript"/>
                <w:lang w:val="pt-BR"/>
              </w:rPr>
              <w:t xml:space="preserve"> </w:t>
            </w:r>
          </w:p>
        </w:tc>
        <w:tc>
          <w:tcPr>
            <w:tcW w:w="119" w:type="dxa"/>
            <w:noWrap/>
            <w:vAlign w:val="bottom"/>
          </w:tcPr>
          <w:p w14:paraId="240146A7"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6000328F" w14:textId="77777777" w:rsidR="00462845" w:rsidRDefault="00462845" w:rsidP="00F0526A">
            <w:pPr>
              <w:pStyle w:val="TBodynormalNumber"/>
              <w:keepNext/>
            </w:pPr>
            <w:r>
              <w:t>707</w:t>
            </w:r>
          </w:p>
        </w:tc>
        <w:tc>
          <w:tcPr>
            <w:tcW w:w="119" w:type="dxa"/>
            <w:noWrap/>
            <w:vAlign w:val="bottom"/>
          </w:tcPr>
          <w:p w14:paraId="02A07324"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06DE1BA" w14:textId="77777777" w:rsidR="00462845" w:rsidRDefault="00462845" w:rsidP="00F0526A">
            <w:pPr>
              <w:pStyle w:val="TBodynormalNumber"/>
              <w:keepNext/>
            </w:pPr>
            <w:r>
              <w:t>646</w:t>
            </w:r>
          </w:p>
        </w:tc>
        <w:tc>
          <w:tcPr>
            <w:tcW w:w="119" w:type="dxa"/>
            <w:noWrap/>
            <w:vAlign w:val="bottom"/>
          </w:tcPr>
          <w:p w14:paraId="72797882"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3910FF33" w14:textId="77777777" w:rsidR="00462845" w:rsidRDefault="00462845" w:rsidP="00F0526A">
            <w:pPr>
              <w:pStyle w:val="TBodynormalNumber"/>
              <w:keepNext/>
            </w:pPr>
            <w:r>
              <w:t>-9</w:t>
            </w:r>
          </w:p>
        </w:tc>
        <w:tc>
          <w:tcPr>
            <w:tcW w:w="119" w:type="dxa"/>
            <w:noWrap/>
            <w:vAlign w:val="bottom"/>
          </w:tcPr>
          <w:p w14:paraId="5C1B17A0"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166635A3" w14:textId="77777777" w:rsidR="00462845" w:rsidRDefault="00462845" w:rsidP="00F0526A">
            <w:pPr>
              <w:pStyle w:val="TBodynormalNumber"/>
              <w:keepNext/>
            </w:pPr>
            <w:r>
              <w:t>37</w:t>
            </w:r>
          </w:p>
        </w:tc>
        <w:tc>
          <w:tcPr>
            <w:tcW w:w="119" w:type="dxa"/>
            <w:noWrap/>
            <w:vAlign w:val="bottom"/>
          </w:tcPr>
          <w:p w14:paraId="6A245FE4"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07F9814" w14:textId="77777777" w:rsidR="00462845" w:rsidRDefault="00462845" w:rsidP="00F0526A">
            <w:pPr>
              <w:pStyle w:val="TBodynormalNumber"/>
              <w:keepNext/>
            </w:pPr>
            <w:r>
              <w:t>43</w:t>
            </w:r>
          </w:p>
        </w:tc>
        <w:tc>
          <w:tcPr>
            <w:tcW w:w="119" w:type="dxa"/>
            <w:noWrap/>
            <w:vAlign w:val="bottom"/>
          </w:tcPr>
          <w:p w14:paraId="09FA0079"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56F0E731" w14:textId="77777777" w:rsidR="00462845" w:rsidRDefault="00462845" w:rsidP="00F0526A">
            <w:pPr>
              <w:pStyle w:val="TBodynormalNumber"/>
              <w:keepNext/>
            </w:pPr>
            <w:r>
              <w:t>16</w:t>
            </w:r>
          </w:p>
        </w:tc>
      </w:tr>
      <w:tr w:rsidR="00462845" w14:paraId="0C3BA84B" w14:textId="77777777" w:rsidTr="00272DA4">
        <w:tc>
          <w:tcPr>
            <w:tcW w:w="2912" w:type="dxa"/>
            <w:tcBorders>
              <w:top w:val="single" w:sz="4" w:space="0" w:color="A59C94"/>
              <w:bottom w:val="single" w:sz="4" w:space="0" w:color="A59C94"/>
            </w:tcBorders>
            <w:noWrap/>
            <w:vAlign w:val="bottom"/>
          </w:tcPr>
          <w:p w14:paraId="66801C1C" w14:textId="4DAA7317" w:rsidR="00462845" w:rsidRDefault="00272DA4" w:rsidP="00F0526A">
            <w:pPr>
              <w:pStyle w:val="TBodynormalText"/>
            </w:pPr>
            <w:r w:rsidRPr="00D919B4">
              <w:rPr>
                <w:lang w:val="pt-BR"/>
              </w:rPr>
              <w:t>Technology &amp; Infrastructure</w:t>
            </w:r>
          </w:p>
        </w:tc>
        <w:tc>
          <w:tcPr>
            <w:tcW w:w="119" w:type="dxa"/>
            <w:noWrap/>
            <w:vAlign w:val="bottom"/>
          </w:tcPr>
          <w:p w14:paraId="5BC35EF9"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711F5982" w14:textId="77777777" w:rsidR="00462845" w:rsidRDefault="00462845" w:rsidP="00F0526A">
            <w:pPr>
              <w:pStyle w:val="TBodynormalNumber"/>
              <w:keepNext/>
            </w:pPr>
            <w:r>
              <w:t>292</w:t>
            </w:r>
          </w:p>
        </w:tc>
        <w:tc>
          <w:tcPr>
            <w:tcW w:w="119" w:type="dxa"/>
            <w:noWrap/>
            <w:vAlign w:val="bottom"/>
          </w:tcPr>
          <w:p w14:paraId="5AB9D55F"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63B952D" w14:textId="77777777" w:rsidR="00462845" w:rsidRDefault="00462845" w:rsidP="00F0526A">
            <w:pPr>
              <w:pStyle w:val="TBodynormalNumber"/>
              <w:keepNext/>
            </w:pPr>
            <w:r>
              <w:t>238</w:t>
            </w:r>
          </w:p>
        </w:tc>
        <w:tc>
          <w:tcPr>
            <w:tcW w:w="119" w:type="dxa"/>
            <w:noWrap/>
            <w:vAlign w:val="bottom"/>
          </w:tcPr>
          <w:p w14:paraId="56D695E5"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01415507" w14:textId="77777777" w:rsidR="00462845" w:rsidRDefault="00462845" w:rsidP="00F0526A">
            <w:pPr>
              <w:pStyle w:val="TBodynormalNumber"/>
              <w:keepNext/>
            </w:pPr>
            <w:r>
              <w:t>-18</w:t>
            </w:r>
          </w:p>
        </w:tc>
        <w:tc>
          <w:tcPr>
            <w:tcW w:w="119" w:type="dxa"/>
            <w:noWrap/>
            <w:vAlign w:val="bottom"/>
          </w:tcPr>
          <w:p w14:paraId="4267910F"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1A34CA0A" w14:textId="77777777" w:rsidR="00462845" w:rsidRDefault="00462845" w:rsidP="00F0526A">
            <w:pPr>
              <w:pStyle w:val="TBodynormalNumber"/>
              <w:keepNext/>
            </w:pPr>
            <w:r>
              <w:t>34</w:t>
            </w:r>
          </w:p>
        </w:tc>
        <w:tc>
          <w:tcPr>
            <w:tcW w:w="119" w:type="dxa"/>
            <w:noWrap/>
            <w:vAlign w:val="bottom"/>
          </w:tcPr>
          <w:p w14:paraId="76379B8D"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4E5759B9" w14:textId="77777777" w:rsidR="00462845" w:rsidRDefault="00462845" w:rsidP="00F0526A">
            <w:pPr>
              <w:pStyle w:val="TBodynormalNumber"/>
              <w:keepNext/>
            </w:pPr>
            <w:r>
              <w:t>73</w:t>
            </w:r>
          </w:p>
        </w:tc>
        <w:tc>
          <w:tcPr>
            <w:tcW w:w="119" w:type="dxa"/>
            <w:noWrap/>
            <w:vAlign w:val="bottom"/>
          </w:tcPr>
          <w:p w14:paraId="0819DE75"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6377F695" w14:textId="77777777" w:rsidR="00462845" w:rsidRDefault="00462845" w:rsidP="00F0526A">
            <w:pPr>
              <w:pStyle w:val="TBodynormalNumber"/>
              <w:keepNext/>
            </w:pPr>
            <w:r>
              <w:t>115</w:t>
            </w:r>
          </w:p>
        </w:tc>
      </w:tr>
      <w:tr w:rsidR="00462845" w14:paraId="3FEC8AAC" w14:textId="77777777" w:rsidTr="00272DA4">
        <w:tc>
          <w:tcPr>
            <w:tcW w:w="2912" w:type="dxa"/>
            <w:tcBorders>
              <w:top w:val="single" w:sz="4" w:space="0" w:color="A59C94"/>
              <w:bottom w:val="single" w:sz="4" w:space="0" w:color="A59C94"/>
            </w:tcBorders>
            <w:noWrap/>
            <w:vAlign w:val="bottom"/>
          </w:tcPr>
          <w:p w14:paraId="67B409E1" w14:textId="19A3692A" w:rsidR="00462845" w:rsidRPr="00F53E96" w:rsidRDefault="00272DA4" w:rsidP="00F0526A">
            <w:pPr>
              <w:pStyle w:val="TBodynormalText"/>
              <w:rPr>
                <w:lang w:val="pt-BR"/>
              </w:rPr>
            </w:pPr>
            <w:r>
              <w:rPr>
                <w:lang w:val="pt-BR"/>
              </w:rPr>
              <w:t>Funções Essenciais</w:t>
            </w:r>
            <w:r w:rsidRPr="00D919B4">
              <w:rPr>
                <w:lang w:val="pt-BR"/>
              </w:rPr>
              <w:t xml:space="preserve">, </w:t>
            </w:r>
            <w:r>
              <w:rPr>
                <w:lang w:val="pt-BR"/>
              </w:rPr>
              <w:t>Outras Atividades</w:t>
            </w:r>
            <w:r w:rsidRPr="00D919B4">
              <w:rPr>
                <w:lang w:val="pt-BR"/>
              </w:rPr>
              <w:t>, Consolida</w:t>
            </w:r>
            <w:r>
              <w:rPr>
                <w:lang w:val="pt-BR"/>
              </w:rPr>
              <w:t>ção</w:t>
            </w:r>
          </w:p>
        </w:tc>
        <w:tc>
          <w:tcPr>
            <w:tcW w:w="119" w:type="dxa"/>
            <w:noWrap/>
            <w:vAlign w:val="bottom"/>
          </w:tcPr>
          <w:p w14:paraId="00EBE544" w14:textId="77777777" w:rsidR="00462845" w:rsidRPr="00F53E96" w:rsidRDefault="00462845" w:rsidP="00F0526A">
            <w:pPr>
              <w:pStyle w:val="TBodynormalNumber"/>
              <w:keepNext/>
              <w:rPr>
                <w:lang w:val="pt-BR"/>
              </w:rPr>
            </w:pPr>
          </w:p>
        </w:tc>
        <w:tc>
          <w:tcPr>
            <w:tcW w:w="1021" w:type="dxa"/>
            <w:tcBorders>
              <w:top w:val="single" w:sz="4" w:space="0" w:color="A59C94"/>
              <w:bottom w:val="single" w:sz="4" w:space="0" w:color="A59C94"/>
            </w:tcBorders>
            <w:noWrap/>
            <w:vAlign w:val="bottom"/>
          </w:tcPr>
          <w:p w14:paraId="74C72416" w14:textId="77777777" w:rsidR="00462845" w:rsidRDefault="00462845" w:rsidP="00F0526A">
            <w:pPr>
              <w:pStyle w:val="TBodynormalNumber"/>
              <w:keepNext/>
            </w:pPr>
            <w:r>
              <w:t>11</w:t>
            </w:r>
          </w:p>
        </w:tc>
        <w:tc>
          <w:tcPr>
            <w:tcW w:w="119" w:type="dxa"/>
            <w:noWrap/>
            <w:vAlign w:val="bottom"/>
          </w:tcPr>
          <w:p w14:paraId="16C05DA7"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CD57FD8" w14:textId="77777777" w:rsidR="00462845" w:rsidRDefault="00462845" w:rsidP="00F0526A">
            <w:pPr>
              <w:pStyle w:val="TBodynormalNumber"/>
              <w:keepNext/>
            </w:pPr>
            <w:r>
              <w:t>11</w:t>
            </w:r>
          </w:p>
        </w:tc>
        <w:tc>
          <w:tcPr>
            <w:tcW w:w="119" w:type="dxa"/>
            <w:noWrap/>
            <w:vAlign w:val="bottom"/>
          </w:tcPr>
          <w:p w14:paraId="559679CD"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08CBA2E4" w14:textId="77777777" w:rsidR="00462845" w:rsidRDefault="00462845" w:rsidP="00F0526A">
            <w:pPr>
              <w:pStyle w:val="TBodynormalNumber"/>
              <w:keepNext/>
            </w:pPr>
            <w:r>
              <w:t>-</w:t>
            </w:r>
          </w:p>
        </w:tc>
        <w:tc>
          <w:tcPr>
            <w:tcW w:w="119" w:type="dxa"/>
            <w:noWrap/>
            <w:vAlign w:val="bottom"/>
          </w:tcPr>
          <w:p w14:paraId="0734AA25"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0A701274" w14:textId="77777777" w:rsidR="00462845" w:rsidRDefault="00462845" w:rsidP="00F0526A">
            <w:pPr>
              <w:pStyle w:val="TBodynormalNumber"/>
              <w:keepNext/>
            </w:pPr>
            <w:r>
              <w:t>-70</w:t>
            </w:r>
          </w:p>
        </w:tc>
        <w:tc>
          <w:tcPr>
            <w:tcW w:w="119" w:type="dxa"/>
            <w:noWrap/>
            <w:vAlign w:val="bottom"/>
          </w:tcPr>
          <w:p w14:paraId="0880AAC9"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4B248ECD" w14:textId="77777777" w:rsidR="00462845" w:rsidRDefault="00462845" w:rsidP="00F0526A">
            <w:pPr>
              <w:pStyle w:val="TBodynormalNumber"/>
              <w:keepNext/>
            </w:pPr>
            <w:r>
              <w:t>-78</w:t>
            </w:r>
          </w:p>
        </w:tc>
        <w:tc>
          <w:tcPr>
            <w:tcW w:w="119" w:type="dxa"/>
            <w:noWrap/>
            <w:vAlign w:val="bottom"/>
          </w:tcPr>
          <w:p w14:paraId="548727A3"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600877E6" w14:textId="77777777" w:rsidR="00462845" w:rsidRDefault="00462845" w:rsidP="00F0526A">
            <w:pPr>
              <w:pStyle w:val="TBodynormalNumber"/>
              <w:keepNext/>
            </w:pPr>
            <w:r>
              <w:t>-11</w:t>
            </w:r>
          </w:p>
        </w:tc>
      </w:tr>
      <w:tr w:rsidR="00462845" w14:paraId="4037789C" w14:textId="77777777" w:rsidTr="00272DA4">
        <w:tc>
          <w:tcPr>
            <w:tcW w:w="2912" w:type="dxa"/>
            <w:tcBorders>
              <w:top w:val="single" w:sz="4" w:space="0" w:color="A59C94"/>
              <w:bottom w:val="single" w:sz="16" w:space="0" w:color="991D85"/>
            </w:tcBorders>
            <w:noWrap/>
            <w:vAlign w:val="bottom"/>
          </w:tcPr>
          <w:p w14:paraId="7090B356" w14:textId="77777777" w:rsidR="00462845" w:rsidRDefault="00462845" w:rsidP="00F0526A">
            <w:pPr>
              <w:pStyle w:val="TBodytotalText"/>
            </w:pPr>
            <w:bookmarkStart w:id="10" w:name="RANGE!B33:N33"/>
            <w:bookmarkEnd w:id="10"/>
            <w:r>
              <w:t>Grupo Evonik</w:t>
            </w:r>
          </w:p>
        </w:tc>
        <w:tc>
          <w:tcPr>
            <w:tcW w:w="119" w:type="dxa"/>
            <w:tcBorders>
              <w:bottom w:val="single" w:sz="16" w:space="0" w:color="991D85"/>
            </w:tcBorders>
            <w:noWrap/>
            <w:vAlign w:val="bottom"/>
          </w:tcPr>
          <w:p w14:paraId="7A3CD5B0"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0ADEAD10" w14:textId="2DDC9E43" w:rsidR="00462845" w:rsidRDefault="00462845" w:rsidP="00F0526A">
            <w:pPr>
              <w:pStyle w:val="TBodytotalNumber"/>
            </w:pPr>
            <w:r>
              <w:t>4</w:t>
            </w:r>
            <w:r w:rsidR="00644028">
              <w:t>.</w:t>
            </w:r>
            <w:r>
              <w:t>005</w:t>
            </w:r>
          </w:p>
        </w:tc>
        <w:tc>
          <w:tcPr>
            <w:tcW w:w="119" w:type="dxa"/>
            <w:tcBorders>
              <w:bottom w:val="single" w:sz="16" w:space="0" w:color="991D85"/>
            </w:tcBorders>
            <w:noWrap/>
            <w:vAlign w:val="bottom"/>
          </w:tcPr>
          <w:p w14:paraId="1BA1F67D" w14:textId="77777777" w:rsidR="00462845" w:rsidRDefault="00462845" w:rsidP="00F0526A">
            <w:pPr>
              <w:pStyle w:val="TBodytotalNumber"/>
            </w:pPr>
          </w:p>
        </w:tc>
        <w:tc>
          <w:tcPr>
            <w:tcW w:w="1021" w:type="dxa"/>
            <w:tcBorders>
              <w:top w:val="single" w:sz="4" w:space="0" w:color="A59C94"/>
              <w:bottom w:val="single" w:sz="16" w:space="0" w:color="991D85"/>
            </w:tcBorders>
            <w:shd w:val="clear" w:color="000000" w:fill="DAD5C9"/>
            <w:noWrap/>
            <w:vAlign w:val="bottom"/>
          </w:tcPr>
          <w:p w14:paraId="2F79CB50" w14:textId="3A0E0C95" w:rsidR="00462845" w:rsidRDefault="00462845" w:rsidP="00F0526A">
            <w:pPr>
              <w:pStyle w:val="TBodytotalNumber"/>
            </w:pPr>
            <w:r>
              <w:t>3</w:t>
            </w:r>
            <w:r w:rsidR="00644028">
              <w:t>.</w:t>
            </w:r>
            <w:r>
              <w:t>796</w:t>
            </w:r>
          </w:p>
        </w:tc>
        <w:tc>
          <w:tcPr>
            <w:tcW w:w="119" w:type="dxa"/>
            <w:tcBorders>
              <w:bottom w:val="single" w:sz="16" w:space="0" w:color="991D85"/>
            </w:tcBorders>
            <w:noWrap/>
            <w:vAlign w:val="bottom"/>
          </w:tcPr>
          <w:p w14:paraId="6E7994DA"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49505266" w14:textId="77777777" w:rsidR="00462845" w:rsidRDefault="00462845" w:rsidP="00F0526A">
            <w:pPr>
              <w:pStyle w:val="TBodytotalNumber"/>
            </w:pPr>
            <w:r>
              <w:t>-5</w:t>
            </w:r>
          </w:p>
        </w:tc>
        <w:tc>
          <w:tcPr>
            <w:tcW w:w="119" w:type="dxa"/>
            <w:tcBorders>
              <w:bottom w:val="single" w:sz="16" w:space="0" w:color="991D85"/>
            </w:tcBorders>
            <w:noWrap/>
            <w:vAlign w:val="bottom"/>
          </w:tcPr>
          <w:p w14:paraId="2975FFC7"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2EE23E46" w14:textId="77777777" w:rsidR="00462845" w:rsidRDefault="00462845" w:rsidP="00F0526A">
            <w:pPr>
              <w:pStyle w:val="TBodytotalNumber"/>
            </w:pPr>
            <w:r>
              <w:t>409</w:t>
            </w:r>
          </w:p>
        </w:tc>
        <w:tc>
          <w:tcPr>
            <w:tcW w:w="119" w:type="dxa"/>
            <w:tcBorders>
              <w:bottom w:val="single" w:sz="16" w:space="0" w:color="991D85"/>
            </w:tcBorders>
            <w:noWrap/>
            <w:vAlign w:val="bottom"/>
          </w:tcPr>
          <w:p w14:paraId="387BDA1F" w14:textId="77777777" w:rsidR="00462845" w:rsidRDefault="00462845" w:rsidP="00F0526A">
            <w:pPr>
              <w:pStyle w:val="TBodytotalNumber"/>
            </w:pPr>
          </w:p>
        </w:tc>
        <w:tc>
          <w:tcPr>
            <w:tcW w:w="1021" w:type="dxa"/>
            <w:tcBorders>
              <w:top w:val="single" w:sz="4" w:space="0" w:color="A59C94"/>
              <w:bottom w:val="single" w:sz="16" w:space="0" w:color="991D85"/>
            </w:tcBorders>
            <w:shd w:val="clear" w:color="000000" w:fill="DAD5C9"/>
            <w:noWrap/>
            <w:vAlign w:val="bottom"/>
          </w:tcPr>
          <w:p w14:paraId="026BB72D" w14:textId="77777777" w:rsidR="00462845" w:rsidRDefault="00462845" w:rsidP="00F0526A">
            <w:pPr>
              <w:pStyle w:val="TBodytotalNumber"/>
            </w:pPr>
            <w:r>
              <w:t>522</w:t>
            </w:r>
          </w:p>
        </w:tc>
        <w:tc>
          <w:tcPr>
            <w:tcW w:w="119" w:type="dxa"/>
            <w:tcBorders>
              <w:bottom w:val="single" w:sz="16" w:space="0" w:color="991D85"/>
            </w:tcBorders>
            <w:noWrap/>
            <w:vAlign w:val="bottom"/>
          </w:tcPr>
          <w:p w14:paraId="795ED9A3"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46D04D6F" w14:textId="77777777" w:rsidR="00462845" w:rsidRDefault="00462845" w:rsidP="00F0526A">
            <w:pPr>
              <w:pStyle w:val="TBodytotalNumber"/>
            </w:pPr>
            <w:r>
              <w:t>28</w:t>
            </w:r>
          </w:p>
        </w:tc>
      </w:tr>
      <w:bookmarkEnd w:id="2"/>
    </w:tbl>
    <w:p w14:paraId="2B1AD7FB" w14:textId="77777777" w:rsidR="00462845" w:rsidRPr="00272DA4" w:rsidRDefault="00462845" w:rsidP="00462845">
      <w:pPr>
        <w:rPr>
          <w:color w:val="000000"/>
          <w:lang w:val="pt-BR"/>
        </w:rPr>
      </w:pPr>
    </w:p>
    <w:p w14:paraId="3FDC93D2" w14:textId="77777777" w:rsidR="00462845" w:rsidRPr="00272DA4" w:rsidRDefault="00462845" w:rsidP="00462845">
      <w:pPr>
        <w:rPr>
          <w:color w:val="000000"/>
          <w:lang w:val="pt-BR"/>
        </w:rPr>
      </w:pPr>
    </w:p>
    <w:tbl>
      <w:tblPr>
        <w:tblW w:w="9752" w:type="dxa"/>
        <w:tblLayout w:type="fixed"/>
        <w:tblCellMar>
          <w:left w:w="0" w:type="dxa"/>
          <w:right w:w="0" w:type="dxa"/>
        </w:tblCellMar>
        <w:tblLook w:val="04A0" w:firstRow="1" w:lastRow="0" w:firstColumn="1" w:lastColumn="0" w:noHBand="0" w:noVBand="1"/>
        <w:tblCaption w:val="Pressemitteilung - Tabelle en!outarea_mitarbeiter"/>
        <w:tblDescription w:val="SNEID_ff49204d453a430193fb198056f74b99"/>
      </w:tblPr>
      <w:tblGrid>
        <w:gridCol w:w="7472"/>
        <w:gridCol w:w="119"/>
        <w:gridCol w:w="1021"/>
        <w:gridCol w:w="119"/>
        <w:gridCol w:w="1021"/>
      </w:tblGrid>
      <w:tr w:rsidR="00462845" w14:paraId="4E122EB0" w14:textId="77777777" w:rsidTr="00F0526A">
        <w:tc>
          <w:tcPr>
            <w:tcW w:w="7472" w:type="dxa"/>
            <w:noWrap/>
            <w:vAlign w:val="bottom"/>
          </w:tcPr>
          <w:p w14:paraId="0C1FBEC0" w14:textId="5D7419A4" w:rsidR="00462845" w:rsidRDefault="00272DA4" w:rsidP="00F0526A">
            <w:pPr>
              <w:pStyle w:val="TTitleText"/>
            </w:pPr>
            <w:bookmarkStart w:id="11" w:name="SNEID_ff49204d453a430193fb198056f74b99"/>
            <w:r>
              <w:lastRenderedPageBreak/>
              <w:t>Colaboradore</w:t>
            </w:r>
            <w:r w:rsidR="00462845">
              <w:t>s por divisão</w:t>
            </w:r>
          </w:p>
        </w:tc>
        <w:tc>
          <w:tcPr>
            <w:tcW w:w="119" w:type="dxa"/>
            <w:noWrap/>
            <w:vAlign w:val="bottom"/>
          </w:tcPr>
          <w:p w14:paraId="38E58EF6" w14:textId="77777777" w:rsidR="00462845" w:rsidRDefault="00462845" w:rsidP="00F0526A">
            <w:pPr>
              <w:pStyle w:val="TTitleText"/>
            </w:pPr>
          </w:p>
        </w:tc>
        <w:tc>
          <w:tcPr>
            <w:tcW w:w="1021" w:type="dxa"/>
            <w:noWrap/>
            <w:vAlign w:val="bottom"/>
          </w:tcPr>
          <w:p w14:paraId="59AA4A95" w14:textId="77777777" w:rsidR="00462845" w:rsidRDefault="00462845" w:rsidP="00F0526A">
            <w:pPr>
              <w:pStyle w:val="TTitleText"/>
            </w:pPr>
          </w:p>
        </w:tc>
        <w:tc>
          <w:tcPr>
            <w:tcW w:w="119" w:type="dxa"/>
            <w:noWrap/>
            <w:vAlign w:val="bottom"/>
          </w:tcPr>
          <w:p w14:paraId="74FC2073" w14:textId="77777777" w:rsidR="00462845" w:rsidRDefault="00462845" w:rsidP="00F0526A">
            <w:pPr>
              <w:pStyle w:val="TTitleText"/>
            </w:pPr>
          </w:p>
        </w:tc>
        <w:tc>
          <w:tcPr>
            <w:tcW w:w="1021" w:type="dxa"/>
            <w:noWrap/>
            <w:vAlign w:val="bottom"/>
          </w:tcPr>
          <w:p w14:paraId="0775D251" w14:textId="77777777" w:rsidR="00462845" w:rsidRDefault="00462845" w:rsidP="00F0526A">
            <w:pPr>
              <w:pStyle w:val="TTitleText"/>
            </w:pPr>
          </w:p>
        </w:tc>
      </w:tr>
      <w:tr w:rsidR="00462845" w14:paraId="29410B3A" w14:textId="77777777" w:rsidTr="00F0526A">
        <w:tc>
          <w:tcPr>
            <w:tcW w:w="7472" w:type="dxa"/>
            <w:tcBorders>
              <w:top w:val="single" w:sz="8" w:space="0" w:color="000000"/>
            </w:tcBorders>
            <w:noWrap/>
            <w:vAlign w:val="bottom"/>
          </w:tcPr>
          <w:p w14:paraId="2A95F7CC" w14:textId="77777777" w:rsidR="00462845" w:rsidRDefault="00462845" w:rsidP="00F0526A">
            <w:pPr>
              <w:pStyle w:val="TDummy"/>
              <w:keepNext/>
            </w:pPr>
          </w:p>
        </w:tc>
        <w:tc>
          <w:tcPr>
            <w:tcW w:w="119" w:type="dxa"/>
            <w:tcBorders>
              <w:top w:val="single" w:sz="8" w:space="0" w:color="000000"/>
            </w:tcBorders>
            <w:noWrap/>
            <w:vAlign w:val="bottom"/>
          </w:tcPr>
          <w:p w14:paraId="56500920" w14:textId="77777777" w:rsidR="00462845" w:rsidRDefault="00462845" w:rsidP="00F0526A">
            <w:pPr>
              <w:pStyle w:val="TDummy"/>
              <w:keepNext/>
            </w:pPr>
          </w:p>
        </w:tc>
        <w:tc>
          <w:tcPr>
            <w:tcW w:w="1021" w:type="dxa"/>
            <w:tcBorders>
              <w:top w:val="single" w:sz="8" w:space="0" w:color="000000"/>
            </w:tcBorders>
            <w:noWrap/>
            <w:vAlign w:val="bottom"/>
          </w:tcPr>
          <w:p w14:paraId="577AFD6B" w14:textId="77777777" w:rsidR="00462845" w:rsidRDefault="00462845" w:rsidP="00F0526A">
            <w:pPr>
              <w:pStyle w:val="TDummy"/>
              <w:keepNext/>
            </w:pPr>
          </w:p>
        </w:tc>
        <w:tc>
          <w:tcPr>
            <w:tcW w:w="119" w:type="dxa"/>
            <w:tcBorders>
              <w:top w:val="single" w:sz="8" w:space="0" w:color="000000"/>
            </w:tcBorders>
            <w:noWrap/>
            <w:vAlign w:val="bottom"/>
          </w:tcPr>
          <w:p w14:paraId="2458E82F" w14:textId="77777777" w:rsidR="00462845" w:rsidRDefault="00462845" w:rsidP="00F0526A">
            <w:pPr>
              <w:pStyle w:val="TDummy"/>
              <w:keepNext/>
            </w:pPr>
          </w:p>
        </w:tc>
        <w:tc>
          <w:tcPr>
            <w:tcW w:w="1021" w:type="dxa"/>
            <w:tcBorders>
              <w:top w:val="single" w:sz="8" w:space="0" w:color="000000"/>
            </w:tcBorders>
            <w:noWrap/>
            <w:vAlign w:val="bottom"/>
          </w:tcPr>
          <w:p w14:paraId="01D025A6" w14:textId="77777777" w:rsidR="00462845" w:rsidRDefault="00462845" w:rsidP="00F0526A">
            <w:pPr>
              <w:pStyle w:val="TDummy"/>
              <w:keepNext/>
            </w:pPr>
          </w:p>
        </w:tc>
      </w:tr>
      <w:tr w:rsidR="00462845" w14:paraId="2ED1D358" w14:textId="77777777" w:rsidTr="00F0526A">
        <w:tc>
          <w:tcPr>
            <w:tcW w:w="7472" w:type="dxa"/>
            <w:tcBorders>
              <w:bottom w:val="single" w:sz="4" w:space="0" w:color="000000"/>
            </w:tcBorders>
            <w:shd w:val="clear" w:color="000000" w:fill="FFFFFF"/>
            <w:noWrap/>
            <w:vAlign w:val="bottom"/>
          </w:tcPr>
          <w:p w14:paraId="3F587335" w14:textId="77777777" w:rsidR="00462845" w:rsidRDefault="00462845" w:rsidP="00F0526A">
            <w:pPr>
              <w:pStyle w:val="THeadsingleText"/>
            </w:pPr>
            <w:bookmarkStart w:id="12" w:name="RANGE!B51:F51"/>
            <w:bookmarkEnd w:id="12"/>
          </w:p>
        </w:tc>
        <w:tc>
          <w:tcPr>
            <w:tcW w:w="119" w:type="dxa"/>
            <w:noWrap/>
            <w:vAlign w:val="bottom"/>
          </w:tcPr>
          <w:p w14:paraId="3F489F81" w14:textId="77777777" w:rsidR="00462845" w:rsidRDefault="00462845" w:rsidP="00F0526A">
            <w:pPr>
              <w:pStyle w:val="THeadsingleNumber"/>
            </w:pPr>
          </w:p>
        </w:tc>
        <w:tc>
          <w:tcPr>
            <w:tcW w:w="1021" w:type="dxa"/>
            <w:tcBorders>
              <w:bottom w:val="single" w:sz="4" w:space="0" w:color="000000"/>
            </w:tcBorders>
            <w:shd w:val="clear" w:color="000000" w:fill="FFFFFF"/>
            <w:vAlign w:val="bottom"/>
          </w:tcPr>
          <w:p w14:paraId="601BFD3D" w14:textId="77777777" w:rsidR="00462845" w:rsidRDefault="00462845" w:rsidP="00F0526A">
            <w:pPr>
              <w:pStyle w:val="THeadsingleNumber"/>
            </w:pPr>
            <w:r>
              <w:t>31 de dezembro de 2023</w:t>
            </w:r>
          </w:p>
        </w:tc>
        <w:tc>
          <w:tcPr>
            <w:tcW w:w="119" w:type="dxa"/>
            <w:vAlign w:val="bottom"/>
          </w:tcPr>
          <w:p w14:paraId="2CCF0426" w14:textId="77777777" w:rsidR="00462845" w:rsidRDefault="00462845" w:rsidP="00F0526A">
            <w:pPr>
              <w:pStyle w:val="THeadsingleNumber"/>
            </w:pPr>
          </w:p>
        </w:tc>
        <w:tc>
          <w:tcPr>
            <w:tcW w:w="1021" w:type="dxa"/>
            <w:tcBorders>
              <w:bottom w:val="single" w:sz="4" w:space="0" w:color="000000"/>
            </w:tcBorders>
            <w:shd w:val="clear" w:color="000000" w:fill="FFFFFF"/>
            <w:vAlign w:val="bottom"/>
          </w:tcPr>
          <w:p w14:paraId="1CDEEA5E" w14:textId="77777777" w:rsidR="00462845" w:rsidRDefault="00462845" w:rsidP="00F0526A">
            <w:pPr>
              <w:pStyle w:val="THeadsingleNumberbold"/>
            </w:pPr>
            <w:bookmarkStart w:id="13" w:name="RANGE!F51:F60"/>
            <w:bookmarkEnd w:id="13"/>
            <w:r>
              <w:t>31 de março de 2024</w:t>
            </w:r>
          </w:p>
        </w:tc>
      </w:tr>
      <w:tr w:rsidR="00462845" w14:paraId="033B3AC9" w14:textId="77777777" w:rsidTr="00F0526A">
        <w:tc>
          <w:tcPr>
            <w:tcW w:w="7472" w:type="dxa"/>
            <w:tcBorders>
              <w:top w:val="single" w:sz="4" w:space="0" w:color="000000"/>
              <w:bottom w:val="single" w:sz="4" w:space="0" w:color="A59C94"/>
            </w:tcBorders>
            <w:noWrap/>
            <w:vAlign w:val="bottom"/>
          </w:tcPr>
          <w:p w14:paraId="42A59D7A" w14:textId="6DFEF21C" w:rsidR="00462845" w:rsidRDefault="00272DA4" w:rsidP="00F0526A">
            <w:pPr>
              <w:pStyle w:val="TBodynormalText"/>
            </w:pPr>
            <w:r w:rsidRPr="00D919B4">
              <w:rPr>
                <w:lang w:val="pt-BR"/>
              </w:rPr>
              <w:t>Specialty Additives</w:t>
            </w:r>
          </w:p>
        </w:tc>
        <w:tc>
          <w:tcPr>
            <w:tcW w:w="119" w:type="dxa"/>
            <w:noWrap/>
            <w:vAlign w:val="bottom"/>
          </w:tcPr>
          <w:p w14:paraId="6697283C" w14:textId="77777777" w:rsidR="00462845" w:rsidRDefault="00462845" w:rsidP="00F0526A">
            <w:pPr>
              <w:pStyle w:val="TBodynormalNumber"/>
              <w:keepNext/>
            </w:pPr>
          </w:p>
        </w:tc>
        <w:tc>
          <w:tcPr>
            <w:tcW w:w="1021" w:type="dxa"/>
            <w:tcBorders>
              <w:top w:val="single" w:sz="4" w:space="0" w:color="000000"/>
              <w:bottom w:val="single" w:sz="4" w:space="0" w:color="A59C94"/>
            </w:tcBorders>
            <w:noWrap/>
            <w:vAlign w:val="bottom"/>
          </w:tcPr>
          <w:p w14:paraId="4FEF7A9C" w14:textId="5B4E81E8" w:rsidR="00462845" w:rsidRDefault="00462845" w:rsidP="00F0526A">
            <w:pPr>
              <w:pStyle w:val="TBodynormalNumber"/>
              <w:keepNext/>
            </w:pPr>
            <w:r>
              <w:t>3</w:t>
            </w:r>
            <w:r w:rsidR="00644028">
              <w:t>.</w:t>
            </w:r>
            <w:r>
              <w:t>492</w:t>
            </w:r>
          </w:p>
        </w:tc>
        <w:tc>
          <w:tcPr>
            <w:tcW w:w="119" w:type="dxa"/>
            <w:noWrap/>
            <w:vAlign w:val="bottom"/>
          </w:tcPr>
          <w:p w14:paraId="313F9355" w14:textId="77777777" w:rsidR="00462845" w:rsidRDefault="00462845" w:rsidP="00F0526A">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6F03E37E" w14:textId="6504DF55" w:rsidR="00462845" w:rsidRDefault="00462845" w:rsidP="00F0526A">
            <w:pPr>
              <w:pStyle w:val="TBodynormalNumber"/>
              <w:keepNext/>
            </w:pPr>
            <w:r>
              <w:t>3</w:t>
            </w:r>
            <w:r w:rsidR="00644028">
              <w:t>.</w:t>
            </w:r>
            <w:r>
              <w:t>451</w:t>
            </w:r>
          </w:p>
        </w:tc>
      </w:tr>
      <w:tr w:rsidR="00462845" w14:paraId="59A588A9" w14:textId="77777777" w:rsidTr="00F0526A">
        <w:tc>
          <w:tcPr>
            <w:tcW w:w="7472" w:type="dxa"/>
            <w:tcBorders>
              <w:top w:val="single" w:sz="4" w:space="0" w:color="A59C94"/>
              <w:bottom w:val="single" w:sz="4" w:space="0" w:color="A59C94"/>
            </w:tcBorders>
            <w:noWrap/>
            <w:vAlign w:val="bottom"/>
          </w:tcPr>
          <w:p w14:paraId="124AD49D" w14:textId="3CA44745" w:rsidR="00462845" w:rsidRDefault="00272DA4" w:rsidP="00F0526A">
            <w:pPr>
              <w:pStyle w:val="TBodynormalText"/>
            </w:pPr>
            <w:r w:rsidRPr="00D919B4">
              <w:rPr>
                <w:lang w:val="pt-BR"/>
              </w:rPr>
              <w:t>Nutrition &amp; Care</w:t>
            </w:r>
          </w:p>
        </w:tc>
        <w:tc>
          <w:tcPr>
            <w:tcW w:w="119" w:type="dxa"/>
            <w:noWrap/>
            <w:vAlign w:val="bottom"/>
          </w:tcPr>
          <w:p w14:paraId="5BCB493A"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20C51DC6" w14:textId="74D141FA" w:rsidR="00462845" w:rsidRDefault="00462845" w:rsidP="00F0526A">
            <w:pPr>
              <w:pStyle w:val="TBodynormalNumber"/>
              <w:keepNext/>
            </w:pPr>
            <w:r>
              <w:t>5</w:t>
            </w:r>
            <w:r w:rsidR="00644028">
              <w:t>.</w:t>
            </w:r>
            <w:r>
              <w:t>630</w:t>
            </w:r>
          </w:p>
        </w:tc>
        <w:tc>
          <w:tcPr>
            <w:tcW w:w="119" w:type="dxa"/>
            <w:noWrap/>
            <w:vAlign w:val="bottom"/>
          </w:tcPr>
          <w:p w14:paraId="4513F764"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A069597" w14:textId="73A0E226" w:rsidR="00462845" w:rsidRDefault="00462845" w:rsidP="00F0526A">
            <w:pPr>
              <w:pStyle w:val="TBodynormalNumber"/>
              <w:keepNext/>
            </w:pPr>
            <w:r>
              <w:t>5</w:t>
            </w:r>
            <w:r w:rsidR="00644028">
              <w:t>.</w:t>
            </w:r>
            <w:r>
              <w:t>560</w:t>
            </w:r>
          </w:p>
        </w:tc>
      </w:tr>
      <w:tr w:rsidR="00462845" w14:paraId="18633566" w14:textId="77777777" w:rsidTr="00F0526A">
        <w:tc>
          <w:tcPr>
            <w:tcW w:w="7472" w:type="dxa"/>
            <w:tcBorders>
              <w:top w:val="single" w:sz="4" w:space="0" w:color="A59C94"/>
              <w:bottom w:val="single" w:sz="4" w:space="0" w:color="A59C94"/>
            </w:tcBorders>
            <w:noWrap/>
            <w:vAlign w:val="bottom"/>
          </w:tcPr>
          <w:p w14:paraId="3E78AE2F" w14:textId="4756E84E" w:rsidR="00462845" w:rsidRDefault="00272DA4" w:rsidP="00F0526A">
            <w:pPr>
              <w:pStyle w:val="TBodynormalText"/>
            </w:pPr>
            <w:r w:rsidRPr="00D919B4">
              <w:rPr>
                <w:lang w:val="pt-BR"/>
              </w:rPr>
              <w:t>Smart Materials</w:t>
            </w:r>
            <w:r w:rsidRPr="00D3234F">
              <w:rPr>
                <w:vertAlign w:val="superscript"/>
                <w:lang w:val="pt-BR"/>
              </w:rPr>
              <w:t xml:space="preserve"> </w:t>
            </w:r>
          </w:p>
        </w:tc>
        <w:tc>
          <w:tcPr>
            <w:tcW w:w="119" w:type="dxa"/>
            <w:noWrap/>
            <w:vAlign w:val="bottom"/>
          </w:tcPr>
          <w:p w14:paraId="36BF2567"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5E0AC293" w14:textId="2F0DF3A7" w:rsidR="00462845" w:rsidRDefault="00462845" w:rsidP="00F0526A">
            <w:pPr>
              <w:pStyle w:val="TBodynormalNumber"/>
              <w:keepNext/>
            </w:pPr>
            <w:r>
              <w:t>8</w:t>
            </w:r>
            <w:r w:rsidR="00644028">
              <w:t>.</w:t>
            </w:r>
            <w:r>
              <w:t>103</w:t>
            </w:r>
          </w:p>
        </w:tc>
        <w:tc>
          <w:tcPr>
            <w:tcW w:w="119" w:type="dxa"/>
            <w:noWrap/>
            <w:vAlign w:val="bottom"/>
          </w:tcPr>
          <w:p w14:paraId="5DD7594B"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9896E8F" w14:textId="0C4AF710" w:rsidR="00462845" w:rsidRDefault="00462845" w:rsidP="00F0526A">
            <w:pPr>
              <w:pStyle w:val="TBodynormalNumber"/>
              <w:keepNext/>
            </w:pPr>
            <w:r>
              <w:t>8</w:t>
            </w:r>
            <w:r w:rsidR="00644028">
              <w:t>.</w:t>
            </w:r>
            <w:r>
              <w:t>126</w:t>
            </w:r>
          </w:p>
        </w:tc>
      </w:tr>
      <w:tr w:rsidR="00462845" w14:paraId="68961FAC" w14:textId="77777777" w:rsidTr="00F0526A">
        <w:tc>
          <w:tcPr>
            <w:tcW w:w="7472" w:type="dxa"/>
            <w:tcBorders>
              <w:top w:val="single" w:sz="4" w:space="0" w:color="A59C94"/>
              <w:bottom w:val="single" w:sz="4" w:space="0" w:color="A59C94"/>
            </w:tcBorders>
            <w:noWrap/>
            <w:vAlign w:val="bottom"/>
          </w:tcPr>
          <w:p w14:paraId="31044E8A" w14:textId="34D0BFB2" w:rsidR="00462845" w:rsidRDefault="00272DA4" w:rsidP="00F0526A">
            <w:pPr>
              <w:pStyle w:val="TBodynormalText"/>
            </w:pPr>
            <w:r w:rsidRPr="00D919B4">
              <w:rPr>
                <w:lang w:val="pt-BR"/>
              </w:rPr>
              <w:t>Performance Materials</w:t>
            </w:r>
            <w:r w:rsidRPr="00D3234F">
              <w:rPr>
                <w:vertAlign w:val="superscript"/>
                <w:lang w:val="pt-BR"/>
              </w:rPr>
              <w:t xml:space="preserve"> </w:t>
            </w:r>
          </w:p>
        </w:tc>
        <w:tc>
          <w:tcPr>
            <w:tcW w:w="119" w:type="dxa"/>
            <w:noWrap/>
            <w:vAlign w:val="bottom"/>
          </w:tcPr>
          <w:p w14:paraId="0D45DEB9"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4C7E29D6" w14:textId="4232CBD5" w:rsidR="00462845" w:rsidRDefault="00462845" w:rsidP="00F0526A">
            <w:pPr>
              <w:pStyle w:val="TBodynormalNumber"/>
              <w:keepNext/>
            </w:pPr>
            <w:r>
              <w:t>1</w:t>
            </w:r>
            <w:r w:rsidR="00644028">
              <w:t>.</w:t>
            </w:r>
            <w:r>
              <w:t>738</w:t>
            </w:r>
          </w:p>
        </w:tc>
        <w:tc>
          <w:tcPr>
            <w:tcW w:w="119" w:type="dxa"/>
            <w:noWrap/>
            <w:vAlign w:val="bottom"/>
          </w:tcPr>
          <w:p w14:paraId="1F17CD49"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F2B3B7D" w14:textId="01775703" w:rsidR="00462845" w:rsidRDefault="00462845" w:rsidP="00F0526A">
            <w:pPr>
              <w:pStyle w:val="TBodynormalNumber"/>
              <w:keepNext/>
            </w:pPr>
            <w:r>
              <w:t>1</w:t>
            </w:r>
            <w:r w:rsidR="00644028">
              <w:t>.</w:t>
            </w:r>
            <w:r>
              <w:t>739</w:t>
            </w:r>
          </w:p>
        </w:tc>
      </w:tr>
      <w:tr w:rsidR="00462845" w14:paraId="3B3E6DEF" w14:textId="77777777" w:rsidTr="00F0526A">
        <w:tc>
          <w:tcPr>
            <w:tcW w:w="7472" w:type="dxa"/>
            <w:tcBorders>
              <w:top w:val="single" w:sz="4" w:space="0" w:color="A59C94"/>
              <w:bottom w:val="single" w:sz="4" w:space="0" w:color="A59C94"/>
            </w:tcBorders>
            <w:noWrap/>
            <w:vAlign w:val="bottom"/>
          </w:tcPr>
          <w:p w14:paraId="6249EDA9" w14:textId="4CC1C7B5" w:rsidR="00462845" w:rsidRDefault="00272DA4" w:rsidP="00F0526A">
            <w:pPr>
              <w:pStyle w:val="TBodynormalText"/>
            </w:pPr>
            <w:r w:rsidRPr="00D919B4">
              <w:rPr>
                <w:lang w:val="pt-BR"/>
              </w:rPr>
              <w:t>Technology &amp; Infrastructure</w:t>
            </w:r>
          </w:p>
        </w:tc>
        <w:tc>
          <w:tcPr>
            <w:tcW w:w="119" w:type="dxa"/>
            <w:noWrap/>
            <w:vAlign w:val="bottom"/>
          </w:tcPr>
          <w:p w14:paraId="492F66FA" w14:textId="77777777" w:rsidR="00462845" w:rsidRDefault="00462845" w:rsidP="00F0526A">
            <w:pPr>
              <w:pStyle w:val="TBodynormalNumber"/>
              <w:keepNext/>
            </w:pPr>
          </w:p>
        </w:tc>
        <w:tc>
          <w:tcPr>
            <w:tcW w:w="1021" w:type="dxa"/>
            <w:tcBorders>
              <w:top w:val="single" w:sz="4" w:space="0" w:color="A59C94"/>
              <w:bottom w:val="single" w:sz="4" w:space="0" w:color="A59C94"/>
            </w:tcBorders>
            <w:noWrap/>
            <w:vAlign w:val="bottom"/>
          </w:tcPr>
          <w:p w14:paraId="3A8E64F4" w14:textId="0BE1A657" w:rsidR="00462845" w:rsidRDefault="00462845" w:rsidP="00F0526A">
            <w:pPr>
              <w:pStyle w:val="TBodynormalNumber"/>
              <w:keepNext/>
            </w:pPr>
            <w:r>
              <w:t>8</w:t>
            </w:r>
            <w:r w:rsidR="00644028">
              <w:t>.</w:t>
            </w:r>
            <w:r>
              <w:t>197</w:t>
            </w:r>
          </w:p>
        </w:tc>
        <w:tc>
          <w:tcPr>
            <w:tcW w:w="119" w:type="dxa"/>
            <w:noWrap/>
            <w:vAlign w:val="bottom"/>
          </w:tcPr>
          <w:p w14:paraId="03C3C035"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7B16362" w14:textId="52CAF5B3" w:rsidR="00462845" w:rsidRDefault="00462845" w:rsidP="00F0526A">
            <w:pPr>
              <w:pStyle w:val="TBodynormalNumber"/>
              <w:keepNext/>
            </w:pPr>
            <w:r>
              <w:t>8</w:t>
            </w:r>
            <w:r w:rsidR="00644028">
              <w:t>.</w:t>
            </w:r>
            <w:r>
              <w:t>013</w:t>
            </w:r>
          </w:p>
        </w:tc>
      </w:tr>
      <w:tr w:rsidR="00462845" w14:paraId="42F8FD21" w14:textId="77777777" w:rsidTr="00F0526A">
        <w:tc>
          <w:tcPr>
            <w:tcW w:w="7472" w:type="dxa"/>
            <w:tcBorders>
              <w:top w:val="single" w:sz="4" w:space="0" w:color="A59C94"/>
              <w:bottom w:val="single" w:sz="4" w:space="0" w:color="A59C94"/>
            </w:tcBorders>
            <w:noWrap/>
            <w:vAlign w:val="bottom"/>
          </w:tcPr>
          <w:p w14:paraId="650C40AA" w14:textId="5D0F7B75" w:rsidR="00462845" w:rsidRPr="00F53E96" w:rsidRDefault="00272DA4" w:rsidP="00F0526A">
            <w:pPr>
              <w:pStyle w:val="TBodynormalText"/>
              <w:rPr>
                <w:lang w:val="pt-BR"/>
              </w:rPr>
            </w:pPr>
            <w:r>
              <w:rPr>
                <w:lang w:val="pt-BR"/>
              </w:rPr>
              <w:t>Funções Essenciais</w:t>
            </w:r>
            <w:r w:rsidRPr="00D919B4">
              <w:rPr>
                <w:lang w:val="pt-BR"/>
              </w:rPr>
              <w:t xml:space="preserve">, </w:t>
            </w:r>
            <w:r>
              <w:rPr>
                <w:lang w:val="pt-BR"/>
              </w:rPr>
              <w:t>Outras Atividades</w:t>
            </w:r>
            <w:r w:rsidRPr="00D919B4">
              <w:rPr>
                <w:lang w:val="pt-BR"/>
              </w:rPr>
              <w:t>, Consolida</w:t>
            </w:r>
            <w:r>
              <w:rPr>
                <w:lang w:val="pt-BR"/>
              </w:rPr>
              <w:t>ção</w:t>
            </w:r>
          </w:p>
        </w:tc>
        <w:tc>
          <w:tcPr>
            <w:tcW w:w="119" w:type="dxa"/>
            <w:noWrap/>
            <w:vAlign w:val="bottom"/>
          </w:tcPr>
          <w:p w14:paraId="2219A79B" w14:textId="77777777" w:rsidR="00462845" w:rsidRPr="00F53E96" w:rsidRDefault="00462845" w:rsidP="00F0526A">
            <w:pPr>
              <w:pStyle w:val="TBodynormalNumber"/>
              <w:keepNext/>
              <w:rPr>
                <w:lang w:val="pt-BR"/>
              </w:rPr>
            </w:pPr>
          </w:p>
        </w:tc>
        <w:tc>
          <w:tcPr>
            <w:tcW w:w="1021" w:type="dxa"/>
            <w:tcBorders>
              <w:top w:val="single" w:sz="4" w:space="0" w:color="A59C94"/>
              <w:bottom w:val="single" w:sz="4" w:space="0" w:color="A59C94"/>
            </w:tcBorders>
            <w:noWrap/>
            <w:vAlign w:val="bottom"/>
          </w:tcPr>
          <w:p w14:paraId="4D3FA3B9" w14:textId="0E24F44B" w:rsidR="00462845" w:rsidRDefault="00462845" w:rsidP="00F0526A">
            <w:pPr>
              <w:pStyle w:val="TBodynormalNumber"/>
              <w:keepNext/>
            </w:pPr>
            <w:r>
              <w:t>6</w:t>
            </w:r>
            <w:r w:rsidR="00644028">
              <w:t>.</w:t>
            </w:r>
            <w:r>
              <w:t>249</w:t>
            </w:r>
          </w:p>
        </w:tc>
        <w:tc>
          <w:tcPr>
            <w:tcW w:w="119" w:type="dxa"/>
            <w:noWrap/>
            <w:vAlign w:val="bottom"/>
          </w:tcPr>
          <w:p w14:paraId="1D78D5D0" w14:textId="77777777" w:rsidR="00462845" w:rsidRDefault="00462845" w:rsidP="00F0526A">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FAF4BBA" w14:textId="78870BAF" w:rsidR="00462845" w:rsidRDefault="00462845" w:rsidP="00F0526A">
            <w:pPr>
              <w:pStyle w:val="TBodynormalNumber"/>
              <w:keepNext/>
            </w:pPr>
            <w:r>
              <w:t>6</w:t>
            </w:r>
            <w:r w:rsidR="00644028">
              <w:t>.</w:t>
            </w:r>
            <w:r>
              <w:t>201</w:t>
            </w:r>
          </w:p>
        </w:tc>
      </w:tr>
      <w:tr w:rsidR="00462845" w14:paraId="04A0E43C" w14:textId="77777777" w:rsidTr="00F0526A">
        <w:tc>
          <w:tcPr>
            <w:tcW w:w="7472" w:type="dxa"/>
            <w:tcBorders>
              <w:top w:val="single" w:sz="4" w:space="0" w:color="A59C94"/>
              <w:bottom w:val="single" w:sz="16" w:space="0" w:color="991D85"/>
            </w:tcBorders>
            <w:noWrap/>
            <w:vAlign w:val="bottom"/>
          </w:tcPr>
          <w:p w14:paraId="6513BDAB" w14:textId="77777777" w:rsidR="00462845" w:rsidRDefault="00462845" w:rsidP="00F0526A">
            <w:pPr>
              <w:pStyle w:val="TBodytotalText"/>
            </w:pPr>
            <w:bookmarkStart w:id="14" w:name="RANGE!B60:F60"/>
            <w:bookmarkEnd w:id="14"/>
            <w:r>
              <w:t>Grupo Evonik</w:t>
            </w:r>
          </w:p>
        </w:tc>
        <w:tc>
          <w:tcPr>
            <w:tcW w:w="119" w:type="dxa"/>
            <w:tcBorders>
              <w:bottom w:val="single" w:sz="16" w:space="0" w:color="991D85"/>
            </w:tcBorders>
            <w:noWrap/>
            <w:vAlign w:val="bottom"/>
          </w:tcPr>
          <w:p w14:paraId="41602B6D" w14:textId="77777777" w:rsidR="00462845" w:rsidRDefault="00462845" w:rsidP="00F0526A">
            <w:pPr>
              <w:pStyle w:val="TBodytotalNumber"/>
            </w:pPr>
          </w:p>
        </w:tc>
        <w:tc>
          <w:tcPr>
            <w:tcW w:w="1021" w:type="dxa"/>
            <w:tcBorders>
              <w:top w:val="single" w:sz="4" w:space="0" w:color="A59C94"/>
              <w:bottom w:val="single" w:sz="16" w:space="0" w:color="991D85"/>
            </w:tcBorders>
            <w:noWrap/>
            <w:vAlign w:val="bottom"/>
          </w:tcPr>
          <w:p w14:paraId="216EDA6D" w14:textId="6E1E4056" w:rsidR="00462845" w:rsidRDefault="00462845" w:rsidP="00F0526A">
            <w:pPr>
              <w:pStyle w:val="TBodytotalNumber"/>
            </w:pPr>
            <w:r>
              <w:t>33</w:t>
            </w:r>
            <w:r w:rsidR="00644028">
              <w:t>.</w:t>
            </w:r>
            <w:r>
              <w:t>409</w:t>
            </w:r>
          </w:p>
        </w:tc>
        <w:tc>
          <w:tcPr>
            <w:tcW w:w="119" w:type="dxa"/>
            <w:tcBorders>
              <w:bottom w:val="single" w:sz="16" w:space="0" w:color="991D85"/>
            </w:tcBorders>
            <w:noWrap/>
            <w:vAlign w:val="bottom"/>
          </w:tcPr>
          <w:p w14:paraId="34BE5BAB" w14:textId="77777777" w:rsidR="00462845" w:rsidRDefault="00462845" w:rsidP="00F0526A">
            <w:pPr>
              <w:pStyle w:val="TBodytotalNumber"/>
            </w:pPr>
          </w:p>
        </w:tc>
        <w:tc>
          <w:tcPr>
            <w:tcW w:w="1021" w:type="dxa"/>
            <w:tcBorders>
              <w:top w:val="single" w:sz="4" w:space="0" w:color="A59C94"/>
              <w:bottom w:val="single" w:sz="16" w:space="0" w:color="991D85"/>
            </w:tcBorders>
            <w:shd w:val="clear" w:color="000000" w:fill="DAD5C9"/>
            <w:noWrap/>
            <w:vAlign w:val="bottom"/>
          </w:tcPr>
          <w:p w14:paraId="05CF8152" w14:textId="53495FFD" w:rsidR="00462845" w:rsidRDefault="00462845" w:rsidP="00F0526A">
            <w:pPr>
              <w:pStyle w:val="TBodytotalNumber"/>
            </w:pPr>
            <w:r>
              <w:t>33</w:t>
            </w:r>
            <w:r w:rsidR="00644028">
              <w:t>.</w:t>
            </w:r>
            <w:r>
              <w:t>090</w:t>
            </w:r>
          </w:p>
        </w:tc>
      </w:tr>
      <w:bookmarkEnd w:id="11"/>
    </w:tbl>
    <w:p w14:paraId="2B60832D" w14:textId="77777777" w:rsidR="00462845" w:rsidRDefault="00462845" w:rsidP="00462845">
      <w:pPr>
        <w:rPr>
          <w:color w:val="000000"/>
          <w:lang w:val="en-US"/>
        </w:rPr>
      </w:pPr>
    </w:p>
    <w:p w14:paraId="309523B9" w14:textId="77777777" w:rsidR="00462845" w:rsidRDefault="00462845" w:rsidP="00462845">
      <w:pPr>
        <w:spacing w:line="220" w:lineRule="exact"/>
        <w:outlineLvl w:val="0"/>
        <w:rPr>
          <w:b/>
          <w:bCs/>
          <w:color w:val="000000"/>
          <w:sz w:val="18"/>
          <w:szCs w:val="18"/>
        </w:rPr>
      </w:pPr>
    </w:p>
    <w:p w14:paraId="648849E5" w14:textId="77777777" w:rsidR="00462845" w:rsidRDefault="00462845" w:rsidP="00462845">
      <w:pPr>
        <w:spacing w:line="220" w:lineRule="exact"/>
        <w:outlineLvl w:val="0"/>
        <w:rPr>
          <w:b/>
          <w:bCs/>
          <w:color w:val="000000"/>
          <w:sz w:val="18"/>
          <w:szCs w:val="18"/>
        </w:rPr>
      </w:pPr>
    </w:p>
    <w:bookmarkEnd w:id="0"/>
    <w:p w14:paraId="05230D98" w14:textId="77777777" w:rsidR="00C840A5" w:rsidRPr="00D919B4" w:rsidRDefault="00C840A5" w:rsidP="00C840A5">
      <w:pPr>
        <w:spacing w:line="240" w:lineRule="auto"/>
        <w:rPr>
          <w:lang w:val="pt-BR"/>
        </w:rPr>
      </w:pPr>
    </w:p>
    <w:p w14:paraId="2CCD2D41" w14:textId="77777777" w:rsidR="00C840A5" w:rsidRPr="009D2B8F" w:rsidRDefault="00C840A5" w:rsidP="00C840A5">
      <w:pPr>
        <w:spacing w:line="220" w:lineRule="exact"/>
        <w:outlineLvl w:val="0"/>
        <w:rPr>
          <w:rFonts w:eastAsia="Lucida Sans Unicode" w:cs="Lucida Sans Unicode"/>
          <w:b/>
          <w:sz w:val="18"/>
          <w:szCs w:val="18"/>
          <w:bdr w:val="nil"/>
          <w:lang w:val="pt-BR"/>
        </w:rPr>
      </w:pPr>
      <w:r w:rsidRPr="009D2B8F">
        <w:rPr>
          <w:rFonts w:eastAsia="Lucida Sans Unicode" w:cs="Lucida Sans Unicode"/>
          <w:b/>
          <w:sz w:val="18"/>
          <w:szCs w:val="18"/>
          <w:bdr w:val="nil"/>
          <w:lang w:val="pt-BR"/>
        </w:rPr>
        <w:t>Informações da Empresa</w:t>
      </w:r>
    </w:p>
    <w:p w14:paraId="564DD075" w14:textId="1D48ACE7" w:rsidR="00C840A5" w:rsidRPr="00C40CC6" w:rsidRDefault="00C840A5" w:rsidP="00C840A5">
      <w:pPr>
        <w:spacing w:line="220" w:lineRule="exact"/>
        <w:outlineLvl w:val="0"/>
        <w:rPr>
          <w:rFonts w:cs="Lucida Sans Unicode"/>
          <w:b/>
          <w:bCs/>
          <w:noProof/>
          <w:sz w:val="18"/>
          <w:szCs w:val="18"/>
          <w:lang w:val="pt-BR"/>
        </w:rPr>
      </w:pPr>
      <w:r w:rsidRPr="00C40CC6">
        <w:rPr>
          <w:rFonts w:eastAsia="Lucida Sans Unicode" w:cs="Lucida Sans Unicode"/>
          <w:bCs/>
          <w:sz w:val="18"/>
          <w:szCs w:val="18"/>
          <w:bdr w:val="nil"/>
          <w:lang w:val="pt-BR"/>
        </w:rPr>
        <w:t>A Evonik é uma das líderes mundiais em especialidades químicas. A empresa atua em mais de 100 países no mundo inteiro. Em 202</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 registrou vendas de </w:t>
      </w:r>
      <w:r>
        <w:rPr>
          <w:rFonts w:eastAsia="Lucida Sans Unicode" w:cs="Lucida Sans Unicode"/>
          <w:bCs/>
          <w:sz w:val="18"/>
          <w:szCs w:val="18"/>
          <w:bdr w:val="nil"/>
          <w:lang w:val="pt-BR"/>
        </w:rPr>
        <w:t>15,3</w:t>
      </w:r>
      <w:r w:rsidRPr="00C40CC6">
        <w:rPr>
          <w:rFonts w:eastAsia="Lucida Sans Unicode" w:cs="Lucida Sans Unicode"/>
          <w:bCs/>
          <w:sz w:val="18"/>
          <w:szCs w:val="18"/>
          <w:bdr w:val="nil"/>
          <w:lang w:val="pt-BR"/>
        </w:rPr>
        <w:t xml:space="preserve"> bilhões de euros e um lucro operacional (EBITDA ajustado) de </w:t>
      </w:r>
      <w:r>
        <w:rPr>
          <w:rFonts w:eastAsia="Lucida Sans Unicode" w:cs="Lucida Sans Unicode"/>
          <w:bCs/>
          <w:sz w:val="18"/>
          <w:szCs w:val="18"/>
          <w:bdr w:val="nil"/>
          <w:lang w:val="pt-BR"/>
        </w:rPr>
        <w:t xml:space="preserve">1,66 </w:t>
      </w:r>
      <w:r w:rsidRPr="00C40CC6">
        <w:rPr>
          <w:rFonts w:eastAsia="Lucida Sans Unicode" w:cs="Lucida Sans Unicode"/>
          <w:bCs/>
          <w:sz w:val="18"/>
          <w:szCs w:val="18"/>
          <w:bdr w:val="nil"/>
          <w:lang w:val="pt-BR"/>
        </w:rPr>
        <w:t>bilh</w:t>
      </w:r>
      <w:r>
        <w:rPr>
          <w:rFonts w:eastAsia="Lucida Sans Unicode" w:cs="Lucida Sans Unicode"/>
          <w:bCs/>
          <w:sz w:val="18"/>
          <w:szCs w:val="18"/>
          <w:bdr w:val="nil"/>
          <w:lang w:val="pt-BR"/>
        </w:rPr>
        <w:t xml:space="preserve">ão </w:t>
      </w:r>
      <w:r w:rsidRPr="00C40CC6">
        <w:rPr>
          <w:rFonts w:eastAsia="Lucida Sans Unicode" w:cs="Lucida Sans Unicode"/>
          <w:bCs/>
          <w:sz w:val="18"/>
          <w:szCs w:val="18"/>
          <w:bdr w:val="nil"/>
          <w:lang w:val="pt-BR"/>
        </w:rPr>
        <w:t xml:space="preserve">de euros. A Evonik vai muito além da química para criar soluções inovadoras, lucrativas e sustentáveis para seus clientes. </w:t>
      </w:r>
      <w:r>
        <w:rPr>
          <w:rFonts w:eastAsia="Lucida Sans Unicode" w:cs="Lucida Sans Unicode"/>
          <w:bCs/>
          <w:sz w:val="18"/>
          <w:szCs w:val="18"/>
          <w:bdr w:val="nil"/>
          <w:lang w:val="pt-BR"/>
        </w:rPr>
        <w:t>Mais de</w:t>
      </w:r>
      <w:r w:rsidRPr="00C40CC6">
        <w:rPr>
          <w:rFonts w:eastAsia="Lucida Sans Unicode" w:cs="Lucida Sans Unicode"/>
          <w:bCs/>
          <w:sz w:val="18"/>
          <w:szCs w:val="18"/>
          <w:bdr w:val="nil"/>
          <w:lang w:val="pt-BR"/>
        </w:rPr>
        <w:t xml:space="preserve"> 3</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.000 colaboradores trabalham juntos em prol de um objetivo comum: melhorar a vida das pessoas hoje e no futuro. </w:t>
      </w:r>
    </w:p>
    <w:p w14:paraId="6B292F22" w14:textId="77777777" w:rsidR="0063095F" w:rsidRPr="00C840A5" w:rsidRDefault="0063095F">
      <w:pPr>
        <w:rPr>
          <w:lang w:val="pt-BR"/>
        </w:rPr>
      </w:pPr>
    </w:p>
    <w:p w14:paraId="2F73CED2" w14:textId="77777777" w:rsidR="00C61A56" w:rsidRPr="00C40CC6" w:rsidRDefault="00C61A56" w:rsidP="00C61A56">
      <w:pPr>
        <w:spacing w:line="220" w:lineRule="exact"/>
        <w:jc w:val="both"/>
        <w:outlineLvl w:val="0"/>
        <w:rPr>
          <w:b/>
          <w:bCs/>
          <w:sz w:val="18"/>
          <w:szCs w:val="18"/>
          <w:lang w:val="pt-BR"/>
        </w:rPr>
      </w:pPr>
    </w:p>
    <w:p w14:paraId="08D224C3" w14:textId="77777777" w:rsidR="00C61A56" w:rsidRPr="00C40CC6" w:rsidRDefault="00C61A56" w:rsidP="00C61A56">
      <w:pPr>
        <w:spacing w:line="220" w:lineRule="exact"/>
        <w:jc w:val="both"/>
        <w:outlineLvl w:val="0"/>
        <w:rPr>
          <w:rFonts w:cs="Lucida Sans Unicode"/>
          <w:b/>
          <w:bCs/>
          <w:sz w:val="18"/>
          <w:szCs w:val="18"/>
          <w:lang w:val="pt-BR"/>
        </w:rPr>
      </w:pPr>
      <w:r w:rsidRPr="00C40CC6">
        <w:rPr>
          <w:b/>
          <w:bCs/>
          <w:sz w:val="18"/>
          <w:szCs w:val="18"/>
          <w:lang w:val="pt-BR"/>
        </w:rPr>
        <w:t xml:space="preserve">Ressalva: </w:t>
      </w:r>
    </w:p>
    <w:p w14:paraId="00D8F17C" w14:textId="77777777" w:rsidR="00C61A56" w:rsidRPr="00C40CC6" w:rsidRDefault="00C61A56" w:rsidP="00C61A56">
      <w:pPr>
        <w:spacing w:line="220" w:lineRule="exact"/>
        <w:rPr>
          <w:rFonts w:eastAsia="Lucida Sans Unicode" w:cs="Lucida Sans Unicode"/>
          <w:bCs/>
          <w:sz w:val="18"/>
          <w:szCs w:val="18"/>
          <w:bdr w:val="nil"/>
          <w:lang w:val="pt-BR"/>
        </w:rPr>
      </w:pPr>
      <w:r w:rsidRPr="00C40CC6">
        <w:rPr>
          <w:rFonts w:eastAsia="Lucida Sans Unicode" w:cs="Lucida Sans Unicode"/>
          <w:bCs/>
          <w:sz w:val="18"/>
          <w:szCs w:val="18"/>
          <w:bdr w:val="nil"/>
          <w:lang w:val="pt-BR"/>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1DB4CEB5" w14:textId="77777777" w:rsidR="00C61A56" w:rsidRPr="00C40CC6" w:rsidRDefault="00C61A56" w:rsidP="00C61A56">
      <w:pPr>
        <w:spacing w:line="220" w:lineRule="exact"/>
        <w:rPr>
          <w:rFonts w:eastAsia="Lucida Sans Unicode" w:cs="Lucida Sans Unicode"/>
          <w:bCs/>
          <w:sz w:val="18"/>
          <w:szCs w:val="18"/>
          <w:bdr w:val="nil"/>
          <w:lang w:val="pt-BR"/>
        </w:rPr>
      </w:pPr>
    </w:p>
    <w:p w14:paraId="03C3993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Evonik Brasil Ltda.</w:t>
      </w:r>
    </w:p>
    <w:p w14:paraId="01DA9BC5"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Fone: (11) 3146-4100</w:t>
      </w:r>
    </w:p>
    <w:p w14:paraId="3A96898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www.evonik.com.br</w:t>
      </w:r>
    </w:p>
    <w:p w14:paraId="3C275D16"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facebook.com/Evonik</w:t>
      </w:r>
    </w:p>
    <w:p w14:paraId="4D2AD954"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instagram.com/</w:t>
      </w:r>
      <w:proofErr w:type="spellStart"/>
      <w:r w:rsidRPr="00C40CC6">
        <w:rPr>
          <w:rFonts w:cs="Lucida Sans Unicode"/>
          <w:bCs/>
          <w:sz w:val="18"/>
          <w:szCs w:val="18"/>
          <w:lang w:val="pt-BR"/>
        </w:rPr>
        <w:t>Evonik.Brasil</w:t>
      </w:r>
      <w:proofErr w:type="spellEnd"/>
    </w:p>
    <w:p w14:paraId="7FE0382A"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youtube.com/</w:t>
      </w:r>
      <w:proofErr w:type="spellStart"/>
      <w:r w:rsidRPr="00C40CC6">
        <w:rPr>
          <w:rFonts w:cs="Lucida Sans Unicode"/>
          <w:bCs/>
          <w:sz w:val="18"/>
          <w:szCs w:val="18"/>
          <w:lang w:val="pt-BR"/>
        </w:rPr>
        <w:t>EvonikIndustries</w:t>
      </w:r>
      <w:proofErr w:type="spellEnd"/>
    </w:p>
    <w:p w14:paraId="57D79C7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linkedin.com/company/Evonik</w:t>
      </w:r>
    </w:p>
    <w:p w14:paraId="059B63B8"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twitter.com/</w:t>
      </w:r>
      <w:proofErr w:type="spellStart"/>
      <w:r w:rsidRPr="00C40CC6">
        <w:rPr>
          <w:rFonts w:cs="Lucida Sans Unicode"/>
          <w:bCs/>
          <w:sz w:val="18"/>
          <w:szCs w:val="18"/>
          <w:lang w:val="pt-BR"/>
        </w:rPr>
        <w:t>Evonik</w:t>
      </w:r>
      <w:r w:rsidRPr="00C40CC6">
        <w:rPr>
          <w:rStyle w:val="Hyperlink"/>
          <w:rFonts w:cs="Lucida Sans Unicode"/>
          <w:bCs/>
          <w:sz w:val="18"/>
          <w:szCs w:val="18"/>
          <w:lang w:val="pt-BR"/>
        </w:rPr>
        <w:t>_BR</w:t>
      </w:r>
      <w:proofErr w:type="spellEnd"/>
    </w:p>
    <w:p w14:paraId="354D4A6F" w14:textId="77777777" w:rsidR="00C61A56" w:rsidRPr="00C40CC6" w:rsidRDefault="00C61A56" w:rsidP="00C61A56">
      <w:pPr>
        <w:spacing w:line="220" w:lineRule="exact"/>
        <w:outlineLvl w:val="0"/>
        <w:rPr>
          <w:bCs/>
          <w:sz w:val="18"/>
          <w:szCs w:val="18"/>
          <w:lang w:val="pt-BR"/>
        </w:rPr>
      </w:pPr>
    </w:p>
    <w:p w14:paraId="712D4DD4" w14:textId="77777777" w:rsidR="00C61A56" w:rsidRPr="00C40CC6" w:rsidRDefault="00C61A56" w:rsidP="00C61A56">
      <w:pPr>
        <w:spacing w:line="220" w:lineRule="exact"/>
        <w:rPr>
          <w:rFonts w:eastAsia="Lucida Sans Unicode" w:cs="Lucida Sans Unicode"/>
          <w:bCs/>
          <w:sz w:val="18"/>
          <w:szCs w:val="18"/>
          <w:bdr w:val="nil"/>
          <w:lang w:val="pt-BR"/>
        </w:rPr>
      </w:pPr>
    </w:p>
    <w:p w14:paraId="720F9F1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Informações para imprensa</w:t>
      </w:r>
    </w:p>
    <w:p w14:paraId="5C5851A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Via Pública Comunicação - www.viapublicacomunicacao.com.br</w:t>
      </w:r>
    </w:p>
    <w:p w14:paraId="4342964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Sheila Diez: (11) 3473.0255 - sheila@viapublicacomunicacao.com.br</w:t>
      </w:r>
    </w:p>
    <w:p w14:paraId="45B642EB" w14:textId="00CD84E9" w:rsidR="000B1B97" w:rsidRPr="003B50BB" w:rsidRDefault="00C61A56" w:rsidP="00C61A56">
      <w:pPr>
        <w:spacing w:line="240" w:lineRule="auto"/>
        <w:rPr>
          <w:rFonts w:cs="Lucida Sans Unicode"/>
          <w:bCs/>
          <w:sz w:val="18"/>
          <w:szCs w:val="18"/>
          <w:lang w:val="pt-BR"/>
        </w:rPr>
      </w:pPr>
      <w:r w:rsidRPr="00C40CC6">
        <w:rPr>
          <w:rFonts w:cs="Lucida Sans Unicode"/>
          <w:bCs/>
          <w:sz w:val="18"/>
          <w:szCs w:val="18"/>
          <w:lang w:val="pt-BR"/>
        </w:rPr>
        <w:lastRenderedPageBreak/>
        <w:t>Taís Augusto: (11) 3562.5555 - tais@viapublicacomunicacao.com.br</w:t>
      </w:r>
    </w:p>
    <w:sectPr w:rsidR="000B1B97" w:rsidRPr="003B50BB" w:rsidSect="00363C73">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2D14" w14:textId="77777777" w:rsidR="00047502" w:rsidRDefault="00047502" w:rsidP="00FD1184">
      <w:r>
        <w:separator/>
      </w:r>
    </w:p>
  </w:endnote>
  <w:endnote w:type="continuationSeparator" w:id="0">
    <w:p w14:paraId="2AB9B288" w14:textId="77777777" w:rsidR="00047502" w:rsidRDefault="00047502" w:rsidP="00FD1184">
      <w:r>
        <w:continuationSeparator/>
      </w:r>
    </w:p>
  </w:endnote>
  <w:endnote w:type="continuationNotice" w:id="1">
    <w:p w14:paraId="54C00EFA" w14:textId="77777777" w:rsidR="00047502" w:rsidRDefault="000475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panose1 w:val="00000600000000000000"/>
    <w:charset w:val="00"/>
    <w:family w:val="modern"/>
    <w:notTrueType/>
    <w:pitch w:val="variable"/>
    <w:sig w:usb0="20000007" w:usb1="00000001" w:usb2="00000000" w:usb3="00000000" w:csb0="00000193" w:csb1="00000000"/>
  </w:font>
  <w:font w:name="Evonik Prokyon">
    <w:panose1 w:val="00000500000000000000"/>
    <w:charset w:val="00"/>
    <w:family w:val="modern"/>
    <w:notTrueType/>
    <w:pitch w:val="variable"/>
    <w:sig w:usb0="20000007" w:usb1="00000001" w:usb2="00000000" w:usb3="00000000" w:csb0="00000193" w:csb1="00000000"/>
  </w:font>
  <w:font w:name="SimSun">
    <w:altName w:val="冼极"/>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Footer"/>
    </w:pPr>
  </w:p>
  <w:p w14:paraId="2893F790" w14:textId="0E8919C8" w:rsidR="004B3707" w:rsidRDefault="00B13F10">
    <w:pPr>
      <w:pStyle w:val="Footer"/>
    </w:pPr>
    <w:r>
      <w:t>P.</w:t>
    </w:r>
    <w:r w:rsidR="004B3707">
      <w:t xml:space="preserve"> </w:t>
    </w:r>
    <w:r w:rsidR="004B3707">
      <w:rPr>
        <w:rStyle w:val="PageNumber"/>
      </w:rPr>
      <w:fldChar w:fldCharType="begin"/>
    </w:r>
    <w:r w:rsidR="004B3707">
      <w:rPr>
        <w:rStyle w:val="PageNumber"/>
      </w:rPr>
      <w:instrText xml:space="preserve"> PAGE </w:instrText>
    </w:r>
    <w:r w:rsidR="004B3707">
      <w:rPr>
        <w:rStyle w:val="PageNumber"/>
      </w:rPr>
      <w:fldChar w:fldCharType="separate"/>
    </w:r>
    <w:r w:rsidR="004B3707">
      <w:rPr>
        <w:rStyle w:val="PageNumber"/>
        <w:noProof/>
      </w:rPr>
      <w:t>2</w:t>
    </w:r>
    <w:r w:rsidR="004B3707">
      <w:rPr>
        <w:rStyle w:val="PageNumber"/>
      </w:rPr>
      <w:fldChar w:fldCharType="end"/>
    </w:r>
    <w:r w:rsidR="004B3707">
      <w:rPr>
        <w:rStyle w:val="PageNumber"/>
      </w:rPr>
      <w:t xml:space="preserve"> </w:t>
    </w:r>
    <w:r>
      <w:rPr>
        <w:rStyle w:val="PageNumber"/>
      </w:rPr>
      <w:t>de</w:t>
    </w:r>
    <w:r w:rsidR="004B3707">
      <w:rPr>
        <w:rStyle w:val="PageNumber"/>
      </w:rPr>
      <w:t xml:space="preserve"> </w:t>
    </w:r>
    <w:r w:rsidR="004B3707">
      <w:rPr>
        <w:rStyle w:val="PageNumber"/>
      </w:rPr>
      <w:fldChar w:fldCharType="begin"/>
    </w:r>
    <w:r w:rsidR="004B3707">
      <w:rPr>
        <w:rStyle w:val="PageNumber"/>
      </w:rPr>
      <w:instrText xml:space="preserve"> NUMPAGES </w:instrText>
    </w:r>
    <w:r w:rsidR="004B3707">
      <w:rPr>
        <w:rStyle w:val="PageNumber"/>
      </w:rPr>
      <w:fldChar w:fldCharType="separate"/>
    </w:r>
    <w:r w:rsidR="004B3707">
      <w:rPr>
        <w:rStyle w:val="PageNumber"/>
        <w:noProof/>
      </w:rPr>
      <w:t>2</w:t>
    </w:r>
    <w:r w:rsidR="004B37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Footer"/>
    </w:pPr>
  </w:p>
  <w:p w14:paraId="11E9B465" w14:textId="77777777" w:rsidR="004B3707" w:rsidRPr="005225EC" w:rsidRDefault="004B3707" w:rsidP="00316EC0">
    <w:pPr>
      <w:pStyle w:val="Footer"/>
      <w:rPr>
        <w:szCs w:val="18"/>
      </w:rPr>
    </w:pPr>
    <w:r w:rsidRPr="005225EC">
      <w:rPr>
        <w:szCs w:val="18"/>
      </w:rPr>
      <w:t xml:space="preserve">Seite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von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A3E6" w14:textId="77777777" w:rsidR="00047502" w:rsidRDefault="00047502" w:rsidP="00FD1184">
      <w:r>
        <w:separator/>
      </w:r>
    </w:p>
  </w:footnote>
  <w:footnote w:type="continuationSeparator" w:id="0">
    <w:p w14:paraId="32900118" w14:textId="77777777" w:rsidR="00047502" w:rsidRDefault="00047502" w:rsidP="00FD1184">
      <w:r>
        <w:continuationSeparator/>
      </w:r>
    </w:p>
  </w:footnote>
  <w:footnote w:type="continuationNotice" w:id="1">
    <w:p w14:paraId="20EFD3FD" w14:textId="77777777" w:rsidR="00047502" w:rsidRDefault="000475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Header"/>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Header"/>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9"/>
    <w:multiLevelType w:val="hybridMultilevel"/>
    <w:tmpl w:val="FFFFFFFF"/>
    <w:lvl w:ilvl="0" w:tplc="FFFFFFF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F7C55"/>
    <w:multiLevelType w:val="hybridMultilevel"/>
    <w:tmpl w:val="8086101E"/>
    <w:lvl w:ilvl="0" w:tplc="A40AA642">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3"/>
  </w:num>
  <w:num w:numId="12" w16cid:durableId="984894978">
    <w:abstractNumId w:val="15"/>
  </w:num>
  <w:num w:numId="13" w16cid:durableId="135149581">
    <w:abstractNumId w:val="14"/>
  </w:num>
  <w:num w:numId="14" w16cid:durableId="862858659">
    <w:abstractNumId w:val="11"/>
  </w:num>
  <w:num w:numId="15" w16cid:durableId="930968612">
    <w:abstractNumId w:val="18"/>
  </w:num>
  <w:num w:numId="16" w16cid:durableId="621426073">
    <w:abstractNumId w:val="17"/>
  </w:num>
  <w:num w:numId="17" w16cid:durableId="117144046">
    <w:abstractNumId w:val="12"/>
  </w:num>
  <w:num w:numId="18" w16cid:durableId="878473402">
    <w:abstractNumId w:val="13"/>
  </w:num>
  <w:num w:numId="19" w16cid:durableId="926036060">
    <w:abstractNumId w:val="15"/>
  </w:num>
  <w:num w:numId="20" w16cid:durableId="1589924203">
    <w:abstractNumId w:val="14"/>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1"/>
  </w:num>
  <w:num w:numId="32" w16cid:durableId="2089574519">
    <w:abstractNumId w:val="16"/>
  </w:num>
  <w:num w:numId="33" w16cid:durableId="538015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50F7"/>
    <w:rsid w:val="000060A3"/>
    <w:rsid w:val="0000663A"/>
    <w:rsid w:val="00007459"/>
    <w:rsid w:val="00007CF4"/>
    <w:rsid w:val="00014019"/>
    <w:rsid w:val="00017DD1"/>
    <w:rsid w:val="00017FD6"/>
    <w:rsid w:val="00022955"/>
    <w:rsid w:val="000261BB"/>
    <w:rsid w:val="00031010"/>
    <w:rsid w:val="00031C52"/>
    <w:rsid w:val="00033332"/>
    <w:rsid w:val="00033B6F"/>
    <w:rsid w:val="00034462"/>
    <w:rsid w:val="00035360"/>
    <w:rsid w:val="00035CA5"/>
    <w:rsid w:val="00036D31"/>
    <w:rsid w:val="00042660"/>
    <w:rsid w:val="00044EB8"/>
    <w:rsid w:val="00046D8D"/>
    <w:rsid w:val="00047502"/>
    <w:rsid w:val="000478DF"/>
    <w:rsid w:val="00047E57"/>
    <w:rsid w:val="00050E81"/>
    <w:rsid w:val="00050FC3"/>
    <w:rsid w:val="00052D1E"/>
    <w:rsid w:val="00052FB1"/>
    <w:rsid w:val="00054327"/>
    <w:rsid w:val="0005492A"/>
    <w:rsid w:val="000557A8"/>
    <w:rsid w:val="0006177F"/>
    <w:rsid w:val="000619F7"/>
    <w:rsid w:val="0006608A"/>
    <w:rsid w:val="0006653B"/>
    <w:rsid w:val="0007047A"/>
    <w:rsid w:val="0007097D"/>
    <w:rsid w:val="00070FC4"/>
    <w:rsid w:val="000731FD"/>
    <w:rsid w:val="000749C4"/>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4F53"/>
    <w:rsid w:val="000A7091"/>
    <w:rsid w:val="000B1B97"/>
    <w:rsid w:val="000B48F4"/>
    <w:rsid w:val="000B4D73"/>
    <w:rsid w:val="000B52A3"/>
    <w:rsid w:val="000C2CC1"/>
    <w:rsid w:val="000C455F"/>
    <w:rsid w:val="000C590A"/>
    <w:rsid w:val="000C6C10"/>
    <w:rsid w:val="000C7337"/>
    <w:rsid w:val="000D13BE"/>
    <w:rsid w:val="000D167D"/>
    <w:rsid w:val="000D1DD8"/>
    <w:rsid w:val="000D34C7"/>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6A06"/>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5D"/>
    <w:rsid w:val="0013017C"/>
    <w:rsid w:val="00130280"/>
    <w:rsid w:val="00130512"/>
    <w:rsid w:val="0013258C"/>
    <w:rsid w:val="00132BCB"/>
    <w:rsid w:val="00133179"/>
    <w:rsid w:val="00133E0B"/>
    <w:rsid w:val="00134299"/>
    <w:rsid w:val="00137117"/>
    <w:rsid w:val="00140BFC"/>
    <w:rsid w:val="00140D65"/>
    <w:rsid w:val="00141B2B"/>
    <w:rsid w:val="00146F6D"/>
    <w:rsid w:val="00147601"/>
    <w:rsid w:val="00150BA7"/>
    <w:rsid w:val="00152E73"/>
    <w:rsid w:val="00152EEF"/>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C1E1E"/>
    <w:rsid w:val="001C49AE"/>
    <w:rsid w:val="001D0C92"/>
    <w:rsid w:val="001D3ECC"/>
    <w:rsid w:val="001D4294"/>
    <w:rsid w:val="001D4AEC"/>
    <w:rsid w:val="001D684D"/>
    <w:rsid w:val="001D7E24"/>
    <w:rsid w:val="001E0059"/>
    <w:rsid w:val="001F00B7"/>
    <w:rsid w:val="001F0A5E"/>
    <w:rsid w:val="001F1C59"/>
    <w:rsid w:val="001F321B"/>
    <w:rsid w:val="001F363C"/>
    <w:rsid w:val="001F43D4"/>
    <w:rsid w:val="001F45B7"/>
    <w:rsid w:val="001F6319"/>
    <w:rsid w:val="001F73E6"/>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6307"/>
    <w:rsid w:val="002274BD"/>
    <w:rsid w:val="00227C4A"/>
    <w:rsid w:val="00227E70"/>
    <w:rsid w:val="0023190B"/>
    <w:rsid w:val="00232B24"/>
    <w:rsid w:val="0023466C"/>
    <w:rsid w:val="002366B2"/>
    <w:rsid w:val="002406C9"/>
    <w:rsid w:val="00241563"/>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2DA4"/>
    <w:rsid w:val="0027405D"/>
    <w:rsid w:val="00275D17"/>
    <w:rsid w:val="00276C89"/>
    <w:rsid w:val="002771D9"/>
    <w:rsid w:val="002804AF"/>
    <w:rsid w:val="00282371"/>
    <w:rsid w:val="00282723"/>
    <w:rsid w:val="00287090"/>
    <w:rsid w:val="00290D43"/>
    <w:rsid w:val="00290F07"/>
    <w:rsid w:val="002922C1"/>
    <w:rsid w:val="00292C85"/>
    <w:rsid w:val="00294CFF"/>
    <w:rsid w:val="002952A9"/>
    <w:rsid w:val="00296256"/>
    <w:rsid w:val="00296571"/>
    <w:rsid w:val="002A1926"/>
    <w:rsid w:val="002A2921"/>
    <w:rsid w:val="002A3B92"/>
    <w:rsid w:val="002A4D97"/>
    <w:rsid w:val="002A5F21"/>
    <w:rsid w:val="002A67F0"/>
    <w:rsid w:val="002A777D"/>
    <w:rsid w:val="002B149D"/>
    <w:rsid w:val="002B60A3"/>
    <w:rsid w:val="002B6293"/>
    <w:rsid w:val="002B62A3"/>
    <w:rsid w:val="002B645E"/>
    <w:rsid w:val="002B6670"/>
    <w:rsid w:val="002B6B13"/>
    <w:rsid w:val="002B6E5B"/>
    <w:rsid w:val="002C029B"/>
    <w:rsid w:val="002C058B"/>
    <w:rsid w:val="002C10C6"/>
    <w:rsid w:val="002C12A0"/>
    <w:rsid w:val="002C5C8E"/>
    <w:rsid w:val="002D206A"/>
    <w:rsid w:val="002D23B8"/>
    <w:rsid w:val="002D2996"/>
    <w:rsid w:val="002D327B"/>
    <w:rsid w:val="002D3D8A"/>
    <w:rsid w:val="002D464B"/>
    <w:rsid w:val="002E310E"/>
    <w:rsid w:val="002E671B"/>
    <w:rsid w:val="002E698A"/>
    <w:rsid w:val="002F03E7"/>
    <w:rsid w:val="002F5BCB"/>
    <w:rsid w:val="002F7C6C"/>
    <w:rsid w:val="003001B0"/>
    <w:rsid w:val="00300C9D"/>
    <w:rsid w:val="00300F28"/>
    <w:rsid w:val="003018AE"/>
    <w:rsid w:val="00301998"/>
    <w:rsid w:val="003067D4"/>
    <w:rsid w:val="003168FA"/>
    <w:rsid w:val="00316EC0"/>
    <w:rsid w:val="00317BB5"/>
    <w:rsid w:val="003208DA"/>
    <w:rsid w:val="003221EC"/>
    <w:rsid w:val="00322F18"/>
    <w:rsid w:val="003237B0"/>
    <w:rsid w:val="00325E94"/>
    <w:rsid w:val="00326AF6"/>
    <w:rsid w:val="00327BFA"/>
    <w:rsid w:val="00333B8A"/>
    <w:rsid w:val="00337A7F"/>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1A11"/>
    <w:rsid w:val="0035258E"/>
    <w:rsid w:val="0035387D"/>
    <w:rsid w:val="0035474F"/>
    <w:rsid w:val="00356629"/>
    <w:rsid w:val="003603CB"/>
    <w:rsid w:val="003609B3"/>
    <w:rsid w:val="00363C7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5FED"/>
    <w:rsid w:val="003868B6"/>
    <w:rsid w:val="00391C2D"/>
    <w:rsid w:val="003935F4"/>
    <w:rsid w:val="00395524"/>
    <w:rsid w:val="00397877"/>
    <w:rsid w:val="003A023D"/>
    <w:rsid w:val="003A0E96"/>
    <w:rsid w:val="003A1BB1"/>
    <w:rsid w:val="003A390F"/>
    <w:rsid w:val="003A4CED"/>
    <w:rsid w:val="003A555F"/>
    <w:rsid w:val="003A6890"/>
    <w:rsid w:val="003B0938"/>
    <w:rsid w:val="003B3D89"/>
    <w:rsid w:val="003B46BD"/>
    <w:rsid w:val="003B50BB"/>
    <w:rsid w:val="003B5E1A"/>
    <w:rsid w:val="003B7457"/>
    <w:rsid w:val="003C0198"/>
    <w:rsid w:val="003C0B6A"/>
    <w:rsid w:val="003C14F1"/>
    <w:rsid w:val="003C1A93"/>
    <w:rsid w:val="003C2F96"/>
    <w:rsid w:val="003C30A8"/>
    <w:rsid w:val="003C3519"/>
    <w:rsid w:val="003D3082"/>
    <w:rsid w:val="003D3C20"/>
    <w:rsid w:val="003D4604"/>
    <w:rsid w:val="003D5621"/>
    <w:rsid w:val="003D6991"/>
    <w:rsid w:val="003D6E84"/>
    <w:rsid w:val="003E3A9B"/>
    <w:rsid w:val="003E4161"/>
    <w:rsid w:val="003E607B"/>
    <w:rsid w:val="003F01FD"/>
    <w:rsid w:val="003F0B74"/>
    <w:rsid w:val="003F217C"/>
    <w:rsid w:val="003F37FB"/>
    <w:rsid w:val="003F4BE4"/>
    <w:rsid w:val="003F5509"/>
    <w:rsid w:val="003F5690"/>
    <w:rsid w:val="003F67EB"/>
    <w:rsid w:val="003F7122"/>
    <w:rsid w:val="004010A5"/>
    <w:rsid w:val="004016F5"/>
    <w:rsid w:val="00401CCC"/>
    <w:rsid w:val="00402562"/>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23C4"/>
    <w:rsid w:val="0045469F"/>
    <w:rsid w:val="00462694"/>
    <w:rsid w:val="00462845"/>
    <w:rsid w:val="004636BF"/>
    <w:rsid w:val="00463981"/>
    <w:rsid w:val="0046407F"/>
    <w:rsid w:val="004649B4"/>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B3C5C"/>
    <w:rsid w:val="004C043A"/>
    <w:rsid w:val="004C0873"/>
    <w:rsid w:val="004C0E1C"/>
    <w:rsid w:val="004C28A5"/>
    <w:rsid w:val="004C520C"/>
    <w:rsid w:val="004C5C46"/>
    <w:rsid w:val="004C5E53"/>
    <w:rsid w:val="004C681D"/>
    <w:rsid w:val="004D117E"/>
    <w:rsid w:val="004D1330"/>
    <w:rsid w:val="004D2D91"/>
    <w:rsid w:val="004D5CA3"/>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32D3"/>
    <w:rsid w:val="005045CC"/>
    <w:rsid w:val="0050512A"/>
    <w:rsid w:val="00510ACF"/>
    <w:rsid w:val="00513D7D"/>
    <w:rsid w:val="00515029"/>
    <w:rsid w:val="0051648B"/>
    <w:rsid w:val="00516E89"/>
    <w:rsid w:val="005225B4"/>
    <w:rsid w:val="005225EC"/>
    <w:rsid w:val="00523650"/>
    <w:rsid w:val="00525014"/>
    <w:rsid w:val="00525847"/>
    <w:rsid w:val="00530D61"/>
    <w:rsid w:val="00530F06"/>
    <w:rsid w:val="0053273E"/>
    <w:rsid w:val="00533552"/>
    <w:rsid w:val="005337DD"/>
    <w:rsid w:val="005374D9"/>
    <w:rsid w:val="00537644"/>
    <w:rsid w:val="00537FE8"/>
    <w:rsid w:val="00540E64"/>
    <w:rsid w:val="0054174C"/>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3CD"/>
    <w:rsid w:val="005D1F12"/>
    <w:rsid w:val="005D3E2C"/>
    <w:rsid w:val="005D6F8C"/>
    <w:rsid w:val="005D774D"/>
    <w:rsid w:val="005E0314"/>
    <w:rsid w:val="005E0397"/>
    <w:rsid w:val="005E43A0"/>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177C0"/>
    <w:rsid w:val="00623460"/>
    <w:rsid w:val="00625C13"/>
    <w:rsid w:val="00625CA1"/>
    <w:rsid w:val="006260FB"/>
    <w:rsid w:val="00626B36"/>
    <w:rsid w:val="0063095F"/>
    <w:rsid w:val="00630DAD"/>
    <w:rsid w:val="00631FF2"/>
    <w:rsid w:val="0063241D"/>
    <w:rsid w:val="00635336"/>
    <w:rsid w:val="00635F37"/>
    <w:rsid w:val="00636052"/>
    <w:rsid w:val="00636C35"/>
    <w:rsid w:val="00636FE7"/>
    <w:rsid w:val="00644028"/>
    <w:rsid w:val="00645F2F"/>
    <w:rsid w:val="006460A9"/>
    <w:rsid w:val="0064779E"/>
    <w:rsid w:val="00647919"/>
    <w:rsid w:val="00650D2D"/>
    <w:rsid w:val="00651F1E"/>
    <w:rsid w:val="00652A75"/>
    <w:rsid w:val="0065314A"/>
    <w:rsid w:val="0065697E"/>
    <w:rsid w:val="00657E1F"/>
    <w:rsid w:val="00662D9E"/>
    <w:rsid w:val="00665007"/>
    <w:rsid w:val="006651E2"/>
    <w:rsid w:val="00665AD6"/>
    <w:rsid w:val="00666F8E"/>
    <w:rsid w:val="00671993"/>
    <w:rsid w:val="006729D2"/>
    <w:rsid w:val="00676B4B"/>
    <w:rsid w:val="0068334F"/>
    <w:rsid w:val="006833FD"/>
    <w:rsid w:val="00687D9D"/>
    <w:rsid w:val="00693CBB"/>
    <w:rsid w:val="00694B93"/>
    <w:rsid w:val="00695F5D"/>
    <w:rsid w:val="00696594"/>
    <w:rsid w:val="00696664"/>
    <w:rsid w:val="006966D4"/>
    <w:rsid w:val="00697813"/>
    <w:rsid w:val="006A1832"/>
    <w:rsid w:val="006A3212"/>
    <w:rsid w:val="006A37AB"/>
    <w:rsid w:val="006A3F03"/>
    <w:rsid w:val="006A49ED"/>
    <w:rsid w:val="006A581A"/>
    <w:rsid w:val="006A6ED2"/>
    <w:rsid w:val="006A729C"/>
    <w:rsid w:val="006A757E"/>
    <w:rsid w:val="006A798B"/>
    <w:rsid w:val="006A7D5C"/>
    <w:rsid w:val="006B0C0D"/>
    <w:rsid w:val="006B0EAD"/>
    <w:rsid w:val="006B5A48"/>
    <w:rsid w:val="006B78F2"/>
    <w:rsid w:val="006B7C22"/>
    <w:rsid w:val="006C35A6"/>
    <w:rsid w:val="006C388A"/>
    <w:rsid w:val="006C6ABC"/>
    <w:rsid w:val="006C6B58"/>
    <w:rsid w:val="006C733A"/>
    <w:rsid w:val="006D0B36"/>
    <w:rsid w:val="006D12F9"/>
    <w:rsid w:val="006D2890"/>
    <w:rsid w:val="006D4C86"/>
    <w:rsid w:val="006D5963"/>
    <w:rsid w:val="006D601A"/>
    <w:rsid w:val="006D6547"/>
    <w:rsid w:val="006D6931"/>
    <w:rsid w:val="006E04EA"/>
    <w:rsid w:val="006E0718"/>
    <w:rsid w:val="006E0A9C"/>
    <w:rsid w:val="006E2710"/>
    <w:rsid w:val="006E27F5"/>
    <w:rsid w:val="006E2F15"/>
    <w:rsid w:val="006E383C"/>
    <w:rsid w:val="006E485F"/>
    <w:rsid w:val="006E5B66"/>
    <w:rsid w:val="006F1B3F"/>
    <w:rsid w:val="006F2902"/>
    <w:rsid w:val="006F3AB9"/>
    <w:rsid w:val="006F43FE"/>
    <w:rsid w:val="006F47B3"/>
    <w:rsid w:val="006F47D3"/>
    <w:rsid w:val="006F5AC8"/>
    <w:rsid w:val="006F765C"/>
    <w:rsid w:val="0070241E"/>
    <w:rsid w:val="0070259F"/>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73B"/>
    <w:rsid w:val="00744FA6"/>
    <w:rsid w:val="00745612"/>
    <w:rsid w:val="007466C5"/>
    <w:rsid w:val="00751E3D"/>
    <w:rsid w:val="007601B0"/>
    <w:rsid w:val="00763004"/>
    <w:rsid w:val="00770879"/>
    <w:rsid w:val="0077251E"/>
    <w:rsid w:val="00773048"/>
    <w:rsid w:val="00775D2E"/>
    <w:rsid w:val="007767FA"/>
    <w:rsid w:val="00776B8A"/>
    <w:rsid w:val="0078363B"/>
    <w:rsid w:val="00784360"/>
    <w:rsid w:val="00793017"/>
    <w:rsid w:val="00793C37"/>
    <w:rsid w:val="0079694B"/>
    <w:rsid w:val="007A0939"/>
    <w:rsid w:val="007A2A3D"/>
    <w:rsid w:val="007A2C47"/>
    <w:rsid w:val="007A3375"/>
    <w:rsid w:val="007A5051"/>
    <w:rsid w:val="007A7E47"/>
    <w:rsid w:val="007A7F8A"/>
    <w:rsid w:val="007B0012"/>
    <w:rsid w:val="007B0076"/>
    <w:rsid w:val="007B05D6"/>
    <w:rsid w:val="007B0E41"/>
    <w:rsid w:val="007B3B39"/>
    <w:rsid w:val="007C2596"/>
    <w:rsid w:val="007C3F8C"/>
    <w:rsid w:val="007C42FA"/>
    <w:rsid w:val="007D1E07"/>
    <w:rsid w:val="007D611B"/>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609B6"/>
    <w:rsid w:val="00860A6B"/>
    <w:rsid w:val="00860CDC"/>
    <w:rsid w:val="00860DBE"/>
    <w:rsid w:val="00861A39"/>
    <w:rsid w:val="0086407A"/>
    <w:rsid w:val="00864967"/>
    <w:rsid w:val="00866B7D"/>
    <w:rsid w:val="00873FD4"/>
    <w:rsid w:val="008766FF"/>
    <w:rsid w:val="00876A28"/>
    <w:rsid w:val="0088135F"/>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653"/>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4099"/>
    <w:rsid w:val="00946B07"/>
    <w:rsid w:val="00955959"/>
    <w:rsid w:val="009560C1"/>
    <w:rsid w:val="009577A8"/>
    <w:rsid w:val="00962E3A"/>
    <w:rsid w:val="009645ED"/>
    <w:rsid w:val="00966112"/>
    <w:rsid w:val="009663B0"/>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0FCD"/>
    <w:rsid w:val="009C1835"/>
    <w:rsid w:val="009C3E98"/>
    <w:rsid w:val="009C40DA"/>
    <w:rsid w:val="009C5F4B"/>
    <w:rsid w:val="009C7413"/>
    <w:rsid w:val="009C7DFE"/>
    <w:rsid w:val="009D2B8F"/>
    <w:rsid w:val="009D3C54"/>
    <w:rsid w:val="009D4165"/>
    <w:rsid w:val="009D5B52"/>
    <w:rsid w:val="009D779F"/>
    <w:rsid w:val="009E38EF"/>
    <w:rsid w:val="009E3A1C"/>
    <w:rsid w:val="009E4BF1"/>
    <w:rsid w:val="009E5B73"/>
    <w:rsid w:val="009E5E13"/>
    <w:rsid w:val="009F05F2"/>
    <w:rsid w:val="009F07B1"/>
    <w:rsid w:val="009F10A2"/>
    <w:rsid w:val="009F275D"/>
    <w:rsid w:val="009F3C18"/>
    <w:rsid w:val="009F4DBE"/>
    <w:rsid w:val="009F572D"/>
    <w:rsid w:val="00A01910"/>
    <w:rsid w:val="00A02F37"/>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40C5F"/>
    <w:rsid w:val="00A41C88"/>
    <w:rsid w:val="00A43D2C"/>
    <w:rsid w:val="00A44514"/>
    <w:rsid w:val="00A46449"/>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3E02"/>
    <w:rsid w:val="00A96F0A"/>
    <w:rsid w:val="00AA57E4"/>
    <w:rsid w:val="00AB4E21"/>
    <w:rsid w:val="00AB6253"/>
    <w:rsid w:val="00AC20B4"/>
    <w:rsid w:val="00AC6DC8"/>
    <w:rsid w:val="00AD01F1"/>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152A"/>
    <w:rsid w:val="00AF2590"/>
    <w:rsid w:val="00AF37D8"/>
    <w:rsid w:val="00AF4AEF"/>
    <w:rsid w:val="00B0102F"/>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50494"/>
    <w:rsid w:val="00B52613"/>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2E9D"/>
    <w:rsid w:val="00B93312"/>
    <w:rsid w:val="00B935D9"/>
    <w:rsid w:val="00B94422"/>
    <w:rsid w:val="00B94592"/>
    <w:rsid w:val="00B96200"/>
    <w:rsid w:val="00B963C9"/>
    <w:rsid w:val="00BA115E"/>
    <w:rsid w:val="00BA11C5"/>
    <w:rsid w:val="00BA2C6E"/>
    <w:rsid w:val="00BA30B6"/>
    <w:rsid w:val="00BA41A7"/>
    <w:rsid w:val="00BA4328"/>
    <w:rsid w:val="00BA4EB5"/>
    <w:rsid w:val="00BA518B"/>
    <w:rsid w:val="00BA584D"/>
    <w:rsid w:val="00BA6649"/>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D27"/>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215"/>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02E"/>
    <w:rsid w:val="00CA5E29"/>
    <w:rsid w:val="00CB0F7E"/>
    <w:rsid w:val="00CB1B65"/>
    <w:rsid w:val="00CB3A53"/>
    <w:rsid w:val="00CB57D1"/>
    <w:rsid w:val="00CC10A7"/>
    <w:rsid w:val="00CC223A"/>
    <w:rsid w:val="00CC24EB"/>
    <w:rsid w:val="00CC69A5"/>
    <w:rsid w:val="00CC7E85"/>
    <w:rsid w:val="00CD12B9"/>
    <w:rsid w:val="00CD18DB"/>
    <w:rsid w:val="00CD2BCF"/>
    <w:rsid w:val="00CD70E4"/>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4CA"/>
    <w:rsid w:val="00D07A7F"/>
    <w:rsid w:val="00D10621"/>
    <w:rsid w:val="00D129CF"/>
    <w:rsid w:val="00D165D2"/>
    <w:rsid w:val="00D20955"/>
    <w:rsid w:val="00D21F65"/>
    <w:rsid w:val="00D224BE"/>
    <w:rsid w:val="00D2459B"/>
    <w:rsid w:val="00D24AFE"/>
    <w:rsid w:val="00D2642C"/>
    <w:rsid w:val="00D27555"/>
    <w:rsid w:val="00D3075D"/>
    <w:rsid w:val="00D30884"/>
    <w:rsid w:val="00D313CF"/>
    <w:rsid w:val="00D31E3E"/>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1CAC"/>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C6BFE"/>
    <w:rsid w:val="00DD14FA"/>
    <w:rsid w:val="00DD310A"/>
    <w:rsid w:val="00DD3173"/>
    <w:rsid w:val="00DD775F"/>
    <w:rsid w:val="00DE3197"/>
    <w:rsid w:val="00DE534A"/>
    <w:rsid w:val="00DE7067"/>
    <w:rsid w:val="00DE758D"/>
    <w:rsid w:val="00DE7850"/>
    <w:rsid w:val="00DE79ED"/>
    <w:rsid w:val="00DE7E62"/>
    <w:rsid w:val="00DF20A7"/>
    <w:rsid w:val="00DF2C35"/>
    <w:rsid w:val="00DF56EC"/>
    <w:rsid w:val="00DF62E8"/>
    <w:rsid w:val="00E0288E"/>
    <w:rsid w:val="00E029D0"/>
    <w:rsid w:val="00E04853"/>
    <w:rsid w:val="00E05BB2"/>
    <w:rsid w:val="00E120CF"/>
    <w:rsid w:val="00E127FB"/>
    <w:rsid w:val="00E133F1"/>
    <w:rsid w:val="00E13506"/>
    <w:rsid w:val="00E13A98"/>
    <w:rsid w:val="00E13C7A"/>
    <w:rsid w:val="00E172A1"/>
    <w:rsid w:val="00E241F5"/>
    <w:rsid w:val="00E24D67"/>
    <w:rsid w:val="00E31CFE"/>
    <w:rsid w:val="00E32972"/>
    <w:rsid w:val="00E34718"/>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6DB3"/>
    <w:rsid w:val="00E57CAB"/>
    <w:rsid w:val="00E57DB6"/>
    <w:rsid w:val="00E62725"/>
    <w:rsid w:val="00E63441"/>
    <w:rsid w:val="00E67025"/>
    <w:rsid w:val="00E67709"/>
    <w:rsid w:val="00E73043"/>
    <w:rsid w:val="00E8047E"/>
    <w:rsid w:val="00E8276B"/>
    <w:rsid w:val="00E83545"/>
    <w:rsid w:val="00E8576B"/>
    <w:rsid w:val="00E8637D"/>
    <w:rsid w:val="00E903C1"/>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169D"/>
    <w:rsid w:val="00EF1E72"/>
    <w:rsid w:val="00EF353E"/>
    <w:rsid w:val="00EF4577"/>
    <w:rsid w:val="00EF4BF6"/>
    <w:rsid w:val="00EF5FFC"/>
    <w:rsid w:val="00EF7C78"/>
    <w:rsid w:val="00EF7CED"/>
    <w:rsid w:val="00EF7EB3"/>
    <w:rsid w:val="00F009BF"/>
    <w:rsid w:val="00F01E13"/>
    <w:rsid w:val="00F025CB"/>
    <w:rsid w:val="00F02BAF"/>
    <w:rsid w:val="00F07F0E"/>
    <w:rsid w:val="00F10108"/>
    <w:rsid w:val="00F11A5B"/>
    <w:rsid w:val="00F14DEA"/>
    <w:rsid w:val="00F15920"/>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3C6A"/>
    <w:rsid w:val="00F74C6D"/>
    <w:rsid w:val="00F757ED"/>
    <w:rsid w:val="00F75AD0"/>
    <w:rsid w:val="00F77541"/>
    <w:rsid w:val="00F81C34"/>
    <w:rsid w:val="00F84CA6"/>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6EED"/>
    <w:rsid w:val="00FA7F8A"/>
    <w:rsid w:val="00FB1B28"/>
    <w:rsid w:val="00FB1CE9"/>
    <w:rsid w:val="00FB2906"/>
    <w:rsid w:val="00FB3C2D"/>
    <w:rsid w:val="00FB5C1F"/>
    <w:rsid w:val="00FC14EC"/>
    <w:rsid w:val="00FC2DDB"/>
    <w:rsid w:val="00FC2DE3"/>
    <w:rsid w:val="00FC4787"/>
    <w:rsid w:val="00FC4B37"/>
    <w:rsid w:val="00FC4DF4"/>
    <w:rsid w:val="00FC52FB"/>
    <w:rsid w:val="00FC5616"/>
    <w:rsid w:val="00FC6945"/>
    <w:rsid w:val="00FC7AA6"/>
    <w:rsid w:val="00FC7B66"/>
    <w:rsid w:val="00FD0461"/>
    <w:rsid w:val="00FD1094"/>
    <w:rsid w:val="00FD10D5"/>
    <w:rsid w:val="00FD1184"/>
    <w:rsid w:val="00FD37DA"/>
    <w:rsid w:val="00FD53BE"/>
    <w:rsid w:val="00FD7760"/>
    <w:rsid w:val="00FD7844"/>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2D"/>
    <w:pPr>
      <w:spacing w:line="300" w:lineRule="exact"/>
    </w:pPr>
    <w:rPr>
      <w:rFonts w:ascii="Lucida Sans Unicode" w:hAnsi="Lucida Sans Unicode"/>
      <w:sz w:val="22"/>
      <w:szCs w:val="24"/>
    </w:rPr>
  </w:style>
  <w:style w:type="paragraph" w:styleId="Heading1">
    <w:name w:val="heading 1"/>
    <w:basedOn w:val="Normal"/>
    <w:qFormat/>
    <w:rsid w:val="00BF0F5C"/>
    <w:pPr>
      <w:keepNext/>
      <w:numPr>
        <w:numId w:val="31"/>
      </w:numPr>
      <w:spacing w:before="300"/>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tabs>
        <w:tab w:val="clear" w:pos="643"/>
        <w:tab w:val="num" w:pos="360"/>
      </w:tabs>
      <w:ind w:left="0" w:firstLine="0"/>
    </w:pPr>
  </w:style>
  <w:style w:type="paragraph" w:styleId="ListBullet3">
    <w:name w:val="List Bullet 3"/>
    <w:basedOn w:val="Normal"/>
    <w:semiHidden/>
    <w:rsid w:val="0017414F"/>
    <w:pPr>
      <w:numPr>
        <w:numId w:val="23"/>
      </w:numPr>
      <w:tabs>
        <w:tab w:val="clear" w:pos="926"/>
        <w:tab w:val="num" w:pos="360"/>
      </w:tabs>
      <w:ind w:left="0" w:firstLine="0"/>
    </w:pPr>
  </w:style>
  <w:style w:type="paragraph" w:styleId="ListBullet4">
    <w:name w:val="List Bullet 4"/>
    <w:basedOn w:val="Normal"/>
    <w:semiHidden/>
    <w:rsid w:val="0017414F"/>
    <w:pPr>
      <w:numPr>
        <w:numId w:val="24"/>
      </w:numPr>
      <w:tabs>
        <w:tab w:val="clear" w:pos="1209"/>
        <w:tab w:val="num" w:pos="360"/>
      </w:tabs>
      <w:ind w:left="0" w:firstLine="0"/>
    </w:pPr>
  </w:style>
  <w:style w:type="paragraph" w:styleId="ListBullet5">
    <w:name w:val="List Bullet 5"/>
    <w:basedOn w:val="Normal"/>
    <w:semiHidden/>
    <w:rsid w:val="0017414F"/>
    <w:pPr>
      <w:numPr>
        <w:numId w:val="25"/>
      </w:numPr>
      <w:tabs>
        <w:tab w:val="clear" w:pos="1492"/>
        <w:tab w:val="num" w:pos="360"/>
      </w:tabs>
      <w:ind w:left="0" w:firstLine="0"/>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uiPriority w:val="10"/>
    <w:qFormat/>
    <w:rsid w:val="0006177F"/>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06177F"/>
    <w:pPr>
      <w:numPr>
        <w:numId w:val="0"/>
      </w:numPr>
      <w:spacing w:before="0"/>
    </w:pPr>
  </w:style>
  <w:style w:type="paragraph" w:styleId="BalloonText">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CommentReference">
    <w:name w:val="annotation reference"/>
    <w:basedOn w:val="DefaultParagraphFont"/>
    <w:semiHidden/>
    <w:unhideWhenUsed/>
    <w:rsid w:val="00E56426"/>
    <w:rPr>
      <w:sz w:val="16"/>
      <w:szCs w:val="16"/>
    </w:rPr>
  </w:style>
  <w:style w:type="paragraph" w:styleId="CommentText">
    <w:name w:val="annotation text"/>
    <w:basedOn w:val="Normal"/>
    <w:link w:val="CommentTextChar"/>
    <w:semiHidden/>
    <w:unhideWhenUsed/>
    <w:rsid w:val="00E56426"/>
    <w:pPr>
      <w:spacing w:line="240" w:lineRule="auto"/>
    </w:pPr>
    <w:rPr>
      <w:sz w:val="20"/>
      <w:szCs w:val="20"/>
    </w:rPr>
  </w:style>
  <w:style w:type="character" w:customStyle="1" w:styleId="CommentTextChar">
    <w:name w:val="Comment Text Char"/>
    <w:basedOn w:val="DefaultParagraphFont"/>
    <w:link w:val="CommentText"/>
    <w:semiHidden/>
    <w:rsid w:val="00E56426"/>
    <w:rPr>
      <w:rFonts w:ascii="Lucida Sans Unicode" w:hAnsi="Lucida Sans Unicode"/>
    </w:rPr>
  </w:style>
  <w:style w:type="paragraph" w:styleId="CommentSubject">
    <w:name w:val="annotation subject"/>
    <w:basedOn w:val="CommentText"/>
    <w:next w:val="CommentText"/>
    <w:link w:val="CommentSubjectChar"/>
    <w:semiHidden/>
    <w:unhideWhenUsed/>
    <w:rsid w:val="00E56426"/>
    <w:rPr>
      <w:b/>
      <w:bCs/>
    </w:rPr>
  </w:style>
  <w:style w:type="character" w:customStyle="1" w:styleId="CommentSubjectChar">
    <w:name w:val="Comment Subject Char"/>
    <w:basedOn w:val="CommentTextChar"/>
    <w:link w:val="CommentSubject"/>
    <w:semiHidden/>
    <w:rsid w:val="00E56426"/>
    <w:rPr>
      <w:rFonts w:ascii="Lucida Sans Unicode" w:hAnsi="Lucida Sans Unicode"/>
      <w:b/>
      <w:bCs/>
    </w:rPr>
  </w:style>
  <w:style w:type="character" w:styleId="UnresolvedMention">
    <w:name w:val="Unresolved Mention"/>
    <w:basedOn w:val="DefaultParagraphFont"/>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ion">
    <w:name w:val="Revision"/>
    <w:hidden/>
    <w:uiPriority w:val="99"/>
    <w:semiHidden/>
    <w:rsid w:val="007E502D"/>
    <w:rPr>
      <w:rFonts w:ascii="Lucida Sans Unicode" w:hAnsi="Lucida Sans Unicode"/>
      <w:sz w:val="22"/>
      <w:szCs w:val="24"/>
    </w:rPr>
  </w:style>
  <w:style w:type="character" w:customStyle="1" w:styleId="tw4winMark">
    <w:name w:val="tw4winMark"/>
    <w:basedOn w:val="DefaultParagraphFont"/>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itleChar">
    <w:name w:val="Title Char"/>
    <w:basedOn w:val="DefaultParagraphFont"/>
    <w:link w:val="Title"/>
    <w:uiPriority w:val="10"/>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z-TopofForm">
    <w:name w:val="HTML Top of Form"/>
    <w:basedOn w:val="Normal"/>
    <w:next w:val="Normal"/>
    <w:link w:val="z-TopofFormCh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z-TopofFormChar">
    <w:name w:val="z-Top of Form Char"/>
    <w:basedOn w:val="DefaultParagraphFont"/>
    <w:link w:val="z-TopofForm"/>
    <w:uiPriority w:val="99"/>
    <w:semiHidden/>
    <w:rsid w:val="00031010"/>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4656974">
          <w:marLeft w:val="0"/>
          <w:marRight w:val="0"/>
          <w:marTop w:val="0"/>
          <w:marBottom w:val="0"/>
          <w:divBdr>
            <w:top w:val="none" w:sz="0" w:space="0" w:color="auto"/>
            <w:left w:val="none" w:sz="0" w:space="0" w:color="auto"/>
            <w:bottom w:val="none" w:sz="0" w:space="0" w:color="auto"/>
            <w:right w:val="none" w:sz="0" w:space="0" w:color="auto"/>
          </w:divBdr>
        </w:div>
      </w:divsChild>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995322">
          <w:marLeft w:val="0"/>
          <w:marRight w:val="0"/>
          <w:marTop w:val="0"/>
          <w:marBottom w:val="0"/>
          <w:divBdr>
            <w:top w:val="none" w:sz="0" w:space="0" w:color="auto"/>
            <w:left w:val="none" w:sz="0" w:space="0" w:color="auto"/>
            <w:bottom w:val="none" w:sz="0" w:space="0" w:color="auto"/>
            <w:right w:val="none" w:sz="0" w:space="0" w:color="auto"/>
          </w:divBdr>
        </w:div>
      </w:divsChild>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706234">
          <w:marLeft w:val="0"/>
          <w:marRight w:val="0"/>
          <w:marTop w:val="0"/>
          <w:marBottom w:val="0"/>
          <w:divBdr>
            <w:top w:val="none" w:sz="0" w:space="0" w:color="auto"/>
            <w:left w:val="none" w:sz="0" w:space="0" w:color="auto"/>
            <w:bottom w:val="none" w:sz="0" w:space="0" w:color="auto"/>
            <w:right w:val="none" w:sz="0" w:space="0" w:color="auto"/>
          </w:divBdr>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93e86f-58e3-4db4-ae23-bda0ce9f8446" xsi:nil="true"/>
    <lcf76f155ced4ddcb4097134ff3c332f xmlns="b415715e-9e5f-41fb-99b2-94fa13c59e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B65E6A9755BA49A890BCF621E2948D" ma:contentTypeVersion="21" ma:contentTypeDescription="Create a new document." ma:contentTypeScope="" ma:versionID="127f290795cfa01962c08dbb47fad86a">
  <xsd:schema xmlns:xsd="http://www.w3.org/2001/XMLSchema" xmlns:xs="http://www.w3.org/2001/XMLSchema" xmlns:p="http://schemas.microsoft.com/office/2006/metadata/properties" xmlns:ns2="b415715e-9e5f-41fb-99b2-94fa13c59ef2" xmlns:ns3="ed93e86f-58e3-4db4-ae23-bda0ce9f8446" targetNamespace="http://schemas.microsoft.com/office/2006/metadata/properties" ma:root="true" ma:fieldsID="33d18217f67cc052c5f8c1113c1e8fcc" ns2:_="" ns3:_="">
    <xsd:import namespace="b415715e-9e5f-41fb-99b2-94fa13c59ef2"/>
    <xsd:import namespace="ed93e86f-58e3-4db4-ae23-bda0ce9f8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15e-9e5f-41fb-99b2-94fa13c59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3e86f-58e3-4db4-ae23-bda0ce9f8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fa22bc-f675-437d-8941-eb1cea8ebfe8}" ma:internalName="TaxCatchAll" ma:showField="CatchAllData" ma:web="ed93e86f-58e3-4db4-ae23-bda0ce9f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2.xml><?xml version="1.0" encoding="utf-8"?>
<ds:datastoreItem xmlns:ds="http://schemas.openxmlformats.org/officeDocument/2006/customXml" ds:itemID="{E3E96469-8551-4322-B6EB-ABC465527346}">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d93e86f-58e3-4db4-ae23-bda0ce9f8446"/>
    <ds:schemaRef ds:uri="b415715e-9e5f-41fb-99b2-94fa13c59ef2"/>
    <ds:schemaRef ds:uri="http://www.w3.org/XML/1998/namespace"/>
  </ds:schemaRefs>
</ds:datastoreItem>
</file>

<file path=customXml/itemProps3.xml><?xml version="1.0" encoding="utf-8"?>
<ds:datastoreItem xmlns:ds="http://schemas.openxmlformats.org/officeDocument/2006/customXml" ds:itemID="{2D3A1DCF-5D45-4B0D-94BC-A037B4F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15e-9e5f-41fb-99b2-94fa13c59ef2"/>
    <ds:schemaRef ds:uri="ed93e86f-58e3-4db4-ae23-bda0ce9f8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8117</Characters>
  <Application>Microsoft Office Word</Application>
  <DocSecurity>0</DocSecurity>
  <Lines>67</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9505</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 1Trim 2024</dc:subject>
  <dc:creator>Taís Augusto</dc:creator>
  <cp:keywords/>
  <dc:description>Maio 2024</dc:description>
  <cp:lastModifiedBy>Cabrera, Guilherme</cp:lastModifiedBy>
  <cp:revision>7</cp:revision>
  <cp:lastPrinted>2024-06-07T19:44:00Z</cp:lastPrinted>
  <dcterms:created xsi:type="dcterms:W3CDTF">2024-05-27T17:36:00Z</dcterms:created>
  <dcterms:modified xsi:type="dcterms:W3CDTF">2024-06-07T19:44:00Z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0x01010060B65E6A9755BA49A890BCF621E2948D</vt:lpwstr>
  </property>
  <property fmtid="{D5CDD505-2E9C-101B-9397-08002B2CF9AE}" pid="10" name="MediaServiceImageTags">
    <vt:lpwstr/>
  </property>
  <property fmtid="{D5CDD505-2E9C-101B-9397-08002B2CF9AE}" pid="11" name="43b072f0-0f82-4aac-be1e-8abeffc32f66">
    <vt:bool>false</vt:bool>
  </property>
</Properties>
</file>