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0456EE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621CA7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12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096D3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F60C98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0456EE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60C98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5A4A9C" w:rsidRPr="00DE5AA7" w:rsidRDefault="005A4A9C" w:rsidP="005A4A9C">
      <w:pPr>
        <w:pStyle w:val="Ttulo"/>
        <w:rPr>
          <w:color w:val="000000" w:themeColor="text1"/>
          <w:lang w:val="pt-BR"/>
        </w:rPr>
      </w:pPr>
      <w:r w:rsidRPr="00DE5AA7">
        <w:rPr>
          <w:color w:val="000000" w:themeColor="text1"/>
          <w:lang w:val="pt-BR"/>
        </w:rPr>
        <w:t xml:space="preserve">Bons resultados no terceiro trimestre </w:t>
      </w:r>
    </w:p>
    <w:p w:rsidR="005A4A9C" w:rsidRPr="006C4517" w:rsidRDefault="005A4A9C" w:rsidP="005A4A9C">
      <w:pPr>
        <w:pStyle w:val="Ttulo"/>
        <w:rPr>
          <w:sz w:val="12"/>
          <w:szCs w:val="12"/>
          <w:lang w:val="pt-BR"/>
        </w:rPr>
      </w:pPr>
    </w:p>
    <w:p w:rsidR="005A4A9C" w:rsidRPr="007F5AD3" w:rsidRDefault="005A4A9C" w:rsidP="005A4A9C">
      <w:pPr>
        <w:pStyle w:val="msolistparagraph0"/>
        <w:numPr>
          <w:ilvl w:val="0"/>
          <w:numId w:val="4"/>
        </w:numPr>
        <w:tabs>
          <w:tab w:val="num" w:pos="2204"/>
        </w:tabs>
        <w:spacing w:line="280" w:lineRule="auto"/>
        <w:ind w:left="284"/>
        <w:rPr>
          <w:sz w:val="24"/>
          <w:lang w:val="pt-BR"/>
        </w:rPr>
      </w:pPr>
      <w:r w:rsidRPr="007F5AD3">
        <w:rPr>
          <w:sz w:val="24"/>
          <w:lang w:val="pt-BR"/>
        </w:rPr>
        <w:t xml:space="preserve">Vendas cresceram 7% para 3,8 bilhões de euros.  </w:t>
      </w:r>
    </w:p>
    <w:p w:rsidR="005A4A9C" w:rsidRPr="007F5AD3" w:rsidRDefault="005A4A9C" w:rsidP="005A4A9C">
      <w:pPr>
        <w:pStyle w:val="msolistparagraph0"/>
        <w:numPr>
          <w:ilvl w:val="0"/>
          <w:numId w:val="4"/>
        </w:numPr>
        <w:tabs>
          <w:tab w:val="num" w:pos="2204"/>
        </w:tabs>
        <w:spacing w:line="280" w:lineRule="auto"/>
        <w:ind w:left="284"/>
        <w:rPr>
          <w:sz w:val="24"/>
          <w:lang w:val="pt-BR"/>
        </w:rPr>
      </w:pPr>
      <w:r w:rsidRPr="007F5AD3">
        <w:rPr>
          <w:sz w:val="24"/>
          <w:lang w:val="pt-BR"/>
        </w:rPr>
        <w:t>EBITDA ajustado subiu 8% para 692 milhões de euros</w:t>
      </w:r>
    </w:p>
    <w:p w:rsidR="005A4A9C" w:rsidRPr="007F5AD3" w:rsidRDefault="005A4A9C" w:rsidP="005A4A9C">
      <w:pPr>
        <w:pStyle w:val="msolistparagraph0"/>
        <w:numPr>
          <w:ilvl w:val="0"/>
          <w:numId w:val="4"/>
        </w:numPr>
        <w:tabs>
          <w:tab w:val="num" w:pos="2204"/>
        </w:tabs>
        <w:spacing w:line="280" w:lineRule="auto"/>
        <w:ind w:left="284"/>
        <w:rPr>
          <w:sz w:val="24"/>
          <w:lang w:val="pt-BR"/>
        </w:rPr>
      </w:pPr>
      <w:r w:rsidRPr="007F5AD3">
        <w:rPr>
          <w:sz w:val="24"/>
          <w:lang w:val="pt-BR"/>
        </w:rPr>
        <w:t xml:space="preserve">Perspectivas para o ano 2018 se confirmam </w:t>
      </w:r>
    </w:p>
    <w:p w:rsidR="005A4A9C" w:rsidRPr="007F5AD3" w:rsidRDefault="005A4A9C" w:rsidP="005A4A9C">
      <w:pPr>
        <w:rPr>
          <w:b/>
          <w:lang w:val="pt-BR"/>
        </w:rPr>
      </w:pPr>
    </w:p>
    <w:p w:rsidR="005A4A9C" w:rsidRPr="007F5AD3" w:rsidRDefault="005A4A9C" w:rsidP="005A4A9C">
      <w:pPr>
        <w:rPr>
          <w:color w:val="000000" w:themeColor="text1"/>
          <w:szCs w:val="22"/>
          <w:lang w:val="pt-BR"/>
        </w:rPr>
      </w:pPr>
      <w:r w:rsidRPr="007F5AD3">
        <w:rPr>
          <w:color w:val="000000" w:themeColor="text1"/>
          <w:szCs w:val="22"/>
          <w:lang w:val="pt-BR"/>
        </w:rPr>
        <w:t xml:space="preserve">A Evonik aumentou o EBITDA ajustado do terceiro trimestre de 2018 para 692 milhões de euros (ano anterior: 640 milhões de euros). Os dois segmentos de crescimento - </w:t>
      </w:r>
      <w:proofErr w:type="spellStart"/>
      <w:r w:rsidRPr="007F5AD3">
        <w:rPr>
          <w:color w:val="000000" w:themeColor="text1"/>
          <w:szCs w:val="22"/>
          <w:lang w:val="pt-BR"/>
        </w:rPr>
        <w:t>Nutrition</w:t>
      </w:r>
      <w:proofErr w:type="spellEnd"/>
      <w:r w:rsidRPr="007F5AD3">
        <w:rPr>
          <w:color w:val="000000" w:themeColor="text1"/>
          <w:szCs w:val="22"/>
          <w:lang w:val="pt-BR"/>
        </w:rPr>
        <w:t xml:space="preserve"> &amp; </w:t>
      </w:r>
      <w:proofErr w:type="spellStart"/>
      <w:r w:rsidRPr="007F5AD3">
        <w:rPr>
          <w:color w:val="000000" w:themeColor="text1"/>
          <w:szCs w:val="22"/>
          <w:lang w:val="pt-BR"/>
        </w:rPr>
        <w:t>Care</w:t>
      </w:r>
      <w:proofErr w:type="spellEnd"/>
      <w:r w:rsidRPr="007F5AD3">
        <w:rPr>
          <w:color w:val="000000" w:themeColor="text1"/>
          <w:szCs w:val="22"/>
          <w:lang w:val="pt-BR"/>
        </w:rPr>
        <w:t xml:space="preserve"> e </w:t>
      </w:r>
      <w:proofErr w:type="spellStart"/>
      <w:r w:rsidRPr="007F5AD3">
        <w:rPr>
          <w:color w:val="000000" w:themeColor="text1"/>
          <w:szCs w:val="22"/>
          <w:lang w:val="pt-BR"/>
        </w:rPr>
        <w:t>Resource</w:t>
      </w:r>
      <w:proofErr w:type="spellEnd"/>
      <w:r w:rsidRPr="007F5AD3">
        <w:rPr>
          <w:color w:val="000000" w:themeColor="text1"/>
          <w:szCs w:val="22"/>
          <w:lang w:val="pt-BR"/>
        </w:rPr>
        <w:t xml:space="preserve"> </w:t>
      </w:r>
      <w:proofErr w:type="spellStart"/>
      <w:r w:rsidRPr="007F5AD3">
        <w:rPr>
          <w:color w:val="000000" w:themeColor="text1"/>
          <w:szCs w:val="22"/>
          <w:lang w:val="pt-BR"/>
        </w:rPr>
        <w:t>Efficiency</w:t>
      </w:r>
      <w:proofErr w:type="spellEnd"/>
      <w:r w:rsidRPr="007F5AD3">
        <w:rPr>
          <w:color w:val="000000" w:themeColor="text1"/>
          <w:szCs w:val="22"/>
          <w:lang w:val="pt-BR"/>
        </w:rPr>
        <w:t xml:space="preserve"> – contribuíram de modo considerável para o incremento das receitas</w:t>
      </w:r>
      <w:r w:rsidR="00DA3A3C">
        <w:rPr>
          <w:color w:val="000000" w:themeColor="text1"/>
          <w:szCs w:val="22"/>
          <w:lang w:val="pt-BR"/>
        </w:rPr>
        <w:t xml:space="preserve"> </w:t>
      </w:r>
      <w:r w:rsidR="00DA3A3C" w:rsidRPr="00621CA7">
        <w:rPr>
          <w:szCs w:val="22"/>
          <w:lang w:val="pt-BR"/>
        </w:rPr>
        <w:t xml:space="preserve">e </w:t>
      </w:r>
      <w:r w:rsidR="000456EE">
        <w:rPr>
          <w:szCs w:val="22"/>
          <w:lang w:val="pt-BR"/>
        </w:rPr>
        <w:t xml:space="preserve">da </w:t>
      </w:r>
      <w:bookmarkStart w:id="0" w:name="_GoBack"/>
      <w:bookmarkEnd w:id="0"/>
      <w:r w:rsidR="00DA3A3C" w:rsidRPr="00621CA7">
        <w:rPr>
          <w:szCs w:val="22"/>
          <w:lang w:val="pt-BR"/>
        </w:rPr>
        <w:t>rentabilidade</w:t>
      </w:r>
      <w:r w:rsidRPr="00621CA7">
        <w:rPr>
          <w:szCs w:val="22"/>
          <w:lang w:val="pt-BR"/>
        </w:rPr>
        <w:t xml:space="preserve">.  A </w:t>
      </w:r>
      <w:r w:rsidRPr="007F5AD3">
        <w:rPr>
          <w:color w:val="000000" w:themeColor="text1"/>
          <w:szCs w:val="22"/>
          <w:lang w:val="pt-BR"/>
        </w:rPr>
        <w:t xml:space="preserve">margem EBITDA ajustada aumentou para 18,2% quando comparada aos 18% no mesmo trimestre do ano anterior. </w:t>
      </w:r>
      <w:r w:rsidRPr="007F5AD3">
        <w:rPr>
          <w:color w:val="000000" w:themeColor="text1"/>
          <w:szCs w:val="22"/>
          <w:lang w:val="pt-BR"/>
        </w:rPr>
        <w:br/>
      </w:r>
    </w:p>
    <w:p w:rsidR="005A4A9C" w:rsidRPr="00DE5AA7" w:rsidRDefault="005A4A9C" w:rsidP="005A4A9C">
      <w:pPr>
        <w:pStyle w:val="Default"/>
        <w:spacing w:line="300" w:lineRule="exact"/>
        <w:rPr>
          <w:color w:val="000000" w:themeColor="text1"/>
          <w:sz w:val="22"/>
          <w:szCs w:val="22"/>
          <w:lang w:val="pt-BR"/>
        </w:rPr>
      </w:pPr>
      <w:r w:rsidRPr="007F5AD3">
        <w:rPr>
          <w:sz w:val="22"/>
          <w:szCs w:val="22"/>
          <w:lang w:val="pt-BR"/>
        </w:rPr>
        <w:t xml:space="preserve">As vendas subiram para 3,8 bilhões de euros no terceiro trimestre (ano anterior: 3,6 bilhões de euros), basicamente devido ao aumento nos preços de venda. </w:t>
      </w:r>
      <w:r w:rsidRPr="007F5AD3">
        <w:rPr>
          <w:color w:val="000000" w:themeColor="text1"/>
          <w:sz w:val="22"/>
          <w:szCs w:val="22"/>
          <w:lang w:val="pt-BR"/>
        </w:rPr>
        <w:t>A receita líquida ajustada cresceu 35% para 370 milhões de euros, o que corresponde a um lucro ajustado de 0,79 euro por ação.</w:t>
      </w:r>
      <w:r w:rsidRPr="00DE5AA7">
        <w:rPr>
          <w:color w:val="000000" w:themeColor="text1"/>
          <w:sz w:val="22"/>
          <w:szCs w:val="22"/>
          <w:lang w:val="pt-BR"/>
        </w:rPr>
        <w:t xml:space="preserve"> </w:t>
      </w:r>
    </w:p>
    <w:p w:rsidR="005A4A9C" w:rsidRPr="00DE5AA7" w:rsidRDefault="005A4A9C" w:rsidP="005A4A9C">
      <w:pPr>
        <w:pStyle w:val="Default"/>
        <w:spacing w:line="300" w:lineRule="exact"/>
        <w:rPr>
          <w:lang w:val="pt-BR"/>
        </w:rPr>
      </w:pPr>
    </w:p>
    <w:p w:rsidR="005A4A9C" w:rsidRPr="00621CA7" w:rsidRDefault="005A4A9C" w:rsidP="005A4A9C">
      <w:pPr>
        <w:pStyle w:val="Default"/>
        <w:spacing w:line="300" w:lineRule="exact"/>
        <w:rPr>
          <w:color w:val="auto"/>
          <w:sz w:val="22"/>
          <w:lang w:val="pt-BR"/>
        </w:rPr>
      </w:pPr>
      <w:r w:rsidRPr="00DE5AA7">
        <w:rPr>
          <w:color w:val="000000" w:themeColor="text1"/>
          <w:sz w:val="22"/>
          <w:lang w:val="pt-BR"/>
        </w:rPr>
        <w:t>“</w:t>
      </w:r>
      <w:r w:rsidRPr="00621CA7">
        <w:rPr>
          <w:color w:val="auto"/>
          <w:sz w:val="22"/>
          <w:lang w:val="pt-BR"/>
        </w:rPr>
        <w:t xml:space="preserve">Estamos implementando a nossa estratégia de maneira consistente”, diz Christian </w:t>
      </w:r>
      <w:proofErr w:type="spellStart"/>
      <w:r w:rsidRPr="00621CA7">
        <w:rPr>
          <w:color w:val="auto"/>
          <w:sz w:val="22"/>
          <w:lang w:val="pt-BR"/>
        </w:rPr>
        <w:t>Kullmann</w:t>
      </w:r>
      <w:proofErr w:type="spellEnd"/>
      <w:r w:rsidRPr="00621CA7">
        <w:rPr>
          <w:color w:val="auto"/>
          <w:sz w:val="22"/>
          <w:lang w:val="pt-BR"/>
        </w:rPr>
        <w:t xml:space="preserve">, Presidente da Diretoria Executiva.  “Vamos continuar adaptando o nosso portfólio de forma ativa, trazendo inovações para o mercado e promovendo a mudança cultural na empresa”.  </w:t>
      </w:r>
    </w:p>
    <w:p w:rsidR="005A4A9C" w:rsidRPr="00621CA7" w:rsidRDefault="005A4A9C" w:rsidP="005A4A9C">
      <w:pPr>
        <w:pStyle w:val="Default"/>
        <w:spacing w:line="300" w:lineRule="exact"/>
        <w:rPr>
          <w:color w:val="auto"/>
          <w:sz w:val="22"/>
          <w:szCs w:val="22"/>
          <w:lang w:val="pt-BR"/>
        </w:rPr>
      </w:pPr>
    </w:p>
    <w:p w:rsidR="005A4A9C" w:rsidRPr="00DE5AA7" w:rsidRDefault="005A4A9C" w:rsidP="005A4A9C">
      <w:pPr>
        <w:pStyle w:val="Default"/>
        <w:spacing w:line="300" w:lineRule="exact"/>
        <w:rPr>
          <w:color w:val="000000" w:themeColor="text1"/>
          <w:sz w:val="22"/>
          <w:szCs w:val="22"/>
          <w:lang w:val="pt-BR"/>
        </w:rPr>
      </w:pPr>
    </w:p>
    <w:p w:rsidR="005A4A9C" w:rsidRPr="00DE5AA7" w:rsidRDefault="005A4A9C" w:rsidP="005A4A9C">
      <w:pPr>
        <w:rPr>
          <w:b/>
          <w:color w:val="000000" w:themeColor="text1"/>
          <w:szCs w:val="22"/>
          <w:lang w:val="pt-BR"/>
        </w:rPr>
      </w:pPr>
      <w:r w:rsidRPr="00DE5AA7">
        <w:rPr>
          <w:b/>
          <w:color w:val="000000" w:themeColor="text1"/>
          <w:szCs w:val="22"/>
          <w:lang w:val="pt-BR"/>
        </w:rPr>
        <w:t xml:space="preserve">Previsões confirmadas </w:t>
      </w:r>
    </w:p>
    <w:p w:rsidR="005A4A9C" w:rsidRPr="00DE5AA7" w:rsidRDefault="005A4A9C" w:rsidP="005A4A9C">
      <w:pPr>
        <w:rPr>
          <w:color w:val="000000" w:themeColor="text1"/>
          <w:szCs w:val="22"/>
          <w:lang w:val="pt-BR"/>
        </w:rPr>
      </w:pPr>
      <w:r w:rsidRPr="00DE5AA7">
        <w:rPr>
          <w:color w:val="000000" w:themeColor="text1"/>
          <w:szCs w:val="22"/>
          <w:lang w:val="pt-BR"/>
        </w:rPr>
        <w:t xml:space="preserve">A Evonik confirma a sua previsão, que </w:t>
      </w:r>
      <w:r>
        <w:rPr>
          <w:color w:val="000000" w:themeColor="text1"/>
          <w:szCs w:val="22"/>
          <w:lang w:val="pt-BR"/>
        </w:rPr>
        <w:t xml:space="preserve">a empresa </w:t>
      </w:r>
      <w:r w:rsidRPr="00DE5AA7">
        <w:rPr>
          <w:color w:val="000000" w:themeColor="text1"/>
          <w:szCs w:val="22"/>
          <w:lang w:val="pt-BR"/>
        </w:rPr>
        <w:t>havia aumenta</w:t>
      </w:r>
      <w:r>
        <w:rPr>
          <w:color w:val="000000" w:themeColor="text1"/>
          <w:szCs w:val="22"/>
          <w:lang w:val="pt-BR"/>
        </w:rPr>
        <w:t>do</w:t>
      </w:r>
      <w:r w:rsidRPr="00DE5AA7">
        <w:rPr>
          <w:color w:val="000000" w:themeColor="text1"/>
          <w:szCs w:val="22"/>
          <w:lang w:val="pt-BR"/>
        </w:rPr>
        <w:t xml:space="preserve"> após o primeiro </w:t>
      </w:r>
      <w:r>
        <w:rPr>
          <w:color w:val="000000" w:themeColor="text1"/>
          <w:szCs w:val="22"/>
          <w:lang w:val="pt-BR"/>
        </w:rPr>
        <w:t>semestre</w:t>
      </w:r>
      <w:r w:rsidRPr="00DE5AA7">
        <w:rPr>
          <w:color w:val="000000" w:themeColor="text1"/>
          <w:szCs w:val="22"/>
          <w:lang w:val="pt-BR"/>
        </w:rPr>
        <w:t xml:space="preserve"> do ano, para o ano fiscal de 2018 e </w:t>
      </w:r>
      <w:r>
        <w:rPr>
          <w:color w:val="000000" w:themeColor="text1"/>
          <w:szCs w:val="22"/>
          <w:lang w:val="pt-BR"/>
        </w:rPr>
        <w:t>continua contando</w:t>
      </w:r>
      <w:r w:rsidRPr="00DE5AA7">
        <w:rPr>
          <w:color w:val="000000" w:themeColor="text1"/>
          <w:szCs w:val="22"/>
          <w:lang w:val="pt-BR"/>
        </w:rPr>
        <w:t xml:space="preserve"> com um EBITDA ajustado entre 2,6</w:t>
      </w:r>
      <w:r>
        <w:rPr>
          <w:color w:val="000000" w:themeColor="text1"/>
          <w:szCs w:val="22"/>
          <w:lang w:val="pt-BR"/>
        </w:rPr>
        <w:t>0</w:t>
      </w:r>
      <w:r w:rsidRPr="00DE5AA7">
        <w:rPr>
          <w:color w:val="000000" w:themeColor="text1"/>
          <w:szCs w:val="22"/>
          <w:lang w:val="pt-BR"/>
        </w:rPr>
        <w:t xml:space="preserve"> e 2,65 bilhões de euros e um ligeiro aumento nas vendas (ano anterior: 14,4 bilhão de euros). A Evonik </w:t>
      </w:r>
      <w:r>
        <w:rPr>
          <w:color w:val="000000" w:themeColor="text1"/>
          <w:szCs w:val="22"/>
          <w:lang w:val="pt-BR"/>
        </w:rPr>
        <w:t>mantém a</w:t>
      </w:r>
      <w:r w:rsidRPr="00DE5AA7">
        <w:rPr>
          <w:color w:val="000000" w:themeColor="text1"/>
          <w:szCs w:val="22"/>
          <w:lang w:val="pt-BR"/>
        </w:rPr>
        <w:t xml:space="preserve"> sua perspectiva de um fluxo de caixa notavelmente mais alto para 2018 em comparação com o ano anterior (511 milhões de euros).  </w:t>
      </w:r>
    </w:p>
    <w:p w:rsidR="005A4A9C" w:rsidRPr="00DE5AA7" w:rsidRDefault="005A4A9C" w:rsidP="005A4A9C">
      <w:pPr>
        <w:rPr>
          <w:color w:val="000000" w:themeColor="text1"/>
          <w:szCs w:val="22"/>
          <w:lang w:val="pt-BR"/>
        </w:rPr>
      </w:pPr>
    </w:p>
    <w:p w:rsidR="005A4A9C" w:rsidRPr="00DE5AA7" w:rsidRDefault="005A4A9C" w:rsidP="005A4A9C">
      <w:pPr>
        <w:rPr>
          <w:b/>
          <w:color w:val="000000" w:themeColor="text1"/>
          <w:szCs w:val="22"/>
          <w:lang w:val="pt-BR"/>
        </w:rPr>
      </w:pPr>
      <w:r w:rsidRPr="00DE5AA7">
        <w:rPr>
          <w:color w:val="000000" w:themeColor="text1"/>
          <w:szCs w:val="22"/>
          <w:lang w:val="pt-BR"/>
        </w:rPr>
        <w:lastRenderedPageBreak/>
        <w:t xml:space="preserve">A robusta </w:t>
      </w:r>
      <w:r>
        <w:rPr>
          <w:color w:val="000000" w:themeColor="text1"/>
          <w:szCs w:val="22"/>
          <w:lang w:val="pt-BR"/>
        </w:rPr>
        <w:t xml:space="preserve">demanda </w:t>
      </w:r>
      <w:r w:rsidRPr="00DE5AA7">
        <w:rPr>
          <w:color w:val="000000" w:themeColor="text1"/>
          <w:szCs w:val="22"/>
          <w:lang w:val="pt-BR"/>
        </w:rPr>
        <w:t>na maioria dos mercados finais relevantes deve se manter no quarto trimest</w:t>
      </w:r>
      <w:r>
        <w:rPr>
          <w:color w:val="000000" w:themeColor="text1"/>
          <w:szCs w:val="22"/>
          <w:lang w:val="pt-BR"/>
        </w:rPr>
        <w:t>re</w:t>
      </w:r>
      <w:r w:rsidRPr="00DE5AA7">
        <w:rPr>
          <w:color w:val="000000" w:themeColor="text1"/>
          <w:szCs w:val="22"/>
          <w:lang w:val="pt-BR"/>
        </w:rPr>
        <w:t xml:space="preserve">, especialmente nos segmentos de crescimento </w:t>
      </w:r>
      <w:proofErr w:type="spellStart"/>
      <w:r w:rsidRPr="00DE5AA7">
        <w:rPr>
          <w:color w:val="000000" w:themeColor="text1"/>
          <w:szCs w:val="22"/>
          <w:lang w:val="pt-BR"/>
        </w:rPr>
        <w:t>Nutrition</w:t>
      </w:r>
      <w:proofErr w:type="spellEnd"/>
      <w:r w:rsidRPr="00DE5AA7">
        <w:rPr>
          <w:color w:val="000000" w:themeColor="text1"/>
          <w:szCs w:val="22"/>
          <w:lang w:val="pt-BR"/>
        </w:rPr>
        <w:t xml:space="preserve"> &amp; </w:t>
      </w:r>
      <w:proofErr w:type="spellStart"/>
      <w:r w:rsidRPr="00DE5AA7">
        <w:rPr>
          <w:color w:val="000000" w:themeColor="text1"/>
          <w:szCs w:val="22"/>
          <w:lang w:val="pt-BR"/>
        </w:rPr>
        <w:t>Care</w:t>
      </w:r>
      <w:proofErr w:type="spellEnd"/>
      <w:r w:rsidRPr="00DE5AA7">
        <w:rPr>
          <w:color w:val="000000" w:themeColor="text1"/>
          <w:szCs w:val="22"/>
          <w:lang w:val="pt-BR"/>
        </w:rPr>
        <w:t xml:space="preserve"> e </w:t>
      </w:r>
      <w:proofErr w:type="spellStart"/>
      <w:r w:rsidRPr="00DE5AA7">
        <w:rPr>
          <w:color w:val="000000" w:themeColor="text1"/>
          <w:szCs w:val="22"/>
          <w:lang w:val="pt-BR"/>
        </w:rPr>
        <w:t>Resource</w:t>
      </w:r>
      <w:proofErr w:type="spellEnd"/>
      <w:r w:rsidRPr="00DE5AA7">
        <w:rPr>
          <w:color w:val="000000" w:themeColor="text1"/>
          <w:szCs w:val="22"/>
          <w:lang w:val="pt-BR"/>
        </w:rPr>
        <w:t xml:space="preserve"> </w:t>
      </w:r>
      <w:proofErr w:type="spellStart"/>
      <w:r w:rsidRPr="00DE5AA7">
        <w:rPr>
          <w:color w:val="000000" w:themeColor="text1"/>
          <w:szCs w:val="22"/>
          <w:lang w:val="pt-BR"/>
        </w:rPr>
        <w:t>Efficiency</w:t>
      </w:r>
      <w:proofErr w:type="spellEnd"/>
      <w:r w:rsidRPr="00DE5AA7">
        <w:rPr>
          <w:color w:val="000000" w:themeColor="text1"/>
          <w:szCs w:val="22"/>
          <w:lang w:val="pt-BR"/>
        </w:rPr>
        <w:t>.</w:t>
      </w:r>
    </w:p>
    <w:p w:rsidR="005A4A9C" w:rsidRPr="00DE5AA7" w:rsidRDefault="005A4A9C" w:rsidP="005A4A9C">
      <w:pPr>
        <w:rPr>
          <w:b/>
          <w:color w:val="000000" w:themeColor="text1"/>
          <w:szCs w:val="22"/>
          <w:lang w:val="pt-BR"/>
        </w:rPr>
      </w:pPr>
    </w:p>
    <w:p w:rsidR="005A4A9C" w:rsidRPr="00DE5AA7" w:rsidRDefault="005A4A9C" w:rsidP="005A4A9C">
      <w:pPr>
        <w:rPr>
          <w:b/>
          <w:color w:val="000000" w:themeColor="text1"/>
          <w:szCs w:val="22"/>
          <w:highlight w:val="yellow"/>
          <w:lang w:val="pt-BR"/>
        </w:rPr>
      </w:pPr>
      <w:r w:rsidRPr="00DE5AA7">
        <w:rPr>
          <w:b/>
          <w:color w:val="000000" w:themeColor="text1"/>
          <w:szCs w:val="22"/>
          <w:lang w:val="pt-BR"/>
        </w:rPr>
        <w:t>Desenvolvimentos nos segmentos</w:t>
      </w:r>
    </w:p>
    <w:p w:rsidR="005A4A9C" w:rsidRPr="00DE5AA7" w:rsidRDefault="005A4A9C" w:rsidP="005A4A9C">
      <w:pPr>
        <w:rPr>
          <w:color w:val="000000" w:themeColor="text1"/>
          <w:szCs w:val="22"/>
          <w:highlight w:val="yellow"/>
          <w:lang w:val="pt-BR"/>
        </w:rPr>
      </w:pPr>
    </w:p>
    <w:p w:rsidR="005A4A9C" w:rsidRPr="007F5AD3" w:rsidRDefault="005A4A9C" w:rsidP="005A4A9C">
      <w:pPr>
        <w:rPr>
          <w:color w:val="000000" w:themeColor="text1"/>
          <w:szCs w:val="22"/>
          <w:lang w:val="pt-BR"/>
        </w:rPr>
      </w:pPr>
      <w:proofErr w:type="spellStart"/>
      <w:r w:rsidRPr="00DE5AA7">
        <w:rPr>
          <w:b/>
          <w:bCs/>
          <w:color w:val="000000" w:themeColor="text1"/>
          <w:szCs w:val="22"/>
          <w:lang w:val="pt-BR"/>
        </w:rPr>
        <w:t>Resource</w:t>
      </w:r>
      <w:proofErr w:type="spellEnd"/>
      <w:r w:rsidRPr="00DE5AA7">
        <w:rPr>
          <w:b/>
          <w:bCs/>
          <w:color w:val="000000" w:themeColor="text1"/>
          <w:szCs w:val="22"/>
          <w:lang w:val="pt-BR"/>
        </w:rPr>
        <w:t xml:space="preserve"> </w:t>
      </w:r>
      <w:proofErr w:type="spellStart"/>
      <w:r w:rsidRPr="00DE5AA7">
        <w:rPr>
          <w:b/>
          <w:bCs/>
          <w:color w:val="000000" w:themeColor="text1"/>
          <w:szCs w:val="22"/>
          <w:lang w:val="pt-BR"/>
        </w:rPr>
        <w:t>Efficiency</w:t>
      </w:r>
      <w:proofErr w:type="spellEnd"/>
      <w:r w:rsidRPr="00DE5AA7">
        <w:rPr>
          <w:b/>
          <w:bCs/>
          <w:color w:val="000000" w:themeColor="text1"/>
          <w:szCs w:val="22"/>
          <w:lang w:val="pt-BR"/>
        </w:rPr>
        <w:t>:</w:t>
      </w:r>
      <w:r w:rsidRPr="00DE5AA7">
        <w:rPr>
          <w:color w:val="000000" w:themeColor="text1"/>
          <w:szCs w:val="22"/>
          <w:lang w:val="pt-BR"/>
        </w:rPr>
        <w:t xml:space="preserve"> As vendas no </w:t>
      </w:r>
      <w:r w:rsidRPr="007F5AD3">
        <w:rPr>
          <w:color w:val="000000" w:themeColor="text1"/>
          <w:szCs w:val="22"/>
          <w:lang w:val="pt-BR"/>
        </w:rPr>
        <w:t>segmento aumentaram 5% para 1,4 bilhão de euros no terceiro trimestre, enquanto o EBITDA ajustado, com 338 milhões de euros, ficou 9% acima daquele do mesmo trimestre do ano anterior.</w:t>
      </w:r>
      <w:r>
        <w:rPr>
          <w:color w:val="000000" w:themeColor="text1"/>
          <w:szCs w:val="22"/>
          <w:lang w:val="pt-BR"/>
        </w:rPr>
        <w:t xml:space="preserve"> </w:t>
      </w:r>
      <w:bookmarkStart w:id="1" w:name="WfTarget"/>
      <w:r w:rsidRPr="007F5AD3">
        <w:rPr>
          <w:color w:val="000000" w:themeColor="text1"/>
          <w:szCs w:val="22"/>
          <w:lang w:val="pt-BR"/>
        </w:rPr>
        <w:t>A margem EBITDA ajustada no segmento cresceu de 22,9% para 23,7%.</w:t>
      </w:r>
      <w:bookmarkEnd w:id="1"/>
      <w:r>
        <w:rPr>
          <w:color w:val="000000" w:themeColor="text1"/>
          <w:szCs w:val="22"/>
          <w:lang w:val="pt-BR"/>
        </w:rPr>
        <w:t xml:space="preserve"> </w:t>
      </w:r>
      <w:r w:rsidRPr="007F5AD3">
        <w:rPr>
          <w:color w:val="000000" w:themeColor="text1"/>
          <w:szCs w:val="22"/>
          <w:lang w:val="pt-BR"/>
        </w:rPr>
        <w:t xml:space="preserve">A grande demanda por polímeros de alta performance usados no design leve e em tintas e revestimentos base água ambientalmente amigáveis impulsionou as vendas do trimestre. </w:t>
      </w:r>
    </w:p>
    <w:p w:rsidR="005A4A9C" w:rsidRPr="007F5AD3" w:rsidRDefault="005A4A9C" w:rsidP="005A4A9C">
      <w:pPr>
        <w:spacing w:line="240" w:lineRule="exact"/>
        <w:rPr>
          <w:color w:val="000000" w:themeColor="text1"/>
          <w:szCs w:val="22"/>
          <w:lang w:val="pt-BR"/>
        </w:rPr>
      </w:pPr>
    </w:p>
    <w:p w:rsidR="005A4A9C" w:rsidRPr="00DE5AA7" w:rsidRDefault="005A4A9C" w:rsidP="005A4A9C">
      <w:pPr>
        <w:rPr>
          <w:color w:val="000000" w:themeColor="text1"/>
          <w:szCs w:val="22"/>
          <w:lang w:val="pt-BR"/>
        </w:rPr>
      </w:pPr>
      <w:proofErr w:type="spellStart"/>
      <w:r w:rsidRPr="007F5AD3">
        <w:rPr>
          <w:b/>
          <w:bCs/>
          <w:color w:val="000000" w:themeColor="text1"/>
          <w:szCs w:val="22"/>
          <w:lang w:val="pt-BR"/>
        </w:rPr>
        <w:t>Nutrition</w:t>
      </w:r>
      <w:proofErr w:type="spellEnd"/>
      <w:r w:rsidRPr="007F5AD3">
        <w:rPr>
          <w:b/>
          <w:bCs/>
          <w:color w:val="000000" w:themeColor="text1"/>
          <w:szCs w:val="22"/>
          <w:lang w:val="pt-BR"/>
        </w:rPr>
        <w:t xml:space="preserve"> &amp; </w:t>
      </w:r>
      <w:proofErr w:type="spellStart"/>
      <w:r w:rsidRPr="007F5AD3">
        <w:rPr>
          <w:b/>
          <w:bCs/>
          <w:color w:val="000000" w:themeColor="text1"/>
          <w:szCs w:val="22"/>
          <w:lang w:val="pt-BR"/>
        </w:rPr>
        <w:t>Care</w:t>
      </w:r>
      <w:proofErr w:type="spellEnd"/>
      <w:r w:rsidRPr="007F5AD3">
        <w:rPr>
          <w:b/>
          <w:bCs/>
          <w:color w:val="000000" w:themeColor="text1"/>
          <w:szCs w:val="22"/>
          <w:lang w:val="pt-BR"/>
        </w:rPr>
        <w:t>:</w:t>
      </w:r>
      <w:r w:rsidRPr="007F5AD3">
        <w:rPr>
          <w:color w:val="000000" w:themeColor="text1"/>
          <w:szCs w:val="22"/>
          <w:lang w:val="pt-BR"/>
        </w:rPr>
        <w:t xml:space="preserve"> As vendas do segmento subiram 5% para 1,2 bilhão de euros.</w:t>
      </w:r>
      <w:r>
        <w:rPr>
          <w:color w:val="000000" w:themeColor="text1"/>
          <w:szCs w:val="22"/>
          <w:lang w:val="pt-BR"/>
        </w:rPr>
        <w:t xml:space="preserve"> </w:t>
      </w:r>
      <w:r w:rsidRPr="007F5AD3">
        <w:rPr>
          <w:color w:val="000000" w:themeColor="text1"/>
          <w:szCs w:val="22"/>
          <w:lang w:val="pt-BR"/>
        </w:rPr>
        <w:t>O EBITDA ajustado subiu 13% para 212 milhões de euros. O segmento conseguiu elevar significativamente a sua margem EBITDA ajustada para 18,2% (exercício anterior:</w:t>
      </w:r>
      <w:r>
        <w:rPr>
          <w:color w:val="000000" w:themeColor="text1"/>
          <w:szCs w:val="22"/>
          <w:lang w:val="pt-BR"/>
        </w:rPr>
        <w:t xml:space="preserve"> </w:t>
      </w:r>
      <w:r w:rsidRPr="007F5AD3">
        <w:rPr>
          <w:color w:val="000000" w:themeColor="text1"/>
          <w:szCs w:val="22"/>
          <w:lang w:val="pt-BR"/>
        </w:rPr>
        <w:t xml:space="preserve">16,9%). A demanda se manteve alta na linha de aminoácidos para nutrição animal. As linhas de negócio </w:t>
      </w:r>
      <w:proofErr w:type="spellStart"/>
      <w:r w:rsidRPr="007F5AD3">
        <w:rPr>
          <w:color w:val="000000" w:themeColor="text1"/>
          <w:szCs w:val="22"/>
          <w:lang w:val="pt-BR"/>
        </w:rPr>
        <w:t>Personal</w:t>
      </w:r>
      <w:proofErr w:type="spellEnd"/>
      <w:r w:rsidRPr="007F5AD3">
        <w:rPr>
          <w:color w:val="000000" w:themeColor="text1"/>
          <w:szCs w:val="22"/>
          <w:lang w:val="pt-BR"/>
        </w:rPr>
        <w:t xml:space="preserve"> </w:t>
      </w:r>
      <w:proofErr w:type="spellStart"/>
      <w:r w:rsidRPr="007F5AD3">
        <w:rPr>
          <w:color w:val="000000" w:themeColor="text1"/>
          <w:szCs w:val="22"/>
          <w:lang w:val="pt-BR"/>
        </w:rPr>
        <w:t>Care</w:t>
      </w:r>
      <w:proofErr w:type="spellEnd"/>
      <w:r w:rsidRPr="007F5AD3">
        <w:rPr>
          <w:color w:val="000000" w:themeColor="text1"/>
          <w:szCs w:val="22"/>
          <w:lang w:val="pt-BR"/>
        </w:rPr>
        <w:t xml:space="preserve"> e Health </w:t>
      </w:r>
      <w:proofErr w:type="spellStart"/>
      <w:r w:rsidRPr="007F5AD3">
        <w:rPr>
          <w:color w:val="000000" w:themeColor="text1"/>
          <w:szCs w:val="22"/>
          <w:lang w:val="pt-BR"/>
        </w:rPr>
        <w:t>Care</w:t>
      </w:r>
      <w:proofErr w:type="spellEnd"/>
      <w:r w:rsidRPr="007F5AD3">
        <w:rPr>
          <w:color w:val="000000" w:themeColor="text1"/>
          <w:szCs w:val="22"/>
          <w:lang w:val="pt-BR"/>
        </w:rPr>
        <w:t xml:space="preserve"> continuaram se desenvolvendo bem. </w:t>
      </w:r>
    </w:p>
    <w:p w:rsidR="005A4A9C" w:rsidRPr="00DE5AA7" w:rsidRDefault="005A4A9C" w:rsidP="005A4A9C">
      <w:pPr>
        <w:rPr>
          <w:color w:val="000000" w:themeColor="text1"/>
          <w:szCs w:val="22"/>
          <w:lang w:val="pt-BR"/>
        </w:rPr>
      </w:pPr>
    </w:p>
    <w:p w:rsidR="005A4A9C" w:rsidRPr="00DE5AA7" w:rsidRDefault="005A4A9C" w:rsidP="005A4A9C">
      <w:pPr>
        <w:rPr>
          <w:color w:val="000000" w:themeColor="text1"/>
          <w:szCs w:val="22"/>
          <w:lang w:val="pt-BR"/>
        </w:rPr>
      </w:pPr>
      <w:r w:rsidRPr="00DE5AA7">
        <w:rPr>
          <w:b/>
          <w:bCs/>
          <w:color w:val="000000" w:themeColor="text1"/>
          <w:szCs w:val="22"/>
          <w:lang w:val="pt-BR"/>
        </w:rPr>
        <w:t xml:space="preserve">Performance </w:t>
      </w:r>
      <w:proofErr w:type="spellStart"/>
      <w:r w:rsidRPr="00DE5AA7">
        <w:rPr>
          <w:b/>
          <w:bCs/>
          <w:color w:val="000000" w:themeColor="text1"/>
          <w:szCs w:val="22"/>
          <w:lang w:val="pt-BR"/>
        </w:rPr>
        <w:t>Materials</w:t>
      </w:r>
      <w:proofErr w:type="spellEnd"/>
      <w:r w:rsidRPr="00DE5AA7">
        <w:rPr>
          <w:b/>
          <w:bCs/>
          <w:color w:val="000000" w:themeColor="text1"/>
          <w:szCs w:val="22"/>
          <w:lang w:val="pt-BR"/>
        </w:rPr>
        <w:t>:</w:t>
      </w:r>
      <w:r w:rsidRPr="00DE5AA7">
        <w:rPr>
          <w:color w:val="000000" w:themeColor="text1"/>
          <w:szCs w:val="22"/>
          <w:lang w:val="pt-BR"/>
        </w:rPr>
        <w:t xml:space="preserve"> As vendas do segmento alcançaram um bilhão de euros no terceiro trimestre</w:t>
      </w:r>
      <w:r w:rsidRPr="007F5AD3">
        <w:rPr>
          <w:color w:val="000000" w:themeColor="text1"/>
          <w:szCs w:val="22"/>
          <w:lang w:val="pt-BR"/>
        </w:rPr>
        <w:t>, um incremento de</w:t>
      </w:r>
      <w:r>
        <w:rPr>
          <w:color w:val="000000" w:themeColor="text1"/>
          <w:szCs w:val="22"/>
          <w:lang w:val="pt-BR"/>
        </w:rPr>
        <w:t xml:space="preserve"> </w:t>
      </w:r>
      <w:r w:rsidRPr="00DE5AA7">
        <w:rPr>
          <w:color w:val="000000" w:themeColor="text1"/>
          <w:szCs w:val="22"/>
          <w:lang w:val="pt-BR"/>
        </w:rPr>
        <w:t xml:space="preserve">13% </w:t>
      </w:r>
      <w:r>
        <w:rPr>
          <w:color w:val="000000" w:themeColor="text1"/>
          <w:szCs w:val="22"/>
          <w:lang w:val="pt-BR"/>
        </w:rPr>
        <w:t>na comparação com o</w:t>
      </w:r>
      <w:r w:rsidRPr="00DE5AA7">
        <w:rPr>
          <w:color w:val="000000" w:themeColor="text1"/>
          <w:szCs w:val="22"/>
          <w:lang w:val="pt-BR"/>
        </w:rPr>
        <w:t xml:space="preserve"> mesmo trimestre do ano anterior. Os preços de venda </w:t>
      </w:r>
      <w:r>
        <w:rPr>
          <w:color w:val="000000" w:themeColor="text1"/>
          <w:szCs w:val="22"/>
          <w:lang w:val="pt-BR"/>
        </w:rPr>
        <w:t>foram mais altos</w:t>
      </w:r>
      <w:r w:rsidRPr="00DE5AA7">
        <w:rPr>
          <w:color w:val="000000" w:themeColor="text1"/>
          <w:szCs w:val="22"/>
          <w:lang w:val="pt-BR"/>
        </w:rPr>
        <w:t xml:space="preserve">, sobretudo em resultado da transferência do aumento nos custos das matérias-primas. Os baixos níveis de água no rio Reno reduziram os volumes de transporte, o que exerceu impacto negativo sobre o fluxo de matérias-primas e mercadorias. A linha de metacrilatos </w:t>
      </w:r>
      <w:r>
        <w:rPr>
          <w:color w:val="000000" w:themeColor="text1"/>
          <w:szCs w:val="22"/>
          <w:lang w:val="pt-BR"/>
        </w:rPr>
        <w:t xml:space="preserve">se beneficiou </w:t>
      </w:r>
      <w:r w:rsidRPr="00DE5AA7">
        <w:rPr>
          <w:color w:val="000000" w:themeColor="text1"/>
          <w:szCs w:val="22"/>
          <w:lang w:val="pt-BR"/>
        </w:rPr>
        <w:t xml:space="preserve">de uma boa demanda continuada, especialmente </w:t>
      </w:r>
      <w:r>
        <w:rPr>
          <w:color w:val="000000" w:themeColor="text1"/>
          <w:szCs w:val="22"/>
          <w:lang w:val="pt-BR"/>
        </w:rPr>
        <w:t>nas indústrias</w:t>
      </w:r>
      <w:r w:rsidRPr="00DE5AA7">
        <w:rPr>
          <w:color w:val="000000" w:themeColor="text1"/>
          <w:szCs w:val="22"/>
          <w:lang w:val="pt-BR"/>
        </w:rPr>
        <w:t xml:space="preserve"> automobilístic</w:t>
      </w:r>
      <w:r>
        <w:rPr>
          <w:color w:val="000000" w:themeColor="text1"/>
          <w:szCs w:val="22"/>
          <w:lang w:val="pt-BR"/>
        </w:rPr>
        <w:t>a</w:t>
      </w:r>
      <w:r w:rsidRPr="00DE5AA7">
        <w:rPr>
          <w:color w:val="000000" w:themeColor="text1"/>
          <w:szCs w:val="22"/>
          <w:lang w:val="pt-BR"/>
        </w:rPr>
        <w:t xml:space="preserve"> e de </w:t>
      </w:r>
      <w:r w:rsidR="00A33E89">
        <w:rPr>
          <w:szCs w:val="22"/>
          <w:lang w:val="pt-BR"/>
        </w:rPr>
        <w:t>tintas</w:t>
      </w:r>
      <w:r w:rsidRPr="00DE5AA7">
        <w:rPr>
          <w:color w:val="000000" w:themeColor="text1"/>
          <w:szCs w:val="22"/>
          <w:lang w:val="pt-BR"/>
        </w:rPr>
        <w:t>. O EBITDA ajustado do segmento, de 172 milhões de euros</w:t>
      </w:r>
      <w:r>
        <w:rPr>
          <w:color w:val="000000" w:themeColor="text1"/>
          <w:szCs w:val="22"/>
          <w:lang w:val="pt-BR"/>
        </w:rPr>
        <w:t>,</w:t>
      </w:r>
      <w:r w:rsidRPr="00DE5AA7">
        <w:rPr>
          <w:color w:val="000000" w:themeColor="text1"/>
          <w:szCs w:val="22"/>
          <w:lang w:val="pt-BR"/>
        </w:rPr>
        <w:t xml:space="preserve"> </w:t>
      </w:r>
      <w:r>
        <w:rPr>
          <w:color w:val="000000" w:themeColor="text1"/>
          <w:szCs w:val="22"/>
          <w:lang w:val="pt-BR"/>
        </w:rPr>
        <w:t xml:space="preserve">ficou </w:t>
      </w:r>
      <w:r w:rsidRPr="00DE5AA7">
        <w:rPr>
          <w:color w:val="000000" w:themeColor="text1"/>
          <w:szCs w:val="22"/>
          <w:lang w:val="pt-BR"/>
        </w:rPr>
        <w:t xml:space="preserve">no nível </w:t>
      </w:r>
      <w:r>
        <w:rPr>
          <w:color w:val="000000" w:themeColor="text1"/>
          <w:szCs w:val="22"/>
          <w:lang w:val="pt-BR"/>
        </w:rPr>
        <w:t xml:space="preserve">daquele </w:t>
      </w:r>
      <w:r w:rsidRPr="00DE5AA7">
        <w:rPr>
          <w:color w:val="000000" w:themeColor="text1"/>
          <w:szCs w:val="22"/>
          <w:lang w:val="pt-BR"/>
        </w:rPr>
        <w:t xml:space="preserve">do </w:t>
      </w:r>
      <w:r>
        <w:rPr>
          <w:color w:val="000000" w:themeColor="text1"/>
          <w:szCs w:val="22"/>
          <w:lang w:val="pt-BR"/>
        </w:rPr>
        <w:t xml:space="preserve">mesmo </w:t>
      </w:r>
      <w:r w:rsidRPr="00DE5AA7">
        <w:rPr>
          <w:color w:val="000000" w:themeColor="text1"/>
          <w:szCs w:val="22"/>
          <w:lang w:val="pt-BR"/>
        </w:rPr>
        <w:t xml:space="preserve">período do ano anterior, enquanto a margem EBITDA ajustada caiu de 18,8% para 16,6%.  </w:t>
      </w:r>
    </w:p>
    <w:tbl>
      <w:tblPr>
        <w:tblpPr w:leftFromText="141" w:rightFromText="141" w:vertAnchor="page" w:horzAnchor="margin" w:tblpY="5732"/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965"/>
        <w:gridCol w:w="965"/>
        <w:gridCol w:w="965"/>
        <w:gridCol w:w="965"/>
        <w:gridCol w:w="965"/>
        <w:gridCol w:w="965"/>
      </w:tblGrid>
      <w:tr w:rsidR="005A4A9C" w:rsidRPr="000456EE" w:rsidTr="00BE54B4">
        <w:trPr>
          <w:trHeight w:val="2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lastRenderedPageBreak/>
              <w:t xml:space="preserve">Grupo Evonik: </w:t>
            </w:r>
            <w:r w:rsidRPr="00694BD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Resumo do demonstrativo</w:t>
            </w:r>
            <w:r w:rsidR="0013731E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694BD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 xml:space="preserve">de resultados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</w:tr>
      <w:tr w:rsidR="005A4A9C" w:rsidRPr="000456EE" w:rsidTr="00BE54B4">
        <w:trPr>
          <w:trHeight w:val="8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2"/>
                <w:szCs w:val="2"/>
                <w:lang w:val="pt-BR"/>
              </w:rPr>
            </w:pPr>
            <w:r w:rsidRPr="00DE5AA7">
              <w:rPr>
                <w:rFonts w:cs="Lucida Sans Unicode"/>
                <w:sz w:val="2"/>
                <w:szCs w:val="2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2"/>
                <w:szCs w:val="2"/>
                <w:lang w:val="pt-BR"/>
              </w:rPr>
            </w:pPr>
            <w:r w:rsidRPr="00DE5AA7">
              <w:rPr>
                <w:rFonts w:cs="Lucida Sans Unicode"/>
                <w:sz w:val="2"/>
                <w:szCs w:val="2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2"/>
                <w:szCs w:val="2"/>
                <w:lang w:val="pt-BR"/>
              </w:rPr>
            </w:pPr>
            <w:r w:rsidRPr="00DE5AA7">
              <w:rPr>
                <w:rFonts w:cs="Lucida Sans Unicode"/>
                <w:sz w:val="2"/>
                <w:szCs w:val="2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2"/>
                <w:szCs w:val="2"/>
                <w:lang w:val="pt-BR"/>
              </w:rPr>
            </w:pPr>
            <w:r w:rsidRPr="00DE5AA7">
              <w:rPr>
                <w:rFonts w:cs="Lucida Sans Unicode"/>
                <w:sz w:val="2"/>
                <w:szCs w:val="2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2"/>
                <w:szCs w:val="2"/>
                <w:lang w:val="pt-BR"/>
              </w:rPr>
            </w:pPr>
            <w:r w:rsidRPr="00DE5AA7">
              <w:rPr>
                <w:rFonts w:cs="Lucida Sans Unicode"/>
                <w:sz w:val="2"/>
                <w:szCs w:val="2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2"/>
                <w:szCs w:val="2"/>
                <w:lang w:val="pt-BR"/>
              </w:rPr>
            </w:pPr>
            <w:r w:rsidRPr="00DE5AA7">
              <w:rPr>
                <w:rFonts w:cs="Lucida Sans Unicode"/>
                <w:sz w:val="2"/>
                <w:szCs w:val="2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2"/>
                <w:szCs w:val="2"/>
                <w:lang w:val="pt-BR"/>
              </w:rPr>
            </w:pPr>
            <w:r w:rsidRPr="00DE5AA7">
              <w:rPr>
                <w:rFonts w:cs="Lucida Sans Unicode"/>
                <w:sz w:val="2"/>
                <w:szCs w:val="2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51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bookmarkStart w:id="2" w:name="WfNextSeg"/>
            <w:r w:rsidRPr="00DE5AA7">
              <w:rPr>
                <w:rFonts w:cs="Lucida Sans Unicode"/>
                <w:sz w:val="18"/>
                <w:szCs w:val="18"/>
                <w:lang w:val="pt-BR"/>
              </w:rPr>
              <w:t>(</w:t>
            </w:r>
            <w:r>
              <w:rPr>
                <w:rFonts w:cs="Lucida Sans Unicode"/>
                <w:sz w:val="18"/>
                <w:szCs w:val="18"/>
                <w:lang w:val="pt-BR"/>
              </w:rPr>
              <w:t>em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 </w:t>
            </w:r>
            <w:r>
              <w:rPr>
                <w:rFonts w:cs="Lucida Sans Unicode"/>
                <w:sz w:val="18"/>
                <w:szCs w:val="18"/>
                <w:lang w:val="pt-BR"/>
              </w:rPr>
              <w:t>milhões de euros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)</w:t>
            </w:r>
            <w:bookmarkEnd w:id="2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Q3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br/>
              <w:t>2018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Q3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br/>
              <w:t>2017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Variação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br/>
            </w: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em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1-9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br/>
              <w:t>2018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1-9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br/>
              <w:t>2017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Variação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br/>
            </w: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em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 xml:space="preserve"> %</w:t>
            </w:r>
          </w:p>
        </w:tc>
      </w:tr>
      <w:tr w:rsidR="005A4A9C" w:rsidRPr="00DE5AA7" w:rsidTr="00BE54B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Vendas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794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556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7%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343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10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810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5%</w:t>
            </w:r>
          </w:p>
        </w:tc>
      </w:tr>
      <w:tr w:rsidR="005A4A9C" w:rsidRPr="00DE5AA7" w:rsidTr="00BE54B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EBITDA ajustado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692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640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8%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114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874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13%</w:t>
            </w:r>
          </w:p>
        </w:tc>
      </w:tr>
      <w:tr w:rsidR="005A4A9C" w:rsidRPr="00DE5AA7" w:rsidTr="00BE54B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EBIT ajustado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11%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462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245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17%</w:t>
            </w:r>
          </w:p>
        </w:tc>
      </w:tr>
      <w:tr w:rsidR="005A4A9C" w:rsidRPr="00DE5AA7" w:rsidTr="00BE54B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Ajustes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-198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Resultado financeiro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-141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-153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Lucro antes do Imposto de Renda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, </w:t>
            </w:r>
            <w:r w:rsidRPr="00885D25">
              <w:rPr>
                <w:rFonts w:cs="Lucida Sans Unicode"/>
                <w:sz w:val="18"/>
                <w:szCs w:val="18"/>
                <w:lang w:val="pt-BR"/>
              </w:rPr>
              <w:t>operações continuadas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23%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258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894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41%</w:t>
            </w:r>
          </w:p>
        </w:tc>
      </w:tr>
      <w:tr w:rsidR="005A4A9C" w:rsidRPr="00DE5AA7" w:rsidTr="00BE54B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Imposto de Renda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-101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-319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-278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Lucro após impostos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, </w:t>
            </w:r>
            <w:r>
              <w:rPr>
                <w:rFonts w:cs="Lucida Sans Unicode"/>
                <w:sz w:val="18"/>
                <w:szCs w:val="18"/>
                <w:lang w:val="pt-BR"/>
              </w:rPr>
              <w:t>operações continuadas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45%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939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616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52%</w:t>
            </w:r>
          </w:p>
        </w:tc>
      </w:tr>
      <w:tr w:rsidR="005A4A9C" w:rsidRPr="00DE5AA7" w:rsidTr="00BE54B4">
        <w:trPr>
          <w:trHeight w:val="24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Lucro após impostos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, </w:t>
            </w:r>
            <w:r>
              <w:rPr>
                <w:rFonts w:cs="Lucida Sans Unicode"/>
                <w:sz w:val="18"/>
                <w:szCs w:val="18"/>
                <w:lang w:val="pt-BR"/>
              </w:rPr>
              <w:t>operações descontinuadas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2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Lucro após impostos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45%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943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620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52%</w:t>
            </w:r>
          </w:p>
        </w:tc>
      </w:tr>
      <w:tr w:rsidR="005A4A9C" w:rsidRPr="00DE5AA7" w:rsidTr="00BE54B4">
        <w:trPr>
          <w:trHeight w:val="2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5A4A9C">
              <w:rPr>
                <w:sz w:val="18"/>
                <w:szCs w:val="18"/>
                <w:lang w:val="pt-BR"/>
              </w:rPr>
              <w:t>Disso, atribuível a interesses minoritários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2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Receita líquida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45%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928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606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53%</w:t>
            </w:r>
          </w:p>
        </w:tc>
      </w:tr>
      <w:tr w:rsidR="005A4A9C" w:rsidRPr="00DE5AA7" w:rsidTr="00BE54B4">
        <w:trPr>
          <w:trHeight w:val="2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Receita líquida ajustada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35%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057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816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30%</w:t>
            </w:r>
          </w:p>
        </w:tc>
      </w:tr>
      <w:tr w:rsidR="005A4A9C" w:rsidRPr="000456EE" w:rsidTr="00BE54B4">
        <w:trPr>
          <w:trHeight w:val="24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731E" w:rsidRDefault="005A4A9C" w:rsidP="00A33E89">
            <w:pPr>
              <w:spacing w:line="240" w:lineRule="auto"/>
              <w:rPr>
                <w:rFonts w:cs="Lucida Sans Unicode"/>
                <w:bCs/>
                <w:color w:val="FF0000"/>
                <w:sz w:val="16"/>
                <w:szCs w:val="16"/>
                <w:lang w:val="pt-BR"/>
              </w:rPr>
            </w:pPr>
            <w:r>
              <w:rPr>
                <w:rFonts w:cs="Lucida Sans Unicode"/>
                <w:bCs/>
                <w:sz w:val="16"/>
                <w:szCs w:val="16"/>
                <w:lang w:val="pt-BR"/>
              </w:rPr>
              <w:t>Os n</w:t>
            </w:r>
            <w:r w:rsidRPr="00885D25">
              <w:rPr>
                <w:rFonts w:cs="Lucida Sans Unicode"/>
                <w:bCs/>
                <w:sz w:val="16"/>
                <w:szCs w:val="16"/>
                <w:lang w:val="pt-BR"/>
              </w:rPr>
              <w:t xml:space="preserve">úmeros do </w:t>
            </w:r>
            <w:r w:rsidRPr="00A33E89">
              <w:rPr>
                <w:rFonts w:cs="Lucida Sans Unicode"/>
                <w:bCs/>
                <w:sz w:val="16"/>
                <w:szCs w:val="16"/>
                <w:lang w:val="pt-BR"/>
              </w:rPr>
              <w:t>ano anterior foram ajustados</w:t>
            </w:r>
          </w:p>
          <w:p w:rsidR="00A33E89" w:rsidRPr="00DE5AA7" w:rsidRDefault="00A33E89" w:rsidP="00A33E89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</w:tr>
    </w:tbl>
    <w:tbl>
      <w:tblPr>
        <w:tblW w:w="9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7"/>
        <w:gridCol w:w="966"/>
        <w:gridCol w:w="966"/>
        <w:gridCol w:w="969"/>
        <w:gridCol w:w="966"/>
        <w:gridCol w:w="966"/>
        <w:gridCol w:w="969"/>
      </w:tblGrid>
      <w:tr w:rsidR="005A4A9C" w:rsidRPr="00DE5AA7" w:rsidTr="00BE54B4">
        <w:trPr>
          <w:trHeight w:val="218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4A9C" w:rsidRPr="00DE5AA7" w:rsidRDefault="0013731E" w:rsidP="00BE54B4">
            <w:pPr>
              <w:spacing w:line="240" w:lineRule="auto"/>
              <w:rPr>
                <w:rFonts w:cs="Lucida Sans Unicode"/>
                <w:b/>
                <w:bCs/>
                <w:sz w:val="20"/>
                <w:szCs w:val="20"/>
                <w:lang w:val="pt-BR"/>
              </w:rPr>
            </w:pPr>
            <w:r>
              <w:rPr>
                <w:rFonts w:cs="Lucida Sans Unicode"/>
                <w:b/>
                <w:bCs/>
                <w:sz w:val="20"/>
                <w:szCs w:val="20"/>
                <w:lang w:val="pt-BR"/>
              </w:rPr>
              <w:t>D</w:t>
            </w:r>
            <w:r w:rsidR="005A4A9C">
              <w:rPr>
                <w:rFonts w:cs="Lucida Sans Unicode"/>
                <w:b/>
                <w:bCs/>
                <w:sz w:val="20"/>
                <w:szCs w:val="20"/>
                <w:lang w:val="pt-BR"/>
              </w:rPr>
              <w:t xml:space="preserve">esempenho por </w:t>
            </w:r>
            <w:r w:rsidR="005A4A9C" w:rsidRPr="00DE5AA7">
              <w:rPr>
                <w:rFonts w:cs="Lucida Sans Unicode"/>
                <w:b/>
                <w:bCs/>
                <w:sz w:val="20"/>
                <w:szCs w:val="20"/>
                <w:lang w:val="pt-BR"/>
              </w:rPr>
              <w:t>Segment</w:t>
            </w:r>
            <w:r w:rsidR="005A4A9C">
              <w:rPr>
                <w:rFonts w:cs="Lucida Sans Unicode"/>
                <w:b/>
                <w:bCs/>
                <w:sz w:val="20"/>
                <w:szCs w:val="20"/>
                <w:lang w:val="pt-BR"/>
              </w:rPr>
              <w:t>o</w:t>
            </w:r>
            <w:r w:rsidR="005A4A9C" w:rsidRPr="00DE5AA7">
              <w:rPr>
                <w:rFonts w:cs="Lucida Sans Unicode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102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6C4517" w:rsidRDefault="005A4A9C" w:rsidP="00BE54B4">
            <w:pPr>
              <w:spacing w:line="240" w:lineRule="auto"/>
              <w:rPr>
                <w:rFonts w:cs="Lucida Sans Unicode"/>
                <w:b/>
                <w:bCs/>
                <w:sz w:val="12"/>
                <w:szCs w:val="12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20"/>
                <w:szCs w:val="20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2"/>
                <w:szCs w:val="2"/>
                <w:lang w:val="pt-BR"/>
              </w:rPr>
            </w:pPr>
            <w:r w:rsidRPr="00DE5AA7">
              <w:rPr>
                <w:rFonts w:cs="Lucida Sans Unicode"/>
                <w:sz w:val="2"/>
                <w:szCs w:val="2"/>
                <w:lang w:val="pt-BR"/>
              </w:rPr>
              <w:t> 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Vendas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EBITDA ajustado</w:t>
            </w:r>
          </w:p>
        </w:tc>
      </w:tr>
      <w:tr w:rsidR="005A4A9C" w:rsidRPr="00DE5AA7" w:rsidTr="00BE54B4">
        <w:trPr>
          <w:trHeight w:val="463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(</w:t>
            </w:r>
            <w:r>
              <w:rPr>
                <w:rFonts w:cs="Lucida Sans Unicode"/>
                <w:sz w:val="18"/>
                <w:szCs w:val="18"/>
                <w:lang w:val="pt-BR"/>
              </w:rPr>
              <w:t>em milhões de euros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Q3       2018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Q3       2017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Variação em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Q3       2018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Q3       2017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 xml:space="preserve">Variação em 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Nutrition</w:t>
            </w:r>
            <w:proofErr w:type="spellEnd"/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 &amp; </w:t>
            </w: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Care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167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110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188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13%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Resource</w:t>
            </w:r>
            <w:proofErr w:type="spellEnd"/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Efficiency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426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358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9%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Performance </w:t>
            </w: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Materials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034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913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13%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0%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Services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0%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Outras operações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Grupo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794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556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7%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692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640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8%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lastRenderedPageBreak/>
              <w:t> 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outlineLvl w:val="0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Vendas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outlineLvl w:val="0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EBITDA ajustado</w:t>
            </w:r>
          </w:p>
        </w:tc>
      </w:tr>
      <w:tr w:rsidR="005A4A9C" w:rsidRPr="00DE5AA7" w:rsidTr="00BE54B4">
        <w:trPr>
          <w:trHeight w:val="463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outlineLvl w:val="0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1-9      2018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outlineLvl w:val="0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1-9      2017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outlineLvl w:val="0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Variação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br/>
            </w: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em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outlineLvl w:val="0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1-9      2018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outlineLvl w:val="0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1-9      2017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outlineLvl w:val="0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Variação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br/>
            </w: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em</w:t>
            </w: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 xml:space="preserve"> 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Nutrition</w:t>
            </w:r>
            <w:proofErr w:type="spellEnd"/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 &amp; </w:t>
            </w: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Care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474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393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643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12%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Resource</w:t>
            </w:r>
            <w:proofErr w:type="spellEnd"/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Efficiency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085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029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926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11%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Performance </w:t>
            </w: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Materials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054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781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497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10%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Services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-7%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2%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Outras operações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-254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231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Grupo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343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10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810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2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114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874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outlineLvl w:val="0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13%</w:t>
            </w:r>
          </w:p>
        </w:tc>
      </w:tr>
      <w:tr w:rsidR="005A4A9C" w:rsidRPr="000456EE" w:rsidTr="00BE54B4">
        <w:trPr>
          <w:trHeight w:val="218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A33E89" w:rsidRDefault="005A4A9C" w:rsidP="00BE54B4">
            <w:pPr>
              <w:spacing w:line="240" w:lineRule="auto"/>
              <w:outlineLvl w:val="0"/>
              <w:rPr>
                <w:rFonts w:cs="Lucida Sans Unicode"/>
                <w:sz w:val="16"/>
                <w:szCs w:val="16"/>
                <w:lang w:val="pt-BR"/>
              </w:rPr>
            </w:pPr>
            <w:r w:rsidRPr="00A33E89">
              <w:rPr>
                <w:rFonts w:cs="Lucida Sans Unicode"/>
                <w:bCs/>
                <w:sz w:val="16"/>
                <w:szCs w:val="16"/>
                <w:lang w:val="pt-BR"/>
              </w:rPr>
              <w:t>Os números do ano anterior foram ajustados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A33E89" w:rsidRDefault="005A4A9C" w:rsidP="00BE54B4">
            <w:pPr>
              <w:spacing w:line="240" w:lineRule="auto"/>
              <w:outlineLvl w:val="0"/>
              <w:rPr>
                <w:rFonts w:cs="Lucida Sans Unicode"/>
                <w:sz w:val="16"/>
                <w:szCs w:val="16"/>
                <w:lang w:val="pt-BR"/>
              </w:rPr>
            </w:pPr>
            <w:r w:rsidRPr="00A33E89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outlineLvl w:val="0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</w:tr>
    </w:tbl>
    <w:p w:rsidR="005A4A9C" w:rsidRPr="00DE5AA7" w:rsidRDefault="005A4A9C" w:rsidP="005A4A9C">
      <w:pPr>
        <w:spacing w:line="240" w:lineRule="auto"/>
        <w:rPr>
          <w:lang w:val="pt-BR"/>
        </w:rPr>
      </w:pPr>
    </w:p>
    <w:tbl>
      <w:tblPr>
        <w:tblW w:w="8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6"/>
        <w:gridCol w:w="1356"/>
        <w:gridCol w:w="1356"/>
      </w:tblGrid>
      <w:tr w:rsidR="005A4A9C" w:rsidRPr="00DE5AA7" w:rsidTr="00BE54B4">
        <w:trPr>
          <w:trHeight w:val="270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Colaboradores por segmento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6"/>
                <w:szCs w:val="16"/>
                <w:lang w:val="pt-BR"/>
              </w:rPr>
            </w:pPr>
            <w:r w:rsidRPr="00DE5AA7">
              <w:rPr>
                <w:rFonts w:cs="Lucida Sans Unicode"/>
                <w:sz w:val="16"/>
                <w:szCs w:val="16"/>
                <w:lang w:val="pt-BR"/>
              </w:rPr>
              <w:t> </w:t>
            </w:r>
          </w:p>
        </w:tc>
      </w:tr>
      <w:tr w:rsidR="005A4A9C" w:rsidRPr="00DE5AA7" w:rsidTr="00BE54B4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30.9.2018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A9C" w:rsidRPr="00DE5AA7" w:rsidRDefault="005A4A9C" w:rsidP="00BE54B4">
            <w:pPr>
              <w:spacing w:line="240" w:lineRule="auto"/>
              <w:jc w:val="center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31.12.2017</w:t>
            </w:r>
          </w:p>
        </w:tc>
      </w:tr>
      <w:tr w:rsidR="005A4A9C" w:rsidRPr="00DE5AA7" w:rsidTr="00BE54B4">
        <w:trPr>
          <w:trHeight w:val="270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Nutrition</w:t>
            </w:r>
            <w:proofErr w:type="spellEnd"/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 &amp; </w:t>
            </w: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Care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8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237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8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257</w:t>
            </w:r>
          </w:p>
        </w:tc>
      </w:tr>
      <w:tr w:rsidR="005A4A9C" w:rsidRPr="00DE5AA7" w:rsidTr="00BE54B4">
        <w:trPr>
          <w:trHeight w:val="270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Resource</w:t>
            </w:r>
            <w:proofErr w:type="spellEnd"/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Efficiency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10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318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10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260</w:t>
            </w:r>
          </w:p>
        </w:tc>
      </w:tr>
      <w:tr w:rsidR="005A4A9C" w:rsidRPr="00DE5AA7" w:rsidTr="00BE54B4">
        <w:trPr>
          <w:trHeight w:val="270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 xml:space="preserve">Performance </w:t>
            </w:r>
            <w:proofErr w:type="spellStart"/>
            <w:r w:rsidRPr="00DE5AA7">
              <w:rPr>
                <w:rFonts w:cs="Lucida Sans Unicode"/>
                <w:sz w:val="18"/>
                <w:szCs w:val="18"/>
                <w:lang w:val="pt-BR"/>
              </w:rPr>
              <w:t>Materials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264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4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364</w:t>
            </w:r>
          </w:p>
        </w:tc>
      </w:tr>
      <w:tr w:rsidR="005A4A9C" w:rsidRPr="00DE5AA7" w:rsidTr="00BE54B4">
        <w:trPr>
          <w:trHeight w:val="270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Services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12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979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13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021</w:t>
            </w:r>
          </w:p>
        </w:tc>
      </w:tr>
      <w:tr w:rsidR="005A4A9C" w:rsidRPr="00DE5AA7" w:rsidTr="00BE54B4">
        <w:trPr>
          <w:trHeight w:val="270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sz w:val="18"/>
                <w:szCs w:val="18"/>
                <w:lang w:val="pt-BR"/>
              </w:rPr>
            </w:pPr>
            <w:r>
              <w:rPr>
                <w:rFonts w:cs="Lucida Sans Unicode"/>
                <w:sz w:val="18"/>
                <w:szCs w:val="18"/>
                <w:lang w:val="pt-BR"/>
              </w:rPr>
              <w:t>Outras operações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518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621</w:t>
            </w:r>
          </w:p>
        </w:tc>
      </w:tr>
      <w:tr w:rsidR="005A4A9C" w:rsidRPr="00DE5AA7" w:rsidTr="00BE54B4">
        <w:trPr>
          <w:trHeight w:val="270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rPr>
                <w:rFonts w:cs="Lucida Sans Unicode"/>
                <w:b/>
                <w:bCs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b/>
                <w:bCs/>
                <w:sz w:val="18"/>
                <w:szCs w:val="18"/>
                <w:lang w:val="pt-BR"/>
              </w:rPr>
              <w:t>Evonik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6DE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36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316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A9C" w:rsidRPr="00DE5AA7" w:rsidRDefault="005A4A9C" w:rsidP="00BE54B4">
            <w:pPr>
              <w:spacing w:line="240" w:lineRule="auto"/>
              <w:jc w:val="right"/>
              <w:rPr>
                <w:rFonts w:cs="Lucida Sans Unicode"/>
                <w:sz w:val="18"/>
                <w:szCs w:val="18"/>
                <w:lang w:val="pt-BR"/>
              </w:rPr>
            </w:pPr>
            <w:r w:rsidRPr="00DE5AA7">
              <w:rPr>
                <w:rFonts w:cs="Lucida Sans Unicode"/>
                <w:sz w:val="18"/>
                <w:szCs w:val="18"/>
                <w:lang w:val="pt-BR"/>
              </w:rPr>
              <w:t>36</w:t>
            </w:r>
            <w:r>
              <w:rPr>
                <w:rFonts w:cs="Lucida Sans Unicode"/>
                <w:sz w:val="18"/>
                <w:szCs w:val="18"/>
                <w:lang w:val="pt-BR"/>
              </w:rPr>
              <w:t>.</w:t>
            </w:r>
            <w:r w:rsidRPr="00DE5AA7">
              <w:rPr>
                <w:rFonts w:cs="Lucida Sans Unicode"/>
                <w:sz w:val="18"/>
                <w:szCs w:val="18"/>
                <w:lang w:val="pt-BR"/>
              </w:rPr>
              <w:t>523</w:t>
            </w:r>
          </w:p>
        </w:tc>
      </w:tr>
    </w:tbl>
    <w:p w:rsidR="005A4A9C" w:rsidRPr="00DE5AA7" w:rsidRDefault="005A4A9C" w:rsidP="005A4A9C">
      <w:pPr>
        <w:spacing w:line="240" w:lineRule="auto"/>
        <w:rPr>
          <w:lang w:val="pt-BR"/>
        </w:rPr>
      </w:pPr>
    </w:p>
    <w:p w:rsidR="002C4900" w:rsidRDefault="002C4900" w:rsidP="00A6132F">
      <w:pPr>
        <w:rPr>
          <w:lang w:val="pt-BR"/>
        </w:rPr>
      </w:pPr>
    </w:p>
    <w:p w:rsidR="005A4A9C" w:rsidRDefault="005A4A9C" w:rsidP="00A6132F">
      <w:pPr>
        <w:rPr>
          <w:lang w:val="pt-BR"/>
        </w:rPr>
      </w:pPr>
    </w:p>
    <w:p w:rsidR="00096D3A" w:rsidRDefault="00096D3A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Pr="00B07799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2C4900" w:rsidRPr="00E33D03" w:rsidRDefault="002C4900" w:rsidP="002C490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F60C98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F60C98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F60C98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621CA7" w:rsidRDefault="00F60C98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2C4900" w:rsidRPr="00621CA7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2C4900" w:rsidRPr="00621CA7" w:rsidRDefault="00F60C98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2C4900" w:rsidRPr="00621CA7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2C4900" w:rsidRPr="00621CA7" w:rsidRDefault="002C4900" w:rsidP="002C4900">
      <w:pPr>
        <w:spacing w:line="240" w:lineRule="auto"/>
        <w:rPr>
          <w:sz w:val="18"/>
          <w:szCs w:val="18"/>
          <w:lang w:val="en-US"/>
        </w:rPr>
      </w:pPr>
    </w:p>
    <w:p w:rsidR="002C4900" w:rsidRPr="00621CA7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2C4900" w:rsidRPr="00621CA7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1D5E8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1D5E89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29" w:history="1">
        <w:r w:rsidRPr="001D5E89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C98" w:rsidRDefault="00F60C98">
      <w:pPr>
        <w:spacing w:line="240" w:lineRule="auto"/>
      </w:pPr>
      <w:r>
        <w:separator/>
      </w:r>
    </w:p>
  </w:endnote>
  <w:endnote w:type="continuationSeparator" w:id="0">
    <w:p w:rsidR="00F60C98" w:rsidRDefault="00F60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C2A63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C2A63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DA3A3C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DA3A3C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C98" w:rsidRDefault="00F60C98">
      <w:pPr>
        <w:spacing w:line="240" w:lineRule="auto"/>
      </w:pPr>
      <w:r>
        <w:separator/>
      </w:r>
    </w:p>
  </w:footnote>
  <w:footnote w:type="continuationSeparator" w:id="0">
    <w:p w:rsidR="00F60C98" w:rsidRDefault="00F60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35BA3"/>
    <w:rsid w:val="000440B1"/>
    <w:rsid w:val="000456EE"/>
    <w:rsid w:val="00050A5C"/>
    <w:rsid w:val="00056FCD"/>
    <w:rsid w:val="00062A36"/>
    <w:rsid w:val="00064562"/>
    <w:rsid w:val="00066BAA"/>
    <w:rsid w:val="00070F02"/>
    <w:rsid w:val="0008382F"/>
    <w:rsid w:val="000904D2"/>
    <w:rsid w:val="000939D5"/>
    <w:rsid w:val="0009509B"/>
    <w:rsid w:val="00096D3A"/>
    <w:rsid w:val="000B7592"/>
    <w:rsid w:val="000C0E46"/>
    <w:rsid w:val="000C3CD9"/>
    <w:rsid w:val="000C3D29"/>
    <w:rsid w:val="000C74C7"/>
    <w:rsid w:val="000D4603"/>
    <w:rsid w:val="000D73B5"/>
    <w:rsid w:val="00103384"/>
    <w:rsid w:val="0011505A"/>
    <w:rsid w:val="0013731E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1D5E89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76A9B"/>
    <w:rsid w:val="00282202"/>
    <w:rsid w:val="00291370"/>
    <w:rsid w:val="00293D83"/>
    <w:rsid w:val="002954EA"/>
    <w:rsid w:val="002A51A0"/>
    <w:rsid w:val="002B77C1"/>
    <w:rsid w:val="002C4900"/>
    <w:rsid w:val="002D484A"/>
    <w:rsid w:val="003017C6"/>
    <w:rsid w:val="00306E45"/>
    <w:rsid w:val="00317068"/>
    <w:rsid w:val="003278CB"/>
    <w:rsid w:val="00340FC9"/>
    <w:rsid w:val="00396513"/>
    <w:rsid w:val="003979BC"/>
    <w:rsid w:val="003A7CF5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3461"/>
    <w:rsid w:val="00424C10"/>
    <w:rsid w:val="00426A0F"/>
    <w:rsid w:val="004431C4"/>
    <w:rsid w:val="0044748F"/>
    <w:rsid w:val="00462E02"/>
    <w:rsid w:val="00471286"/>
    <w:rsid w:val="00480576"/>
    <w:rsid w:val="004C3FA2"/>
    <w:rsid w:val="004D699C"/>
    <w:rsid w:val="004D7D98"/>
    <w:rsid w:val="004E6C6A"/>
    <w:rsid w:val="004F05FF"/>
    <w:rsid w:val="004F0FF6"/>
    <w:rsid w:val="004F3FC7"/>
    <w:rsid w:val="004F6611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A4A9C"/>
    <w:rsid w:val="005B1E1E"/>
    <w:rsid w:val="005F0D12"/>
    <w:rsid w:val="005F54BD"/>
    <w:rsid w:val="005F6A1B"/>
    <w:rsid w:val="006020CC"/>
    <w:rsid w:val="00606242"/>
    <w:rsid w:val="00613876"/>
    <w:rsid w:val="00621CA7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A651F"/>
    <w:rsid w:val="006B5214"/>
    <w:rsid w:val="006B5250"/>
    <w:rsid w:val="006D6E36"/>
    <w:rsid w:val="006E2C11"/>
    <w:rsid w:val="006F00F2"/>
    <w:rsid w:val="006F26E8"/>
    <w:rsid w:val="006F781D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2156"/>
    <w:rsid w:val="007D4510"/>
    <w:rsid w:val="00805DF4"/>
    <w:rsid w:val="008061E8"/>
    <w:rsid w:val="0081520B"/>
    <w:rsid w:val="0083705B"/>
    <w:rsid w:val="008461CF"/>
    <w:rsid w:val="00855623"/>
    <w:rsid w:val="00895147"/>
    <w:rsid w:val="008C0F44"/>
    <w:rsid w:val="008C591F"/>
    <w:rsid w:val="008C63EE"/>
    <w:rsid w:val="008C7023"/>
    <w:rsid w:val="008D595B"/>
    <w:rsid w:val="008E232D"/>
    <w:rsid w:val="00903CD2"/>
    <w:rsid w:val="00904B03"/>
    <w:rsid w:val="00907272"/>
    <w:rsid w:val="00912E05"/>
    <w:rsid w:val="00931B26"/>
    <w:rsid w:val="00941254"/>
    <w:rsid w:val="00963D03"/>
    <w:rsid w:val="00965965"/>
    <w:rsid w:val="00982C18"/>
    <w:rsid w:val="00987AAE"/>
    <w:rsid w:val="00995F9F"/>
    <w:rsid w:val="009B1636"/>
    <w:rsid w:val="009B4DD6"/>
    <w:rsid w:val="009E075E"/>
    <w:rsid w:val="00A0506A"/>
    <w:rsid w:val="00A0682E"/>
    <w:rsid w:val="00A11C7D"/>
    <w:rsid w:val="00A1624A"/>
    <w:rsid w:val="00A33E89"/>
    <w:rsid w:val="00A45E8E"/>
    <w:rsid w:val="00A50BF2"/>
    <w:rsid w:val="00A50FA0"/>
    <w:rsid w:val="00A5589D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554A9"/>
    <w:rsid w:val="00B56C7E"/>
    <w:rsid w:val="00B62F5A"/>
    <w:rsid w:val="00B82754"/>
    <w:rsid w:val="00B83EF5"/>
    <w:rsid w:val="00B93746"/>
    <w:rsid w:val="00BA4ACC"/>
    <w:rsid w:val="00BA4BE7"/>
    <w:rsid w:val="00BC1D4E"/>
    <w:rsid w:val="00BC585D"/>
    <w:rsid w:val="00BD2DBB"/>
    <w:rsid w:val="00BD6CA1"/>
    <w:rsid w:val="00BF44EC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0277B"/>
    <w:rsid w:val="00D2562E"/>
    <w:rsid w:val="00D422D2"/>
    <w:rsid w:val="00D50A6A"/>
    <w:rsid w:val="00D6233C"/>
    <w:rsid w:val="00D67F0D"/>
    <w:rsid w:val="00D7093A"/>
    <w:rsid w:val="00D779E1"/>
    <w:rsid w:val="00DA0A78"/>
    <w:rsid w:val="00DA3A3C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5325E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60C98"/>
    <w:rsid w:val="00F83EA2"/>
    <w:rsid w:val="00F9015B"/>
    <w:rsid w:val="00FB06E4"/>
    <w:rsid w:val="00FC2A63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29D3B40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uiPriority w:val="99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  <w:style w:type="paragraph" w:customStyle="1" w:styleId="msolistparagraph0">
    <w:name w:val="msolistparagraph"/>
    <w:basedOn w:val="Normal"/>
    <w:rsid w:val="005A4A9C"/>
    <w:pPr>
      <w:spacing w:after="160" w:line="252" w:lineRule="auto"/>
      <w:ind w:left="720"/>
      <w:contextualSpacing/>
    </w:pPr>
    <w:rPr>
      <w:rFonts w:eastAsia="Calibri" w:cs="Lucida Sans Unicode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61B1-0FB2-48F6-A591-26F2DF71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1291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Estudo biodisponibilidade de metionina</dc:subject>
  <dc:creator>Taís Augusto</dc:creator>
  <cp:keywords/>
  <dc:description>Setembro/2018</dc:description>
  <cp:lastModifiedBy>Taís Augusto</cp:lastModifiedBy>
  <cp:revision>2</cp:revision>
  <dcterms:created xsi:type="dcterms:W3CDTF">2018-11-12T18:05:00Z</dcterms:created>
  <dcterms:modified xsi:type="dcterms:W3CDTF">2018-11-12T18:05:00Z</dcterms:modified>
</cp:coreProperties>
</file>