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DD5467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4F05FF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09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066BA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DD5467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DD5467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DD5467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4F6611" w:rsidRPr="001D5E89" w:rsidRDefault="004F6611" w:rsidP="004F6611">
      <w:pPr>
        <w:pStyle w:val="Ttulo"/>
        <w:rPr>
          <w:color w:val="000000" w:themeColor="text1"/>
          <w:lang w:val="pt-BR"/>
        </w:rPr>
      </w:pPr>
      <w:r w:rsidRPr="001D5E89">
        <w:rPr>
          <w:color w:val="000000" w:themeColor="text1"/>
          <w:lang w:val="pt-BR"/>
        </w:rPr>
        <w:t xml:space="preserve">Novo estudo com </w:t>
      </w:r>
      <w:r w:rsidR="001D5E89" w:rsidRPr="001D5E89">
        <w:rPr>
          <w:color w:val="000000" w:themeColor="text1"/>
          <w:lang w:val="pt-BR"/>
        </w:rPr>
        <w:t xml:space="preserve">frangos de corte </w:t>
      </w:r>
      <w:r w:rsidRPr="001D5E89">
        <w:rPr>
          <w:color w:val="000000" w:themeColor="text1"/>
          <w:lang w:val="pt-BR"/>
        </w:rPr>
        <w:t>encerra debate de 30 anos em torno da biodisponibilidade de</w:t>
      </w:r>
      <w:r w:rsidR="001D5E89" w:rsidRPr="001D5E89">
        <w:rPr>
          <w:color w:val="000000" w:themeColor="text1"/>
          <w:lang w:val="pt-BR"/>
        </w:rPr>
        <w:t xml:space="preserve"> distintas</w:t>
      </w:r>
      <w:r w:rsidRPr="001D5E89">
        <w:rPr>
          <w:color w:val="000000" w:themeColor="text1"/>
          <w:lang w:val="pt-BR"/>
        </w:rPr>
        <w:t xml:space="preserve"> fontes de metionin</w:t>
      </w:r>
      <w:r w:rsidR="00BA4BE7">
        <w:rPr>
          <w:color w:val="000000" w:themeColor="text1"/>
          <w:lang w:val="pt-BR"/>
        </w:rPr>
        <w:t>a</w:t>
      </w:r>
    </w:p>
    <w:p w:rsidR="004F6611" w:rsidRPr="001D5E89" w:rsidRDefault="004F6611" w:rsidP="004F6611">
      <w:pPr>
        <w:pStyle w:val="Ttulo"/>
        <w:rPr>
          <w:color w:val="000000" w:themeColor="text1"/>
          <w:lang w:val="pt-BR"/>
        </w:rPr>
      </w:pPr>
    </w:p>
    <w:p w:rsidR="004F6611" w:rsidRPr="001D5E89" w:rsidRDefault="004F6611" w:rsidP="004F6611">
      <w:pPr>
        <w:pStyle w:val="Ttulo"/>
        <w:rPr>
          <w:color w:val="000000" w:themeColor="text1"/>
          <w:lang w:val="pt-BR"/>
        </w:rPr>
      </w:pPr>
    </w:p>
    <w:p w:rsidR="004F6611" w:rsidRPr="001D5E89" w:rsidRDefault="004F6611" w:rsidP="004F6611">
      <w:pPr>
        <w:rPr>
          <w:color w:val="000000" w:themeColor="text1"/>
          <w:sz w:val="24"/>
          <w:lang w:val="pt-BR"/>
        </w:rPr>
      </w:pPr>
      <w:r w:rsidRPr="001D5E89">
        <w:rPr>
          <w:color w:val="000000" w:themeColor="text1"/>
          <w:sz w:val="24"/>
          <w:lang w:val="pt-BR"/>
        </w:rPr>
        <w:t xml:space="preserve">Um novo estudo, conduzido </w:t>
      </w:r>
      <w:r w:rsidR="001D5E89" w:rsidRPr="001D5E89">
        <w:rPr>
          <w:color w:val="000000" w:themeColor="text1"/>
          <w:sz w:val="24"/>
          <w:lang w:val="pt-BR"/>
        </w:rPr>
        <w:t>com uma genética moderna de aves</w:t>
      </w:r>
      <w:r w:rsidRPr="001D5E89">
        <w:rPr>
          <w:color w:val="000000" w:themeColor="text1"/>
          <w:sz w:val="24"/>
          <w:lang w:val="pt-BR"/>
        </w:rPr>
        <w:t>, confirmou que a biodisponibilidade de metionina de produtos hidróxi-análogos líquidos (MHA-FA) é de apenas 65%, aproximadamente, em comparação com produtos de DL-metionina (DLM), como o MetAMINO®. Essa conclusão definitiva é coerente com a opinião científica recente</w:t>
      </w:r>
      <w:r w:rsidRPr="001D5E89">
        <w:rPr>
          <w:color w:val="000000" w:themeColor="text1"/>
          <w:sz w:val="24"/>
          <w:vertAlign w:val="superscript"/>
          <w:lang w:val="pt-BR"/>
        </w:rPr>
        <w:t>2</w:t>
      </w:r>
      <w:r w:rsidRPr="001D5E89">
        <w:rPr>
          <w:color w:val="000000" w:themeColor="text1"/>
          <w:sz w:val="24"/>
          <w:lang w:val="pt-BR"/>
        </w:rPr>
        <w:t xml:space="preserve"> da Agência Europeia de Segurança Alimentar (EFSA) e </w:t>
      </w:r>
      <w:r w:rsidR="001D5E89" w:rsidRPr="001D5E89">
        <w:rPr>
          <w:color w:val="000000" w:themeColor="text1"/>
          <w:sz w:val="24"/>
          <w:lang w:val="pt-BR"/>
        </w:rPr>
        <w:t xml:space="preserve">irá </w:t>
      </w:r>
      <w:r w:rsidRPr="001D5E89">
        <w:rPr>
          <w:color w:val="000000" w:themeColor="text1"/>
          <w:sz w:val="24"/>
          <w:lang w:val="pt-BR"/>
        </w:rPr>
        <w:t xml:space="preserve">ajudar os produtores a otimizar os seus custos com alimentação animal.  </w:t>
      </w:r>
    </w:p>
    <w:p w:rsidR="004F6611" w:rsidRPr="001D5E89" w:rsidRDefault="004F6611" w:rsidP="004F6611">
      <w:pPr>
        <w:rPr>
          <w:color w:val="000000" w:themeColor="text1"/>
          <w:lang w:val="pt-BR"/>
        </w:rPr>
      </w:pPr>
    </w:p>
    <w:p w:rsidR="004F6611" w:rsidRPr="001D5E89" w:rsidRDefault="004F6611" w:rsidP="004F6611">
      <w:pPr>
        <w:rPr>
          <w:color w:val="000000" w:themeColor="text1"/>
          <w:lang w:val="pt-BR"/>
        </w:rPr>
      </w:pPr>
    </w:p>
    <w:p w:rsidR="004F6611" w:rsidRPr="001D5E89" w:rsidRDefault="004F6611" w:rsidP="004F6611">
      <w:pPr>
        <w:rPr>
          <w:color w:val="000000" w:themeColor="text1"/>
          <w:lang w:val="pt-BR"/>
        </w:rPr>
      </w:pPr>
      <w:r w:rsidRPr="001D5E89">
        <w:rPr>
          <w:color w:val="000000" w:themeColor="text1"/>
          <w:lang w:val="pt-BR"/>
        </w:rPr>
        <w:t>O estudo</w:t>
      </w:r>
      <w:r w:rsidRPr="001D5E89">
        <w:rPr>
          <w:color w:val="000000" w:themeColor="text1"/>
          <w:vertAlign w:val="superscript"/>
          <w:lang w:val="pt-BR"/>
        </w:rPr>
        <w:t>1</w:t>
      </w:r>
      <w:r w:rsidRPr="001D5E89">
        <w:rPr>
          <w:color w:val="000000" w:themeColor="text1"/>
          <w:lang w:val="pt-BR"/>
        </w:rPr>
        <w:t xml:space="preserve">, conduzido no </w:t>
      </w:r>
      <w:r w:rsidRPr="001D5E89">
        <w:rPr>
          <w:i/>
          <w:color w:val="000000" w:themeColor="text1"/>
          <w:lang w:val="pt-BR"/>
        </w:rPr>
        <w:t>Schothorst Feed Research</w:t>
      </w:r>
      <w:r w:rsidRPr="001D5E89">
        <w:rPr>
          <w:color w:val="000000" w:themeColor="text1"/>
          <w:lang w:val="pt-BR"/>
        </w:rPr>
        <w:t>, na Holanda, mostrou que a biodisponibilidade relativa de MH</w:t>
      </w:r>
      <w:r w:rsidR="001D5E89" w:rsidRPr="001D5E89">
        <w:rPr>
          <w:color w:val="000000" w:themeColor="text1"/>
          <w:lang w:val="pt-BR"/>
        </w:rPr>
        <w:t>A</w:t>
      </w:r>
      <w:r w:rsidRPr="001D5E89">
        <w:rPr>
          <w:color w:val="000000" w:themeColor="text1"/>
          <w:lang w:val="pt-BR"/>
        </w:rPr>
        <w:t xml:space="preserve">-FA e DLM65 </w:t>
      </w:r>
      <w:r w:rsidR="001D5E89" w:rsidRPr="001D5E89">
        <w:rPr>
          <w:color w:val="000000" w:themeColor="text1"/>
          <w:lang w:val="pt-BR"/>
        </w:rPr>
        <w:t xml:space="preserve">(DL-Metionina dilupida a 65%) </w:t>
      </w:r>
      <w:r w:rsidRPr="001D5E89">
        <w:rPr>
          <w:color w:val="000000" w:themeColor="text1"/>
          <w:lang w:val="pt-BR"/>
        </w:rPr>
        <w:t>na comparação com MetAMINO® foi de 65% e 61%, respectivamente.  Todos os valores de biodisponibilidade de MHA-FA ficaram significativamente abaixo do teor da substância ativa no produto</w:t>
      </w:r>
      <w:r w:rsidR="001D5E89" w:rsidRPr="001D5E89">
        <w:rPr>
          <w:color w:val="000000" w:themeColor="text1"/>
          <w:lang w:val="pt-BR"/>
        </w:rPr>
        <w:t xml:space="preserve"> referenciado pelo fabricante</w:t>
      </w:r>
      <w:r w:rsidRPr="001D5E89">
        <w:rPr>
          <w:color w:val="000000" w:themeColor="text1"/>
          <w:lang w:val="pt-BR"/>
        </w:rPr>
        <w:t xml:space="preserve"> de 88%. </w:t>
      </w:r>
    </w:p>
    <w:p w:rsidR="004F6611" w:rsidRPr="001D5E89" w:rsidRDefault="004F6611" w:rsidP="004F6611">
      <w:pPr>
        <w:rPr>
          <w:color w:val="000000" w:themeColor="text1"/>
          <w:lang w:val="pt-BR"/>
        </w:rPr>
      </w:pPr>
    </w:p>
    <w:p w:rsidR="004F6611" w:rsidRPr="001D5E89" w:rsidRDefault="004F6611" w:rsidP="004F6611">
      <w:pPr>
        <w:rPr>
          <w:color w:val="000000" w:themeColor="text1"/>
          <w:lang w:val="pt-BR"/>
        </w:rPr>
      </w:pPr>
      <w:r w:rsidRPr="001D5E89">
        <w:rPr>
          <w:color w:val="000000" w:themeColor="text1"/>
          <w:lang w:val="pt-BR"/>
        </w:rPr>
        <w:t xml:space="preserve">“Esses resultados, que foram obtidos usando </w:t>
      </w:r>
      <w:r w:rsidR="001D5E89" w:rsidRPr="001D5E89">
        <w:rPr>
          <w:color w:val="000000" w:themeColor="text1"/>
          <w:lang w:val="pt-BR"/>
        </w:rPr>
        <w:t>frangos de corte de genética moderna</w:t>
      </w:r>
      <w:r w:rsidRPr="001D5E89">
        <w:rPr>
          <w:color w:val="000000" w:themeColor="text1"/>
          <w:lang w:val="pt-BR"/>
        </w:rPr>
        <w:t xml:space="preserve">, confirmam que a biodisponibilidade de produtos hidróxi-análogos líquidos de metionina – MHA-FA – é de cerca de 65% na comparação com MetAMINO® na base produto a produto”, explicou Dr. Emmanuel Auer, responsável pela linha de negócios Animal Nutrition da Evonik. </w:t>
      </w:r>
    </w:p>
    <w:p w:rsidR="004F6611" w:rsidRPr="001D5E89" w:rsidRDefault="004F6611" w:rsidP="004F6611">
      <w:pPr>
        <w:rPr>
          <w:color w:val="000000" w:themeColor="text1"/>
          <w:lang w:val="pt-BR"/>
        </w:rPr>
      </w:pPr>
    </w:p>
    <w:p w:rsidR="004F6611" w:rsidRPr="001D5E89" w:rsidRDefault="004F6611" w:rsidP="004F6611">
      <w:pPr>
        <w:rPr>
          <w:color w:val="000000" w:themeColor="text1"/>
          <w:lang w:val="pt-BR"/>
        </w:rPr>
      </w:pPr>
      <w:r w:rsidRPr="001D5E89">
        <w:rPr>
          <w:color w:val="000000" w:themeColor="text1"/>
          <w:lang w:val="pt-BR"/>
        </w:rPr>
        <w:t xml:space="preserve">“Esses números são consistentes com a opinião científica de 2018 da EFSA de 66% em base de produto, e é importante que os produtores levem isso em conta se o objetivo é otimizar os seus alimentos para animais e obter a melhor relação custo-benefício”. </w:t>
      </w:r>
    </w:p>
    <w:p w:rsidR="004F6611" w:rsidRPr="001D5E89" w:rsidRDefault="004F6611" w:rsidP="004F6611">
      <w:pPr>
        <w:rPr>
          <w:color w:val="000000" w:themeColor="text1"/>
          <w:lang w:val="pt-BR"/>
        </w:rPr>
      </w:pPr>
    </w:p>
    <w:p w:rsidR="004F6611" w:rsidRPr="001D5E89" w:rsidRDefault="004F6611" w:rsidP="004F6611">
      <w:pPr>
        <w:rPr>
          <w:color w:val="000000" w:themeColor="text1"/>
          <w:lang w:val="pt-BR"/>
        </w:rPr>
      </w:pPr>
      <w:r w:rsidRPr="001D5E89">
        <w:rPr>
          <w:color w:val="000000" w:themeColor="text1"/>
          <w:lang w:val="pt-BR"/>
        </w:rPr>
        <w:t xml:space="preserve">Embora os produtos de DL-metionina sejam usados na maioria dos mercados avícolas globais, cerca de um terço dos produtores usa produtos análogos, sobretudo na forma líquida com ácidos </w:t>
      </w:r>
      <w:r w:rsidRPr="001D5E89">
        <w:rPr>
          <w:color w:val="000000" w:themeColor="text1"/>
          <w:lang w:val="pt-BR"/>
        </w:rPr>
        <w:lastRenderedPageBreak/>
        <w:t xml:space="preserve">livres (MHA-FA). “Ainda que esses produtos tenham um teor ativo de 88%, a pesquisa mostra que só uma parcela desse teor está biologicamente disponível – por isso, os produtores devem estar cientes desse fato ao formularem as suas dietas”.    </w:t>
      </w:r>
    </w:p>
    <w:p w:rsidR="004F6611" w:rsidRPr="001D5E89" w:rsidRDefault="004F6611" w:rsidP="004F6611">
      <w:pPr>
        <w:rPr>
          <w:color w:val="000000" w:themeColor="text1"/>
          <w:lang w:val="pt-BR"/>
        </w:rPr>
      </w:pPr>
    </w:p>
    <w:p w:rsidR="004F6611" w:rsidRPr="001D5E89" w:rsidRDefault="004F6611" w:rsidP="004F6611">
      <w:pPr>
        <w:rPr>
          <w:color w:val="000000" w:themeColor="text1"/>
          <w:lang w:val="pt-BR"/>
        </w:rPr>
      </w:pPr>
      <w:r w:rsidRPr="001D5E89">
        <w:rPr>
          <w:color w:val="000000" w:themeColor="text1"/>
          <w:lang w:val="pt-BR"/>
        </w:rPr>
        <w:t>Os dados de desempenho do estudo também confirmaram que todas as melhoras obtidas com MetAMINO®, MH</w:t>
      </w:r>
      <w:r w:rsidR="001D5E89" w:rsidRPr="001D5E89">
        <w:rPr>
          <w:color w:val="000000" w:themeColor="text1"/>
          <w:lang w:val="pt-BR"/>
        </w:rPr>
        <w:t>A</w:t>
      </w:r>
      <w:r w:rsidRPr="001D5E89">
        <w:rPr>
          <w:color w:val="000000" w:themeColor="text1"/>
          <w:lang w:val="pt-BR"/>
        </w:rPr>
        <w:t xml:space="preserve">-FA e DLM65 à dose mais alta atingiram um platô comum, onde não se perceberam diferenças significativas entre eles.   </w:t>
      </w:r>
    </w:p>
    <w:p w:rsidR="004F6611" w:rsidRPr="001D5E89" w:rsidRDefault="004F6611" w:rsidP="004F6611">
      <w:pPr>
        <w:rPr>
          <w:color w:val="000000" w:themeColor="text1"/>
          <w:lang w:val="pt-BR"/>
        </w:rPr>
      </w:pPr>
    </w:p>
    <w:p w:rsidR="004F6611" w:rsidRPr="001D5E89" w:rsidRDefault="004F6611" w:rsidP="004F6611">
      <w:pPr>
        <w:rPr>
          <w:color w:val="000000" w:themeColor="text1"/>
          <w:lang w:val="pt-BR"/>
        </w:rPr>
      </w:pPr>
      <w:r w:rsidRPr="001D5E89">
        <w:rPr>
          <w:color w:val="000000" w:themeColor="text1"/>
          <w:lang w:val="pt-BR"/>
        </w:rPr>
        <w:t>“Esses resultados deixam claro que a biodisponibilidade poderia ser interpretada de maneira equivocada quando baseada em dados dessa parte da curva dose-resposta”, disse Auer. “É necessário realizar a análise de regressão multiexponencial d</w:t>
      </w:r>
      <w:r w:rsidR="001D5E89" w:rsidRPr="001D5E89">
        <w:rPr>
          <w:color w:val="000000" w:themeColor="text1"/>
          <w:lang w:val="pt-BR"/>
        </w:rPr>
        <w:t>os</w:t>
      </w:r>
      <w:r w:rsidRPr="001D5E89">
        <w:rPr>
          <w:color w:val="000000" w:themeColor="text1"/>
          <w:lang w:val="pt-BR"/>
        </w:rPr>
        <w:t xml:space="preserve"> dados do estudo dose-resposta para determinar a biodisponibilidade de metionina e outros nutrientes. A validade desse método foi confirmada pelo novo estudo”.</w:t>
      </w:r>
    </w:p>
    <w:p w:rsidR="004F6611" w:rsidRPr="001D5E89" w:rsidRDefault="004F6611" w:rsidP="004F6611">
      <w:pPr>
        <w:rPr>
          <w:b/>
          <w:color w:val="000000" w:themeColor="text1"/>
          <w:lang w:val="pt-BR"/>
        </w:rPr>
      </w:pPr>
    </w:p>
    <w:p w:rsidR="004F6611" w:rsidRPr="001D5E89" w:rsidRDefault="004F6611" w:rsidP="004F6611">
      <w:pPr>
        <w:rPr>
          <w:color w:val="000000" w:themeColor="text1"/>
          <w:lang w:val="pt-BR"/>
        </w:rPr>
      </w:pPr>
      <w:r w:rsidRPr="001D5E89">
        <w:rPr>
          <w:color w:val="000000" w:themeColor="text1"/>
          <w:lang w:val="pt-BR"/>
        </w:rPr>
        <w:t xml:space="preserve">O estudo abrangeu 1.920 frangos de corte que receberam dietas iniciais (0 a 11 dias), crescimento (11 a 28 dias) e terminação (28 a 35 dias) com diferentes teores de metionina. Cada grupo de 120 aves recebeu MetAMINO®, MHA-FA ou DLM65 (MetAMINO® diluído com amido para um teor de metionina de 65%) em cinco níveis diferentes (de 0,4 a 3 g/kg). Um grupo basal de 120 aves não recebeu nenhuma metionina adicional. O desempenho de crescimento foi avaliado em cada fase e a avaliação da carcaça realizada no dia 35.  </w:t>
      </w:r>
    </w:p>
    <w:p w:rsidR="004F6611" w:rsidRPr="001D5E89" w:rsidRDefault="004F6611" w:rsidP="004F6611">
      <w:pPr>
        <w:rPr>
          <w:color w:val="000000" w:themeColor="text1"/>
          <w:lang w:val="pt-BR"/>
        </w:rPr>
      </w:pPr>
    </w:p>
    <w:p w:rsidR="004F6611" w:rsidRPr="001D5E89" w:rsidRDefault="004F6611" w:rsidP="004F6611">
      <w:pPr>
        <w:rPr>
          <w:color w:val="000000" w:themeColor="text1"/>
          <w:lang w:val="pt-BR"/>
        </w:rPr>
      </w:pPr>
      <w:r w:rsidRPr="001D5E89">
        <w:rPr>
          <w:color w:val="000000" w:themeColor="text1"/>
          <w:lang w:val="pt-BR"/>
        </w:rPr>
        <w:t xml:space="preserve">Os resultados mostraram que o aumento das doses de todos os três produtos de metionina (MetAMINO®, MHA-FA e DLM65) foi associado a um melhor desempenho em crescimento e rendimento da carcaça na comparação com a dieta basal. O suplemento de metionina mais alto (3 g/kg) melhorou o </w:t>
      </w:r>
      <w:r w:rsidR="001D5E89" w:rsidRPr="001D5E89">
        <w:rPr>
          <w:color w:val="000000" w:themeColor="text1"/>
          <w:lang w:val="pt-BR"/>
        </w:rPr>
        <w:t>GP</w:t>
      </w:r>
      <w:r w:rsidRPr="001D5E89">
        <w:rPr>
          <w:color w:val="000000" w:themeColor="text1"/>
          <w:lang w:val="pt-BR"/>
        </w:rPr>
        <w:t xml:space="preserve"> (ganho de peso corporal) em 70, 67 e 70% e reduziu a </w:t>
      </w:r>
      <w:r w:rsidR="001D5E89" w:rsidRPr="001D5E89">
        <w:rPr>
          <w:color w:val="000000" w:themeColor="text1"/>
          <w:lang w:val="pt-BR"/>
        </w:rPr>
        <w:t xml:space="preserve">CA </w:t>
      </w:r>
      <w:r w:rsidRPr="001D5E89">
        <w:rPr>
          <w:color w:val="000000" w:themeColor="text1"/>
          <w:lang w:val="pt-BR"/>
        </w:rPr>
        <w:t xml:space="preserve">(taxa de conversão alimentar) em 22, 22 e 23% com MetAMINO®, MHA-FA e DLM65, respectivamente. De modo similar, o rendimento da carcaça melhorou 13, 11 e 13% e o rendimento da carne de peito </w:t>
      </w:r>
      <w:r w:rsidRPr="001D5E89">
        <w:rPr>
          <w:color w:val="000000" w:themeColor="text1"/>
          <w:lang w:val="pt-BR"/>
        </w:rPr>
        <w:lastRenderedPageBreak/>
        <w:t xml:space="preserve">(como percentual do peso corporal) melhorou 62, 60 e 63% com MetAMINO®, MHA-FA e DLM65, respectivamente. </w:t>
      </w:r>
    </w:p>
    <w:p w:rsidR="004F6611" w:rsidRPr="001D5E89" w:rsidRDefault="004F6611" w:rsidP="004F6611">
      <w:pPr>
        <w:rPr>
          <w:color w:val="000000" w:themeColor="text1"/>
          <w:lang w:val="pt-BR"/>
        </w:rPr>
      </w:pPr>
    </w:p>
    <w:p w:rsidR="004F6611" w:rsidRDefault="004F6611" w:rsidP="004F6611">
      <w:pPr>
        <w:rPr>
          <w:lang w:val="pt-BR"/>
        </w:rPr>
      </w:pPr>
      <w:bookmarkStart w:id="0" w:name="WfTarget"/>
      <w:r w:rsidRPr="001D5E89">
        <w:rPr>
          <w:color w:val="000000" w:themeColor="text1"/>
          <w:lang w:val="pt-BR"/>
        </w:rPr>
        <w:t>Análises estatísticas adicionais dos dados mostraram que a eficácia do MHA-FA em comparação com o MetAMINO foi de apenas 58% para ganho de peso (</w:t>
      </w:r>
      <w:r w:rsidR="001D5E89" w:rsidRPr="001D5E89">
        <w:rPr>
          <w:color w:val="000000" w:themeColor="text1"/>
          <w:lang w:val="pt-BR"/>
        </w:rPr>
        <w:t>GP</w:t>
      </w:r>
      <w:r w:rsidRPr="001D5E89">
        <w:rPr>
          <w:color w:val="000000" w:themeColor="text1"/>
          <w:lang w:val="pt-BR"/>
        </w:rPr>
        <w:t>), 66% para taxa de conversão alimentar (</w:t>
      </w:r>
      <w:r w:rsidR="001D5E89" w:rsidRPr="001D5E89">
        <w:rPr>
          <w:color w:val="000000" w:themeColor="text1"/>
          <w:lang w:val="pt-BR"/>
        </w:rPr>
        <w:t>CAR</w:t>
      </w:r>
      <w:r w:rsidRPr="001D5E89">
        <w:rPr>
          <w:color w:val="000000" w:themeColor="text1"/>
          <w:lang w:val="pt-BR"/>
        </w:rPr>
        <w:t>) e 62% para índice</w:t>
      </w:r>
      <w:r w:rsidR="001D5E89" w:rsidRPr="001D5E89">
        <w:rPr>
          <w:color w:val="000000" w:themeColor="text1"/>
          <w:lang w:val="pt-BR"/>
        </w:rPr>
        <w:t xml:space="preserve"> europeu de produção (IEP)</w:t>
      </w:r>
      <w:r w:rsidRPr="001D5E89">
        <w:rPr>
          <w:color w:val="000000" w:themeColor="text1"/>
          <w:lang w:val="pt-BR"/>
        </w:rPr>
        <w:t xml:space="preserve">. </w:t>
      </w:r>
      <w:r w:rsidRPr="00F0515F">
        <w:rPr>
          <w:color w:val="FF0000"/>
          <w:lang w:val="pt-BR"/>
        </w:rPr>
        <w:br/>
      </w:r>
    </w:p>
    <w:p w:rsidR="004F6611" w:rsidRDefault="004F6611" w:rsidP="004F6611">
      <w:pPr>
        <w:spacing w:line="240" w:lineRule="exact"/>
        <w:rPr>
          <w:lang w:val="pt-BR"/>
        </w:rPr>
      </w:pPr>
    </w:p>
    <w:p w:rsidR="004F6611" w:rsidRDefault="004F6611" w:rsidP="004F6611">
      <w:pPr>
        <w:spacing w:line="240" w:lineRule="exact"/>
        <w:rPr>
          <w:lang w:val="pt-BR"/>
        </w:rPr>
      </w:pPr>
    </w:p>
    <w:p w:rsidR="004F6611" w:rsidRPr="00F0515F" w:rsidRDefault="004F6611" w:rsidP="004F6611">
      <w:pPr>
        <w:spacing w:line="240" w:lineRule="exact"/>
        <w:rPr>
          <w:lang w:val="pt-BR"/>
        </w:rPr>
      </w:pPr>
      <w:r w:rsidRPr="00F0515F">
        <w:rPr>
          <w:lang w:val="pt-BR"/>
        </w:rPr>
        <w:t>Referências:</w:t>
      </w:r>
      <w:bookmarkEnd w:id="0"/>
    </w:p>
    <w:p w:rsidR="004F6611" w:rsidRPr="00F0515F" w:rsidRDefault="004F6611" w:rsidP="004F6611">
      <w:pPr>
        <w:rPr>
          <w:lang w:val="pt-BR"/>
        </w:rPr>
      </w:pPr>
    </w:p>
    <w:p w:rsidR="004F6611" w:rsidRPr="00F0515F" w:rsidRDefault="004F6611" w:rsidP="004F6611">
      <w:pPr>
        <w:rPr>
          <w:lang w:val="pt-BR"/>
        </w:rPr>
      </w:pPr>
      <w:r w:rsidRPr="00F0515F">
        <w:rPr>
          <w:lang w:val="pt-BR"/>
        </w:rPr>
        <w:t xml:space="preserve">1. Biodisponibilidade de dl-metionina hidróxi análoga em comparação à dl-metionina e validação da abordagem de regressão multiexponencial mediante o uso de dl-metionina 65% diluição em frangos, 2018, </w:t>
      </w:r>
      <w:r w:rsidRPr="00F0515F">
        <w:rPr>
          <w:i/>
          <w:lang w:val="pt-BR"/>
        </w:rPr>
        <w:t>Poultry Science Association 107th Annual Meeting Abstracts, #242.</w:t>
      </w:r>
    </w:p>
    <w:p w:rsidR="004F6611" w:rsidRPr="00F0515F" w:rsidRDefault="004F6611" w:rsidP="004F6611">
      <w:pPr>
        <w:rPr>
          <w:lang w:val="pt-BR"/>
        </w:rPr>
      </w:pPr>
    </w:p>
    <w:p w:rsidR="004F6611" w:rsidRPr="00F0515F" w:rsidRDefault="004F6611" w:rsidP="004F6611">
      <w:pPr>
        <w:rPr>
          <w:lang w:val="pt-BR"/>
        </w:rPr>
      </w:pPr>
      <w:r w:rsidRPr="00F0515F">
        <w:rPr>
          <w:lang w:val="pt-BR"/>
        </w:rPr>
        <w:t>2. Agência Europeia de Segurança Alimentar (EFSA), 2018: segurança e eficácia de hidróxi análogos de metionina e seu sal de cálcio (ADRY+</w:t>
      </w:r>
      <w:r w:rsidRPr="00F0515F">
        <w:rPr>
          <w:lang w:val="pt-BR"/>
        </w:rPr>
        <w:sym w:font="Symbol" w:char="F0E2"/>
      </w:r>
      <w:r w:rsidRPr="00F0515F">
        <w:rPr>
          <w:lang w:val="pt-BR"/>
        </w:rPr>
        <w:t>) para todas as espécies animais, EFSA Journal 16 (3): 5198.</w:t>
      </w:r>
    </w:p>
    <w:p w:rsidR="004F6611" w:rsidRPr="00F0515F" w:rsidRDefault="004F6611" w:rsidP="004F6611">
      <w:pPr>
        <w:rPr>
          <w:lang w:val="pt-BR"/>
        </w:rPr>
      </w:pPr>
    </w:p>
    <w:p w:rsidR="00A6132F" w:rsidRDefault="00A6132F" w:rsidP="00A6132F">
      <w:pPr>
        <w:rPr>
          <w:lang w:val="pt-BR"/>
        </w:rPr>
      </w:pPr>
    </w:p>
    <w:p w:rsidR="002C4900" w:rsidRPr="00BD6CA1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bookmarkStart w:id="1" w:name="_GoBack"/>
      <w:bookmarkEnd w:id="1"/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Pr="00B07799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Sobre Nutrition &amp; Care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O segmento Nutrition &amp; Care, dirigido pela Evonik Nutrition &amp; Care GmbH,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DD5467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DD5467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DD5467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2C4900" w:rsidRPr="00DD5467" w:rsidRDefault="00DD5467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2C4900" w:rsidRPr="00DD5467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2C4900" w:rsidRPr="00DD5467" w:rsidRDefault="00DD5467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2C4900" w:rsidRPr="00DD5467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2C4900" w:rsidRPr="00DD5467" w:rsidRDefault="002C4900" w:rsidP="002C4900">
      <w:pPr>
        <w:spacing w:line="240" w:lineRule="auto"/>
        <w:rPr>
          <w:sz w:val="18"/>
          <w:szCs w:val="18"/>
          <w:lang w:val="pt-BR"/>
        </w:rPr>
      </w:pPr>
    </w:p>
    <w:p w:rsidR="002C4900" w:rsidRPr="00DD5467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2C4900" w:rsidRPr="00DD5467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1D5E8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1D5E89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29" w:history="1">
        <w:r w:rsidRPr="001D5E89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67" w:rsidRDefault="00DD5467">
      <w:pPr>
        <w:spacing w:line="240" w:lineRule="auto"/>
      </w:pPr>
      <w:r>
        <w:separator/>
      </w:r>
    </w:p>
  </w:endnote>
  <w:endnote w:type="continuationSeparator" w:id="0">
    <w:p w:rsidR="00DD5467" w:rsidRDefault="00DD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467" w:rsidRDefault="00DD5467">
    <w:pPr>
      <w:pStyle w:val="Rodap"/>
    </w:pPr>
  </w:p>
  <w:p w:rsidR="00DD5467" w:rsidRDefault="00DD5467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D710C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D710C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DD5467" w:rsidRDefault="00DD54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467" w:rsidRDefault="00DD5467" w:rsidP="00E86FBC">
    <w:pPr>
      <w:pStyle w:val="Rodap"/>
    </w:pPr>
  </w:p>
  <w:p w:rsidR="00DD5467" w:rsidRPr="005225EC" w:rsidRDefault="00DD5467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BD710C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BD710C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DD5467" w:rsidRDefault="00DD5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67" w:rsidRDefault="00DD5467">
      <w:pPr>
        <w:spacing w:line="240" w:lineRule="auto"/>
      </w:pPr>
      <w:r>
        <w:separator/>
      </w:r>
    </w:p>
  </w:footnote>
  <w:footnote w:type="continuationSeparator" w:id="0">
    <w:p w:rsidR="00DD5467" w:rsidRDefault="00DD54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467" w:rsidRPr="003F4CD0" w:rsidRDefault="00DD5467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5467" w:rsidRDefault="00DD54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467" w:rsidRPr="003F4CD0" w:rsidRDefault="00DD5467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5467" w:rsidRDefault="00DD54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440B1"/>
    <w:rsid w:val="00050A5C"/>
    <w:rsid w:val="00056FCD"/>
    <w:rsid w:val="00062A36"/>
    <w:rsid w:val="00064562"/>
    <w:rsid w:val="00066BAA"/>
    <w:rsid w:val="00070F02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4603"/>
    <w:rsid w:val="000D73B5"/>
    <w:rsid w:val="00103384"/>
    <w:rsid w:val="0011505A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1D5E89"/>
    <w:rsid w:val="0020428A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76A9B"/>
    <w:rsid w:val="00282202"/>
    <w:rsid w:val="00291370"/>
    <w:rsid w:val="00293D83"/>
    <w:rsid w:val="002954EA"/>
    <w:rsid w:val="002A51A0"/>
    <w:rsid w:val="002B77C1"/>
    <w:rsid w:val="002C4900"/>
    <w:rsid w:val="002D484A"/>
    <w:rsid w:val="003017C6"/>
    <w:rsid w:val="00306E45"/>
    <w:rsid w:val="00317068"/>
    <w:rsid w:val="003278CB"/>
    <w:rsid w:val="00340FC9"/>
    <w:rsid w:val="00396513"/>
    <w:rsid w:val="003979BC"/>
    <w:rsid w:val="003A7CF5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3461"/>
    <w:rsid w:val="00424C10"/>
    <w:rsid w:val="00426A0F"/>
    <w:rsid w:val="004431C4"/>
    <w:rsid w:val="0044748F"/>
    <w:rsid w:val="00462E02"/>
    <w:rsid w:val="00471286"/>
    <w:rsid w:val="00480576"/>
    <w:rsid w:val="004C3FA2"/>
    <w:rsid w:val="004D699C"/>
    <w:rsid w:val="004D7D98"/>
    <w:rsid w:val="004E6C6A"/>
    <w:rsid w:val="004F05FF"/>
    <w:rsid w:val="004F0FF6"/>
    <w:rsid w:val="004F6611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B5214"/>
    <w:rsid w:val="006B5250"/>
    <w:rsid w:val="006E2C11"/>
    <w:rsid w:val="006F00F2"/>
    <w:rsid w:val="006F26E8"/>
    <w:rsid w:val="006F781D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2156"/>
    <w:rsid w:val="007D4510"/>
    <w:rsid w:val="00805DF4"/>
    <w:rsid w:val="008061E8"/>
    <w:rsid w:val="0081520B"/>
    <w:rsid w:val="008461CF"/>
    <w:rsid w:val="00855623"/>
    <w:rsid w:val="00895147"/>
    <w:rsid w:val="008C0F44"/>
    <w:rsid w:val="008C63EE"/>
    <w:rsid w:val="008C7023"/>
    <w:rsid w:val="008D595B"/>
    <w:rsid w:val="008E232D"/>
    <w:rsid w:val="00903CD2"/>
    <w:rsid w:val="00904B03"/>
    <w:rsid w:val="00931B26"/>
    <w:rsid w:val="00941254"/>
    <w:rsid w:val="00965965"/>
    <w:rsid w:val="00982C18"/>
    <w:rsid w:val="00987AAE"/>
    <w:rsid w:val="00995F9F"/>
    <w:rsid w:val="009B1636"/>
    <w:rsid w:val="009B4DD6"/>
    <w:rsid w:val="009E075E"/>
    <w:rsid w:val="00A0506A"/>
    <w:rsid w:val="00A0682E"/>
    <w:rsid w:val="00A11C7D"/>
    <w:rsid w:val="00A1624A"/>
    <w:rsid w:val="00A45E8E"/>
    <w:rsid w:val="00A50BF2"/>
    <w:rsid w:val="00A50FA0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554A9"/>
    <w:rsid w:val="00B56C7E"/>
    <w:rsid w:val="00B62F5A"/>
    <w:rsid w:val="00B82754"/>
    <w:rsid w:val="00B83EF5"/>
    <w:rsid w:val="00B93746"/>
    <w:rsid w:val="00BA4ACC"/>
    <w:rsid w:val="00BA4BE7"/>
    <w:rsid w:val="00BC1D4E"/>
    <w:rsid w:val="00BC585D"/>
    <w:rsid w:val="00BD2DBB"/>
    <w:rsid w:val="00BD6CA1"/>
    <w:rsid w:val="00BD710C"/>
    <w:rsid w:val="00BF44EC"/>
    <w:rsid w:val="00C15CFD"/>
    <w:rsid w:val="00C220B4"/>
    <w:rsid w:val="00C268B8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0277B"/>
    <w:rsid w:val="00D2562E"/>
    <w:rsid w:val="00D422D2"/>
    <w:rsid w:val="00D50A6A"/>
    <w:rsid w:val="00D6233C"/>
    <w:rsid w:val="00D67F0D"/>
    <w:rsid w:val="00D7093A"/>
    <w:rsid w:val="00D779E1"/>
    <w:rsid w:val="00DA0A78"/>
    <w:rsid w:val="00DA7DFF"/>
    <w:rsid w:val="00DB720B"/>
    <w:rsid w:val="00DD5467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9015B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C803A-4935-4433-A00B-8F4A1031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E0FE0AB</Template>
  <TotalTime>25</TotalTime>
  <Pages>4</Pages>
  <Words>1154</Words>
  <Characters>6235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Estudo biodisponibilidade de metionina</dc:subject>
  <dc:creator>Taís Augusto</dc:creator>
  <cp:keywords/>
  <dc:description>Setembro/2018</dc:description>
  <cp:lastModifiedBy>Minami, Livia</cp:lastModifiedBy>
  <cp:revision>3</cp:revision>
  <dcterms:created xsi:type="dcterms:W3CDTF">2018-10-09T13:02:00Z</dcterms:created>
  <dcterms:modified xsi:type="dcterms:W3CDTF">2018-10-26T18:05:00Z</dcterms:modified>
</cp:coreProperties>
</file>