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2001FC" w14:paraId="75ADB13F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657D58A3" w14:textId="77777777" w:rsidR="00FD0E10" w:rsidRPr="00B07799" w:rsidRDefault="000E4D6D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504E3E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C1545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14BE55E9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F28650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7178D85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6D9CF4B7" w14:textId="5C0AAEFB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 w:rsidR="002001FC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a</w:t>
            </w: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14:paraId="396502AC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7324536D" w14:textId="77777777"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53A17FB9" w14:textId="77777777" w:rsidR="00FD0E10" w:rsidRPr="00B07799" w:rsidRDefault="002001FC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2001FC" w14:paraId="21A0DC9A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2375C44F" w14:textId="77777777"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7F8DF71" w14:textId="77777777"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333BBED0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1613F440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68E080E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61D7BB87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C421DF5" w14:textId="77777777" w:rsidR="00FD0E10" w:rsidRPr="00B07799" w:rsidRDefault="002001FC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7F8419C4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9DD6546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D82E5A8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71B10C7C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38E291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1588F59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D80056E" w14:textId="3A052CFB" w:rsidR="00CF4214" w:rsidRPr="006B7EE8" w:rsidRDefault="00CF4214" w:rsidP="00CF4214">
      <w:pPr>
        <w:pStyle w:val="Ttulo"/>
        <w:rPr>
          <w:b w:val="0"/>
          <w:color w:val="000000" w:themeColor="text1"/>
          <w:lang w:val="pt-BR"/>
        </w:rPr>
      </w:pPr>
      <w:r w:rsidRPr="00B96778">
        <w:rPr>
          <w:lang w:val="pt-BR"/>
        </w:rPr>
        <w:t xml:space="preserve">Resultados preliminares do segundo trimestre excedem expectativas </w:t>
      </w:r>
      <w:r>
        <w:rPr>
          <w:lang w:val="pt-BR"/>
        </w:rPr>
        <w:t>e</w:t>
      </w:r>
      <w:r w:rsidRPr="00B96778">
        <w:rPr>
          <w:lang w:val="pt-BR"/>
        </w:rPr>
        <w:t xml:space="preserve"> perspectiva para o ano inteiro melhora </w:t>
      </w:r>
    </w:p>
    <w:p w14:paraId="035CF401" w14:textId="77777777" w:rsidR="00CF4214" w:rsidRPr="006B7EE8" w:rsidRDefault="00CF4214" w:rsidP="00CF4214">
      <w:pPr>
        <w:pStyle w:val="Ttulo"/>
        <w:rPr>
          <w:lang w:val="pt-BR"/>
        </w:rPr>
      </w:pPr>
    </w:p>
    <w:p w14:paraId="20096FD4" w14:textId="77777777" w:rsidR="00CF4214" w:rsidRPr="006B7EE8" w:rsidRDefault="00CF4214" w:rsidP="00CF4214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B96778">
        <w:rPr>
          <w:sz w:val="24"/>
          <w:lang w:val="pt-BR"/>
        </w:rPr>
        <w:t xml:space="preserve">Vendas cresceram 7% para 3,9 bilhões de euros.  </w:t>
      </w:r>
    </w:p>
    <w:p w14:paraId="2513EAF7" w14:textId="77777777" w:rsidR="00CF4214" w:rsidRPr="006B7EE8" w:rsidRDefault="00CF4214" w:rsidP="00CF4214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B96778">
        <w:rPr>
          <w:sz w:val="24"/>
          <w:lang w:val="pt-BR"/>
        </w:rPr>
        <w:t>EBITDA ajustado subiu 16% para 742 milhões de euros.</w:t>
      </w:r>
    </w:p>
    <w:p w14:paraId="0829BC22" w14:textId="77777777" w:rsidR="00CF4214" w:rsidRDefault="00CF4214" w:rsidP="00CF4214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B96778">
        <w:rPr>
          <w:sz w:val="24"/>
          <w:lang w:val="pt-BR"/>
        </w:rPr>
        <w:t xml:space="preserve">Perspectivas para o FY 2018 melhoram: EBITDA ajustado </w:t>
      </w:r>
      <w:r>
        <w:rPr>
          <w:sz w:val="24"/>
          <w:lang w:val="pt-BR"/>
        </w:rPr>
        <w:t>d</w:t>
      </w:r>
      <w:r w:rsidRPr="00B96778">
        <w:rPr>
          <w:sz w:val="24"/>
          <w:lang w:val="pt-BR"/>
        </w:rPr>
        <w:t>eve ficar entre 2,6 e 2,65 bilhões de euros</w:t>
      </w:r>
    </w:p>
    <w:p w14:paraId="442312E2" w14:textId="77777777" w:rsidR="00CF4214" w:rsidRPr="006B7EE8" w:rsidRDefault="00CF4214" w:rsidP="00CF4214">
      <w:pPr>
        <w:pStyle w:val="msolistparagraph0"/>
        <w:tabs>
          <w:tab w:val="num" w:pos="2204"/>
        </w:tabs>
        <w:spacing w:line="276" w:lineRule="auto"/>
        <w:ind w:left="284"/>
        <w:rPr>
          <w:sz w:val="24"/>
          <w:lang w:val="pt-BR"/>
        </w:rPr>
      </w:pPr>
    </w:p>
    <w:p w14:paraId="10983A3A" w14:textId="2D8A1F80" w:rsidR="00CF4214" w:rsidRPr="006B7EE8" w:rsidRDefault="00CF4214" w:rsidP="00CF4214">
      <w:pPr>
        <w:rPr>
          <w:color w:val="000000" w:themeColor="text1"/>
          <w:lang w:val="pt-BR"/>
        </w:rPr>
      </w:pPr>
      <w:r w:rsidRPr="00B96778">
        <w:rPr>
          <w:szCs w:val="22"/>
          <w:lang w:val="pt-BR"/>
        </w:rPr>
        <w:t>A Evonik aumentou o EBITDA ajustado do segundo trimestre de 2018 para 742 milhões de euros (exercício anterior: 640 milhões de euros).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Todos os três segmentos químicos contribuíram para esse aumento considerável com seus excelentes avanços no negócio operacional. </w:t>
      </w:r>
      <w:r w:rsidRPr="00B96778">
        <w:rPr>
          <w:lang w:val="pt-BR"/>
        </w:rPr>
        <w:t xml:space="preserve">Todos conseguiram aumentar o EBITDA ajustado e a margem EBITDA na comparação com o mesmo trimestre do exercício anterior. </w:t>
      </w:r>
    </w:p>
    <w:p w14:paraId="3AFE798B" w14:textId="77777777" w:rsidR="00CF4214" w:rsidRPr="006B7EE8" w:rsidRDefault="00CF4214" w:rsidP="00CF4214">
      <w:pPr>
        <w:rPr>
          <w:color w:val="000000" w:themeColor="text1"/>
          <w:lang w:val="pt-BR"/>
        </w:rPr>
      </w:pPr>
    </w:p>
    <w:p w14:paraId="6A20C7AB" w14:textId="77777777" w:rsidR="002001FC" w:rsidRDefault="00CF4214" w:rsidP="00CF4214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  <w:r w:rsidRPr="00B96778">
        <w:rPr>
          <w:color w:val="auto"/>
          <w:sz w:val="22"/>
          <w:szCs w:val="22"/>
          <w:lang w:val="pt-BR"/>
        </w:rPr>
        <w:t>As vendas aumentaram para 3,9 bilhões de euros no segundo trimestre (exercício anterior:</w:t>
      </w:r>
      <w:r w:rsidRPr="006B7EE8">
        <w:rPr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 xml:space="preserve">3,6 bilhões de euros), principalmente devido ao aumento nos volumes de venda e nos preços de venda. </w:t>
      </w:r>
      <w:r w:rsidRPr="006B7EE8">
        <w:rPr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 xml:space="preserve">O lucro líquido ajustado ficou em 354 milhões de euros, o que </w:t>
      </w:r>
      <w:r w:rsidRPr="00F46F63">
        <w:rPr>
          <w:color w:val="auto"/>
          <w:sz w:val="22"/>
          <w:szCs w:val="22"/>
          <w:lang w:val="pt-BR"/>
        </w:rPr>
        <w:t xml:space="preserve">corresponde a um lucro ajustado por ação de 0,76 euro. </w:t>
      </w:r>
      <w:bookmarkStart w:id="0" w:name="_Hlk519691259"/>
      <w:r w:rsidRPr="00F46F63">
        <w:rPr>
          <w:color w:val="auto"/>
          <w:sz w:val="22"/>
          <w:szCs w:val="22"/>
          <w:lang w:val="pt-BR"/>
        </w:rPr>
        <w:t xml:space="preserve">A </w:t>
      </w:r>
      <w:r w:rsidRPr="00B96778">
        <w:rPr>
          <w:color w:val="auto"/>
          <w:sz w:val="22"/>
          <w:szCs w:val="22"/>
          <w:lang w:val="pt-BR"/>
        </w:rPr>
        <w:t xml:space="preserve">margem EBITDA ajustada aumentou para 19,2%, ficando 1,5 ponto percentual acima </w:t>
      </w:r>
      <w:r w:rsidR="00F46F63">
        <w:rPr>
          <w:color w:val="auto"/>
          <w:sz w:val="22"/>
          <w:szCs w:val="22"/>
          <w:lang w:val="pt-BR"/>
        </w:rPr>
        <w:t>do registrado no</w:t>
      </w:r>
      <w:r w:rsidRPr="00B96778">
        <w:rPr>
          <w:color w:val="auto"/>
          <w:sz w:val="22"/>
          <w:szCs w:val="22"/>
          <w:lang w:val="pt-BR"/>
        </w:rPr>
        <w:t xml:space="preserve"> mesmo período do exercício anterior. </w:t>
      </w:r>
      <w:r w:rsidRPr="006B7EE8">
        <w:rPr>
          <w:color w:val="000000" w:themeColor="text1"/>
          <w:sz w:val="22"/>
          <w:szCs w:val="22"/>
          <w:lang w:val="pt-BR"/>
        </w:rPr>
        <w:br/>
      </w:r>
      <w:r w:rsidRPr="006B7EE8">
        <w:rPr>
          <w:color w:val="000000" w:themeColor="text1"/>
          <w:sz w:val="22"/>
          <w:szCs w:val="22"/>
          <w:lang w:val="pt-BR"/>
        </w:rPr>
        <w:br/>
      </w:r>
      <w:bookmarkEnd w:id="0"/>
      <w:r w:rsidRPr="00B96778">
        <w:rPr>
          <w:color w:val="auto"/>
          <w:sz w:val="22"/>
          <w:lang w:val="pt-BR"/>
        </w:rPr>
        <w:t>O EBITDA ajustado e o lucro ajustado por ação estão significativamente acima das expectativas atuais do mercado (consenso dos analistas:</w:t>
      </w:r>
      <w:r w:rsidRPr="006B7EE8">
        <w:rPr>
          <w:color w:val="000000" w:themeColor="text1"/>
          <w:sz w:val="22"/>
          <w:lang w:val="pt-BR"/>
        </w:rPr>
        <w:t xml:space="preserve"> </w:t>
      </w:r>
      <w:r w:rsidRPr="00B96778">
        <w:rPr>
          <w:color w:val="auto"/>
          <w:sz w:val="22"/>
          <w:lang w:val="pt-BR"/>
        </w:rPr>
        <w:t>691 milhões de euros e 0,70 por ação).</w:t>
      </w:r>
      <w:r w:rsidRPr="006B7EE8">
        <w:rPr>
          <w:color w:val="000000" w:themeColor="text1"/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 xml:space="preserve">Por isso, a Evonik é obrigada a publicar resultados preliminares. </w:t>
      </w:r>
      <w:r w:rsidRPr="006B7EE8">
        <w:rPr>
          <w:color w:val="000000" w:themeColor="text1"/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>O grupo apresenta seus resultados finais em 2 de agosto de 2018.</w:t>
      </w:r>
    </w:p>
    <w:p w14:paraId="4F89A55C" w14:textId="0698E509" w:rsidR="00CF4214" w:rsidRPr="006B7EE8" w:rsidRDefault="00CF4214" w:rsidP="00CF4214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  <w:r w:rsidRPr="006B7EE8">
        <w:rPr>
          <w:color w:val="000000" w:themeColor="text1"/>
          <w:sz w:val="22"/>
          <w:szCs w:val="22"/>
          <w:lang w:val="pt-BR"/>
        </w:rPr>
        <w:br/>
      </w:r>
      <w:r w:rsidRPr="00B96778">
        <w:rPr>
          <w:color w:val="auto"/>
          <w:sz w:val="22"/>
          <w:lang w:val="pt-BR"/>
        </w:rPr>
        <w:t>“Continuamos implementando a nossa estratégia de maneira consistente”, disse Christian Kullmann, Presidente da Diretoria Executiva. “Isso também se reflete cada vez mais no desenvolvimento do nosso negócio operacional.</w:t>
      </w:r>
      <w:r w:rsidRPr="006B7EE8">
        <w:rPr>
          <w:color w:val="000000" w:themeColor="text1"/>
          <w:sz w:val="22"/>
          <w:lang w:val="pt-BR"/>
        </w:rPr>
        <w:t xml:space="preserve"> </w:t>
      </w:r>
      <w:r w:rsidRPr="00B96778">
        <w:rPr>
          <w:color w:val="auto"/>
          <w:sz w:val="22"/>
          <w:lang w:val="pt-BR"/>
        </w:rPr>
        <w:t xml:space="preserve">Além da contínua </w:t>
      </w:r>
      <w:proofErr w:type="gramStart"/>
      <w:r w:rsidRPr="00B96778">
        <w:rPr>
          <w:color w:val="auto"/>
          <w:sz w:val="22"/>
          <w:lang w:val="pt-BR"/>
        </w:rPr>
        <w:t>forte</w:t>
      </w:r>
      <w:proofErr w:type="gramEnd"/>
      <w:r w:rsidRPr="00B96778">
        <w:rPr>
          <w:color w:val="auto"/>
          <w:sz w:val="22"/>
          <w:lang w:val="pt-BR"/>
        </w:rPr>
        <w:t xml:space="preserve"> demanda em nossos motores de crescimento, nossos sólidos resultados trimestrais espelham os primeiros sinais de sucesso do </w:t>
      </w:r>
      <w:r w:rsidRPr="00B96778">
        <w:rPr>
          <w:color w:val="auto"/>
          <w:sz w:val="22"/>
          <w:lang w:val="pt-BR"/>
        </w:rPr>
        <w:lastRenderedPageBreak/>
        <w:t>nosso programa de redução de custos administrativos e de vendas.</w:t>
      </w:r>
      <w:r w:rsidRPr="006B7EE8">
        <w:rPr>
          <w:color w:val="000000" w:themeColor="text1"/>
          <w:sz w:val="22"/>
          <w:szCs w:val="22"/>
          <w:lang w:val="pt-BR"/>
        </w:rPr>
        <w:br/>
      </w:r>
    </w:p>
    <w:p w14:paraId="6E99886B" w14:textId="77777777" w:rsidR="00CF4214" w:rsidRPr="006B7EE8" w:rsidRDefault="00CF4214" w:rsidP="00CF4214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  <w:r w:rsidRPr="00B96778">
        <w:rPr>
          <w:color w:val="auto"/>
          <w:sz w:val="22"/>
          <w:szCs w:val="22"/>
          <w:lang w:val="pt-BR"/>
        </w:rPr>
        <w:t xml:space="preserve">No primeiro semestre do ano, a Evonik gerou vendas de 7,5 bilhões de euros e um EBITDA ajustado de 1,4 bilhão de euros. </w:t>
      </w:r>
      <w:r w:rsidRPr="006B7EE8">
        <w:rPr>
          <w:color w:val="000000" w:themeColor="text1"/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 xml:space="preserve">Na comparação com o primeiro semestre de 2017, as vendas cresceram 4% e o EBITDA ajustado subiu 15%. </w:t>
      </w:r>
      <w:r w:rsidRPr="006B7EE8">
        <w:rPr>
          <w:color w:val="000000" w:themeColor="text1"/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 xml:space="preserve">A margem EBITDA ajustada aumentou de 17% para 18,8%. </w:t>
      </w:r>
      <w:r w:rsidRPr="006B7EE8">
        <w:rPr>
          <w:color w:val="000000" w:themeColor="text1"/>
          <w:sz w:val="22"/>
          <w:szCs w:val="22"/>
          <w:lang w:val="pt-BR"/>
        </w:rPr>
        <w:t xml:space="preserve"> </w:t>
      </w:r>
    </w:p>
    <w:p w14:paraId="13137473" w14:textId="77777777" w:rsidR="00CF4214" w:rsidRPr="006B7EE8" w:rsidRDefault="00CF4214" w:rsidP="00CF4214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</w:p>
    <w:p w14:paraId="6C6711C1" w14:textId="77777777" w:rsidR="00CF4214" w:rsidRPr="006B7EE8" w:rsidRDefault="00CF4214" w:rsidP="00CF4214">
      <w:pPr>
        <w:pStyle w:val="Default"/>
        <w:spacing w:line="300" w:lineRule="exact"/>
        <w:rPr>
          <w:color w:val="000000" w:themeColor="text1"/>
          <w:sz w:val="22"/>
          <w:lang w:val="pt-BR"/>
        </w:rPr>
      </w:pPr>
      <w:r w:rsidRPr="00B96778">
        <w:rPr>
          <w:color w:val="auto"/>
          <w:sz w:val="22"/>
          <w:szCs w:val="22"/>
          <w:lang w:val="pt-BR"/>
        </w:rPr>
        <w:t>A Evonik está muito bem situada em matéria de evolução do fluxo de caixa livre:</w:t>
      </w:r>
      <w:r w:rsidRPr="00A567B2">
        <w:rPr>
          <w:color w:val="000000" w:themeColor="text1"/>
          <w:sz w:val="22"/>
          <w:szCs w:val="22"/>
          <w:lang w:val="pt-BR"/>
        </w:rPr>
        <w:t xml:space="preserve"> </w:t>
      </w:r>
      <w:r w:rsidRPr="00B96778">
        <w:rPr>
          <w:color w:val="auto"/>
          <w:sz w:val="22"/>
          <w:szCs w:val="22"/>
          <w:lang w:val="pt-BR"/>
        </w:rPr>
        <w:t>Ao contrário do exercício anterior (H1 2017: - 135 milhões de euros), no primeiro semestre de 2018 o fluxo de caixa livre foi positivo.</w:t>
      </w:r>
    </w:p>
    <w:p w14:paraId="4920F8DF" w14:textId="77777777" w:rsidR="00CF4214" w:rsidRPr="006B7EE8" w:rsidRDefault="00CF4214" w:rsidP="00CF4214">
      <w:pPr>
        <w:pStyle w:val="Default"/>
        <w:spacing w:line="300" w:lineRule="exact"/>
        <w:rPr>
          <w:color w:val="000000" w:themeColor="text1"/>
          <w:sz w:val="22"/>
          <w:szCs w:val="22"/>
          <w:lang w:val="pt-BR"/>
        </w:rPr>
      </w:pPr>
    </w:p>
    <w:p w14:paraId="68755AAC" w14:textId="77777777" w:rsidR="002001FC" w:rsidRDefault="002001FC" w:rsidP="00CF4214">
      <w:pPr>
        <w:rPr>
          <w:b/>
          <w:szCs w:val="22"/>
          <w:lang w:val="pt-BR"/>
        </w:rPr>
      </w:pPr>
    </w:p>
    <w:p w14:paraId="10F86240" w14:textId="77777777" w:rsidR="00CF4214" w:rsidRPr="006B7EE8" w:rsidRDefault="00CF4214" w:rsidP="00CF4214">
      <w:pPr>
        <w:rPr>
          <w:b/>
          <w:color w:val="000000" w:themeColor="text1"/>
          <w:szCs w:val="22"/>
          <w:lang w:val="pt-BR"/>
        </w:rPr>
      </w:pPr>
      <w:r w:rsidRPr="00B96778">
        <w:rPr>
          <w:b/>
          <w:szCs w:val="22"/>
          <w:lang w:val="pt-BR"/>
        </w:rPr>
        <w:t>Previsão aumentada</w:t>
      </w:r>
    </w:p>
    <w:p w14:paraId="11D62E2B" w14:textId="77777777" w:rsidR="00CF4214" w:rsidRPr="006B7EE8" w:rsidRDefault="00CF4214" w:rsidP="00CF4214">
      <w:pPr>
        <w:rPr>
          <w:color w:val="000000" w:themeColor="text1"/>
          <w:szCs w:val="22"/>
          <w:lang w:val="pt-BR"/>
        </w:rPr>
      </w:pPr>
      <w:r w:rsidRPr="00B96778">
        <w:rPr>
          <w:szCs w:val="22"/>
          <w:lang w:val="pt-BR"/>
        </w:rPr>
        <w:t xml:space="preserve">Com base em seu ótimo desempenho no primeiro semestre do ano, a Evonik elevou a estimativa para o ano fiscal de 2018 e agora espera um EBITDA ajustado de 2,60-2,65 bilhões de euros. 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A empresa havia projetado um EBITDA ajustado de 2,4- 2,6 bilhões de euros. </w:t>
      </w:r>
      <w:r w:rsidRPr="006B7EE8">
        <w:rPr>
          <w:color w:val="000000" w:themeColor="text1"/>
          <w:szCs w:val="22"/>
          <w:lang w:val="pt-BR"/>
        </w:rPr>
        <w:t xml:space="preserve"> </w:t>
      </w:r>
    </w:p>
    <w:p w14:paraId="60B5EA75" w14:textId="77777777" w:rsidR="00CF4214" w:rsidRPr="006B7EE8" w:rsidRDefault="00CF4214" w:rsidP="00CF4214">
      <w:pPr>
        <w:rPr>
          <w:color w:val="000000" w:themeColor="text1"/>
          <w:szCs w:val="22"/>
          <w:lang w:val="pt-BR"/>
        </w:rPr>
      </w:pPr>
    </w:p>
    <w:p w14:paraId="33615B31" w14:textId="77777777" w:rsidR="002001FC" w:rsidRDefault="00CF4214" w:rsidP="00CF4214">
      <w:pPr>
        <w:rPr>
          <w:szCs w:val="22"/>
          <w:lang w:val="pt-BR"/>
        </w:rPr>
      </w:pPr>
      <w:r w:rsidRPr="00B96778">
        <w:rPr>
          <w:szCs w:val="22"/>
          <w:lang w:val="pt-BR"/>
        </w:rPr>
        <w:t>A perspectiva de fluxo de caixa livre também foi melhorada.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Para 2018, a Evonik projeta um fluxo de caixa livre notavelmente mais alto na comparação com o exercício anterior. 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Até agora, a empresa previa um fluxo de caix</w:t>
      </w:r>
      <w:r w:rsidR="002001FC">
        <w:rPr>
          <w:szCs w:val="22"/>
          <w:lang w:val="pt-BR"/>
        </w:rPr>
        <w:t>a livre ligeiramente mais alto.</w:t>
      </w:r>
    </w:p>
    <w:p w14:paraId="3DF0653E" w14:textId="13456661" w:rsidR="00CF4214" w:rsidRPr="006B7EE8" w:rsidRDefault="00CF4214" w:rsidP="00CF4214">
      <w:pPr>
        <w:rPr>
          <w:color w:val="000000" w:themeColor="text1"/>
          <w:szCs w:val="22"/>
          <w:lang w:val="pt-BR"/>
        </w:rPr>
      </w:pPr>
      <w:r w:rsidRPr="006B7EE8">
        <w:rPr>
          <w:color w:val="000000" w:themeColor="text1"/>
          <w:szCs w:val="22"/>
          <w:lang w:val="pt-BR"/>
        </w:rPr>
        <w:br/>
      </w:r>
    </w:p>
    <w:p w14:paraId="4A68D417" w14:textId="77777777" w:rsidR="00CF4214" w:rsidRPr="006B7EE8" w:rsidRDefault="00CF4214" w:rsidP="00CF4214">
      <w:pPr>
        <w:rPr>
          <w:b/>
          <w:color w:val="000000" w:themeColor="text1"/>
          <w:szCs w:val="22"/>
          <w:lang w:val="pt-BR"/>
        </w:rPr>
      </w:pPr>
      <w:r w:rsidRPr="00B96778">
        <w:rPr>
          <w:b/>
          <w:szCs w:val="22"/>
          <w:lang w:val="pt-BR"/>
        </w:rPr>
        <w:t>Desenvolvimentos nos segmentos</w:t>
      </w:r>
    </w:p>
    <w:p w14:paraId="565FB3C0" w14:textId="77777777" w:rsidR="00CF4214" w:rsidRDefault="00CF4214" w:rsidP="00CF4214">
      <w:pPr>
        <w:rPr>
          <w:szCs w:val="22"/>
          <w:lang w:val="pt-BR"/>
        </w:rPr>
      </w:pPr>
      <w:r w:rsidRPr="00B96778">
        <w:rPr>
          <w:szCs w:val="22"/>
          <w:lang w:val="pt-BR"/>
        </w:rPr>
        <w:t xml:space="preserve">O segmento </w:t>
      </w:r>
      <w:proofErr w:type="spellStart"/>
      <w:r w:rsidRPr="00B96778">
        <w:rPr>
          <w:b/>
          <w:bCs/>
          <w:szCs w:val="22"/>
          <w:lang w:val="pt-BR"/>
        </w:rPr>
        <w:t>Resource</w:t>
      </w:r>
      <w:proofErr w:type="spellEnd"/>
      <w:r w:rsidRPr="00B96778">
        <w:rPr>
          <w:b/>
          <w:bCs/>
          <w:szCs w:val="22"/>
          <w:lang w:val="pt-BR"/>
        </w:rPr>
        <w:t xml:space="preserve"> </w:t>
      </w:r>
      <w:proofErr w:type="spellStart"/>
      <w:r w:rsidRPr="00B96778">
        <w:rPr>
          <w:b/>
          <w:bCs/>
          <w:szCs w:val="22"/>
          <w:lang w:val="pt-BR"/>
        </w:rPr>
        <w:t>Efficiency</w:t>
      </w:r>
      <w:proofErr w:type="spellEnd"/>
      <w:r w:rsidRPr="00B96778">
        <w:rPr>
          <w:szCs w:val="22"/>
          <w:lang w:val="pt-BR"/>
        </w:rPr>
        <w:t xml:space="preserve"> continuou o seu desenvolvimento extremamente estável e lucrativo no segundo trimestre. As vendas aumentaram 8% para 1,5 bilhão de euros (exercício anterior: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1,4 bilhão de euros), enquanto o lucro ajustado, com 366 milhões de euros, ficou 15% acima daquele do trimestre do exercício anterior. 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A margem EBITDA ajustada no segmento subiu 1,4 ponto percentual para excepcionais 24,7%. No geral, o segmento se beneficiou da alta utilização da capacidade e da demanda continuadamente alta por sílica; polímeros de alta performance, </w:t>
      </w:r>
      <w:r w:rsidRPr="00B96778">
        <w:rPr>
          <w:szCs w:val="22"/>
          <w:lang w:val="pt-BR"/>
        </w:rPr>
        <w:lastRenderedPageBreak/>
        <w:t xml:space="preserve">incluindo design leve; e tintas e revestimentos base água ambientalmente corretas da linha de negócios </w:t>
      </w:r>
      <w:proofErr w:type="spellStart"/>
      <w:r w:rsidRPr="00B96778">
        <w:rPr>
          <w:szCs w:val="22"/>
          <w:lang w:val="pt-BR"/>
        </w:rPr>
        <w:t>Coating</w:t>
      </w:r>
      <w:proofErr w:type="spellEnd"/>
      <w:r w:rsidRPr="00B96778">
        <w:rPr>
          <w:szCs w:val="22"/>
          <w:lang w:val="pt-BR"/>
        </w:rPr>
        <w:t xml:space="preserve"> </w:t>
      </w:r>
      <w:proofErr w:type="spellStart"/>
      <w:r w:rsidRPr="00B96778">
        <w:rPr>
          <w:szCs w:val="22"/>
          <w:lang w:val="pt-BR"/>
        </w:rPr>
        <w:t>Additives</w:t>
      </w:r>
      <w:proofErr w:type="spellEnd"/>
      <w:r w:rsidRPr="00B96778">
        <w:rPr>
          <w:szCs w:val="22"/>
          <w:lang w:val="pt-BR"/>
        </w:rPr>
        <w:t xml:space="preserve">. </w:t>
      </w:r>
      <w:r w:rsidRPr="006B7EE8">
        <w:rPr>
          <w:color w:val="000000" w:themeColor="text1"/>
          <w:szCs w:val="22"/>
          <w:lang w:val="pt-BR"/>
        </w:rPr>
        <w:br/>
      </w:r>
    </w:p>
    <w:p w14:paraId="307FBAF9" w14:textId="0F8A7994" w:rsidR="00CF4214" w:rsidRDefault="00CF4214" w:rsidP="00CF4214">
      <w:pPr>
        <w:rPr>
          <w:color w:val="000000" w:themeColor="text1"/>
          <w:szCs w:val="22"/>
          <w:lang w:val="pt-BR"/>
        </w:rPr>
      </w:pPr>
      <w:r w:rsidRPr="00F46F63">
        <w:rPr>
          <w:szCs w:val="22"/>
          <w:lang w:val="pt-BR"/>
        </w:rPr>
        <w:t xml:space="preserve">As vendas no segmento </w:t>
      </w:r>
      <w:proofErr w:type="spellStart"/>
      <w:r w:rsidRPr="00F46F63">
        <w:rPr>
          <w:b/>
          <w:szCs w:val="22"/>
          <w:lang w:val="pt-BR"/>
        </w:rPr>
        <w:t>Nutrition</w:t>
      </w:r>
      <w:proofErr w:type="spellEnd"/>
      <w:r w:rsidRPr="00F46F63">
        <w:rPr>
          <w:b/>
          <w:szCs w:val="22"/>
          <w:lang w:val="pt-BR"/>
        </w:rPr>
        <w:t xml:space="preserve"> &amp; </w:t>
      </w:r>
      <w:proofErr w:type="spellStart"/>
      <w:r w:rsidRPr="00F46F63">
        <w:rPr>
          <w:b/>
          <w:szCs w:val="22"/>
          <w:lang w:val="pt-BR"/>
        </w:rPr>
        <w:t>Care</w:t>
      </w:r>
      <w:proofErr w:type="spellEnd"/>
      <w:r w:rsidRPr="00F46F63">
        <w:rPr>
          <w:szCs w:val="22"/>
          <w:lang w:val="pt-BR"/>
        </w:rPr>
        <w:t>, no valor de 1,2 bilhão de euros, ficaram ligeiramente acima das do exercício anterior.</w:t>
      </w:r>
      <w:r w:rsidRPr="00F46F63">
        <w:rPr>
          <w:color w:val="FF0000"/>
          <w:szCs w:val="22"/>
          <w:lang w:val="pt-BR"/>
        </w:rPr>
        <w:t xml:space="preserve"> </w:t>
      </w:r>
      <w:r w:rsidRPr="00F46F63">
        <w:rPr>
          <w:szCs w:val="22"/>
          <w:lang w:val="pt-BR"/>
        </w:rPr>
        <w:t>O lucro ajustado cresceu 10% para 222 milhões de euros (exercício</w:t>
      </w:r>
      <w:r w:rsidRPr="00B96778">
        <w:rPr>
          <w:szCs w:val="22"/>
          <w:lang w:val="pt-BR"/>
        </w:rPr>
        <w:t xml:space="preserve"> anterior: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201 milhões.</w:t>
      </w:r>
      <w:r>
        <w:rPr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O segmento conseguiu aumentar significativamente a sua margem</w:t>
      </w:r>
      <w:r>
        <w:rPr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EBITDA ajustada para 18,7% (mesmo trimestre do exercício anterior: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17,3%).</w:t>
      </w:r>
      <w:r w:rsidRPr="006B7EE8">
        <w:rPr>
          <w:color w:val="000000" w:themeColor="text1"/>
          <w:szCs w:val="22"/>
          <w:lang w:val="pt-BR"/>
        </w:rPr>
        <w:t xml:space="preserve"> </w:t>
      </w:r>
    </w:p>
    <w:p w14:paraId="7924649A" w14:textId="77777777" w:rsidR="002001FC" w:rsidRDefault="002001FC" w:rsidP="00CF4214">
      <w:pPr>
        <w:rPr>
          <w:color w:val="000000" w:themeColor="text1"/>
          <w:szCs w:val="22"/>
          <w:lang w:val="pt-BR"/>
        </w:rPr>
      </w:pPr>
    </w:p>
    <w:p w14:paraId="04346C46" w14:textId="77777777" w:rsidR="002001FC" w:rsidRDefault="00CF4214" w:rsidP="00CF4214">
      <w:pPr>
        <w:rPr>
          <w:szCs w:val="22"/>
          <w:lang w:val="pt-BR"/>
        </w:rPr>
      </w:pPr>
      <w:r w:rsidRPr="00B96778">
        <w:rPr>
          <w:szCs w:val="22"/>
          <w:lang w:val="pt-BR"/>
        </w:rPr>
        <w:t xml:space="preserve">Esse aumento se deve ao foco consistente em produtos com margens mais altas, repasse de custos de matéria-prima e rígida redução de custos, especialmente nas linhas Animal </w:t>
      </w:r>
      <w:proofErr w:type="spellStart"/>
      <w:r w:rsidRPr="00B96778">
        <w:rPr>
          <w:szCs w:val="22"/>
          <w:lang w:val="pt-BR"/>
        </w:rPr>
        <w:t>Nutrition</w:t>
      </w:r>
      <w:proofErr w:type="spellEnd"/>
      <w:r w:rsidRPr="00B96778">
        <w:rPr>
          <w:szCs w:val="22"/>
          <w:lang w:val="pt-BR"/>
        </w:rPr>
        <w:t xml:space="preserve"> e Baby </w:t>
      </w:r>
      <w:proofErr w:type="spellStart"/>
      <w:r w:rsidRPr="00B96778">
        <w:rPr>
          <w:szCs w:val="22"/>
          <w:lang w:val="pt-BR"/>
        </w:rPr>
        <w:t>Care</w:t>
      </w:r>
      <w:proofErr w:type="spellEnd"/>
      <w:r w:rsidRPr="00B96778">
        <w:rPr>
          <w:szCs w:val="22"/>
          <w:lang w:val="pt-BR"/>
        </w:rPr>
        <w:t>.</w:t>
      </w:r>
      <w:r>
        <w:rPr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Na linha de aminoácidos para nutrição animal, o ambiente de mercado se manteve sólido ao longo do trimestre referido. Os volumes de venda se desenvolveram de modo positivo e ficaram acima dos do mesmo trimestre do exercício anterior.</w:t>
      </w:r>
      <w:r>
        <w:rPr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Os preços de venda mantiveram a tendência de estabilização que já havia ficado evidente no início do ano.</w:t>
      </w:r>
      <w:r>
        <w:rPr>
          <w:szCs w:val="22"/>
          <w:lang w:val="pt-BR"/>
        </w:rPr>
        <w:t xml:space="preserve"> </w:t>
      </w:r>
    </w:p>
    <w:p w14:paraId="775EE06F" w14:textId="77777777" w:rsidR="002001FC" w:rsidRDefault="002001FC" w:rsidP="00CF4214">
      <w:pPr>
        <w:rPr>
          <w:szCs w:val="22"/>
          <w:lang w:val="pt-BR"/>
        </w:rPr>
      </w:pPr>
    </w:p>
    <w:p w14:paraId="2F349D5A" w14:textId="6A2A6483" w:rsidR="00CF4214" w:rsidRPr="00CF4214" w:rsidRDefault="00CF4214" w:rsidP="00CF4214">
      <w:pPr>
        <w:rPr>
          <w:szCs w:val="22"/>
          <w:lang w:val="pt-BR"/>
        </w:rPr>
      </w:pPr>
      <w:r w:rsidRPr="00B96778">
        <w:rPr>
          <w:szCs w:val="22"/>
          <w:lang w:val="pt-BR"/>
        </w:rPr>
        <w:t xml:space="preserve">Aumentos significativos de venda também foram registrados na linha </w:t>
      </w:r>
      <w:proofErr w:type="spellStart"/>
      <w:r w:rsidRPr="00B96778">
        <w:rPr>
          <w:szCs w:val="22"/>
          <w:lang w:val="pt-BR"/>
        </w:rPr>
        <w:t>Personal</w:t>
      </w:r>
      <w:proofErr w:type="spellEnd"/>
      <w:r w:rsidRPr="00B96778">
        <w:rPr>
          <w:szCs w:val="22"/>
          <w:lang w:val="pt-BR"/>
        </w:rPr>
        <w:t xml:space="preserve"> </w:t>
      </w:r>
      <w:proofErr w:type="spellStart"/>
      <w:r w:rsidRPr="00B96778">
        <w:rPr>
          <w:szCs w:val="22"/>
          <w:lang w:val="pt-BR"/>
        </w:rPr>
        <w:t>Care</w:t>
      </w:r>
      <w:proofErr w:type="spellEnd"/>
      <w:r w:rsidRPr="00B96778">
        <w:rPr>
          <w:szCs w:val="22"/>
          <w:lang w:val="pt-BR"/>
        </w:rPr>
        <w:t xml:space="preserve">, que se beneficiou de volumes consideravelmente mais altos em um </w:t>
      </w:r>
      <w:proofErr w:type="spellStart"/>
      <w:r w:rsidRPr="00B96778">
        <w:rPr>
          <w:szCs w:val="22"/>
          <w:lang w:val="pt-BR"/>
        </w:rPr>
        <w:t>mix</w:t>
      </w:r>
      <w:proofErr w:type="spellEnd"/>
      <w:r w:rsidRPr="00B96778">
        <w:rPr>
          <w:szCs w:val="22"/>
          <w:lang w:val="pt-BR"/>
        </w:rPr>
        <w:t xml:space="preserve"> de produtos melhor.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 xml:space="preserve">As linhas Health </w:t>
      </w:r>
      <w:proofErr w:type="spellStart"/>
      <w:r w:rsidRPr="00B96778">
        <w:rPr>
          <w:szCs w:val="22"/>
          <w:lang w:val="pt-BR"/>
        </w:rPr>
        <w:t>Care</w:t>
      </w:r>
      <w:proofErr w:type="spellEnd"/>
      <w:r w:rsidRPr="00B96778">
        <w:rPr>
          <w:szCs w:val="22"/>
          <w:lang w:val="pt-BR"/>
        </w:rPr>
        <w:t xml:space="preserve"> e </w:t>
      </w:r>
      <w:proofErr w:type="spellStart"/>
      <w:r w:rsidRPr="00B96778">
        <w:rPr>
          <w:szCs w:val="22"/>
          <w:lang w:val="pt-BR"/>
        </w:rPr>
        <w:t>Polyurethane</w:t>
      </w:r>
      <w:proofErr w:type="spellEnd"/>
      <w:r w:rsidRPr="00B96778">
        <w:rPr>
          <w:szCs w:val="22"/>
          <w:lang w:val="pt-BR"/>
        </w:rPr>
        <w:t xml:space="preserve"> </w:t>
      </w:r>
      <w:proofErr w:type="spellStart"/>
      <w:r w:rsidRPr="00B96778">
        <w:rPr>
          <w:szCs w:val="22"/>
          <w:lang w:val="pt-BR"/>
        </w:rPr>
        <w:t>Foam</w:t>
      </w:r>
      <w:proofErr w:type="spellEnd"/>
      <w:r w:rsidRPr="00B96778">
        <w:rPr>
          <w:szCs w:val="22"/>
          <w:lang w:val="pt-BR"/>
        </w:rPr>
        <w:t xml:space="preserve"> </w:t>
      </w:r>
      <w:proofErr w:type="spellStart"/>
      <w:r w:rsidRPr="00B96778">
        <w:rPr>
          <w:szCs w:val="22"/>
          <w:lang w:val="pt-BR"/>
        </w:rPr>
        <w:t>Additives</w:t>
      </w:r>
      <w:proofErr w:type="spellEnd"/>
      <w:r w:rsidRPr="00B96778">
        <w:rPr>
          <w:szCs w:val="22"/>
          <w:lang w:val="pt-BR"/>
        </w:rPr>
        <w:t xml:space="preserve"> continuaram seu desenvolvimento comercial positivo. </w:t>
      </w:r>
      <w:r w:rsidRPr="006B7EE8">
        <w:rPr>
          <w:color w:val="000000" w:themeColor="text1"/>
          <w:szCs w:val="22"/>
          <w:lang w:val="pt-BR"/>
        </w:rPr>
        <w:t xml:space="preserve"> </w:t>
      </w:r>
    </w:p>
    <w:p w14:paraId="108556B2" w14:textId="77777777" w:rsidR="00CF4214" w:rsidRPr="006B7EE8" w:rsidRDefault="00CF4214" w:rsidP="00CF4214">
      <w:pPr>
        <w:rPr>
          <w:color w:val="000000" w:themeColor="text1"/>
          <w:szCs w:val="22"/>
          <w:lang w:val="pt-BR"/>
        </w:rPr>
      </w:pPr>
    </w:p>
    <w:p w14:paraId="665BABB3" w14:textId="77777777" w:rsidR="00CF4214" w:rsidRPr="006B7EE8" w:rsidRDefault="00CF4214" w:rsidP="00CF4214">
      <w:pPr>
        <w:rPr>
          <w:color w:val="000000" w:themeColor="text1"/>
          <w:szCs w:val="22"/>
          <w:lang w:val="pt-BR"/>
        </w:rPr>
      </w:pPr>
      <w:r w:rsidRPr="00B96778">
        <w:rPr>
          <w:szCs w:val="22"/>
          <w:lang w:val="pt-BR"/>
        </w:rPr>
        <w:t xml:space="preserve">As vendas no segmento </w:t>
      </w:r>
      <w:r w:rsidRPr="00B96778">
        <w:rPr>
          <w:b/>
          <w:bCs/>
          <w:szCs w:val="22"/>
          <w:lang w:val="pt-BR"/>
        </w:rPr>
        <w:t xml:space="preserve">Performance </w:t>
      </w:r>
      <w:proofErr w:type="spellStart"/>
      <w:r w:rsidRPr="00B96778">
        <w:rPr>
          <w:b/>
          <w:bCs/>
          <w:szCs w:val="22"/>
          <w:lang w:val="pt-BR"/>
        </w:rPr>
        <w:t>Materials</w:t>
      </w:r>
      <w:proofErr w:type="spellEnd"/>
      <w:r w:rsidRPr="00B96778">
        <w:rPr>
          <w:szCs w:val="22"/>
          <w:lang w:val="pt-BR"/>
        </w:rPr>
        <w:t xml:space="preserve"> alcançaram 1,0 bilhão de euros no segundo trimestre, 13% acima do exercício anterior. A razão disso foram os preços de venda </w:t>
      </w:r>
      <w:bookmarkStart w:id="1" w:name="_GoBack"/>
      <w:bookmarkEnd w:id="1"/>
      <w:r w:rsidRPr="00B96778">
        <w:rPr>
          <w:szCs w:val="22"/>
          <w:lang w:val="pt-BR"/>
        </w:rPr>
        <w:t xml:space="preserve">persistentemente altos no negócio de metacrilatos e um ambiente de mercado melhor na linha Performance </w:t>
      </w:r>
      <w:proofErr w:type="spellStart"/>
      <w:r w:rsidRPr="00B96778">
        <w:rPr>
          <w:szCs w:val="22"/>
          <w:lang w:val="pt-BR"/>
        </w:rPr>
        <w:t>Intermediates</w:t>
      </w:r>
      <w:proofErr w:type="spellEnd"/>
      <w:r w:rsidRPr="00B96778">
        <w:rPr>
          <w:szCs w:val="22"/>
          <w:lang w:val="pt-BR"/>
        </w:rPr>
        <w:t>.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O EBITDA ajustado subiu para 196 milhões de euros (exercício anterior: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€168 milhões). O segment</w:t>
      </w:r>
      <w:bookmarkStart w:id="2" w:name="WfCopyCase"/>
      <w:r w:rsidRPr="00B96778">
        <w:rPr>
          <w:szCs w:val="22"/>
          <w:lang w:val="pt-BR"/>
        </w:rPr>
        <w:t xml:space="preserve">o Performance </w:t>
      </w:r>
      <w:proofErr w:type="spellStart"/>
      <w:r w:rsidRPr="00B96778">
        <w:rPr>
          <w:szCs w:val="22"/>
          <w:lang w:val="pt-BR"/>
        </w:rPr>
        <w:t>Materials</w:t>
      </w:r>
      <w:bookmarkEnd w:id="2"/>
      <w:proofErr w:type="spellEnd"/>
      <w:r w:rsidRPr="00B96778">
        <w:rPr>
          <w:szCs w:val="22"/>
          <w:lang w:val="pt-BR"/>
        </w:rPr>
        <w:t xml:space="preserve"> aumentou sua margem EBITDA ajustada para 19,1% (exercício anterior:</w:t>
      </w:r>
      <w:r w:rsidRPr="006B7EE8">
        <w:rPr>
          <w:color w:val="000000" w:themeColor="text1"/>
          <w:szCs w:val="22"/>
          <w:lang w:val="pt-BR"/>
        </w:rPr>
        <w:t xml:space="preserve"> </w:t>
      </w:r>
      <w:r w:rsidRPr="00B96778">
        <w:rPr>
          <w:szCs w:val="22"/>
          <w:lang w:val="pt-BR"/>
        </w:rPr>
        <w:t>18,5%).</w:t>
      </w:r>
    </w:p>
    <w:p w14:paraId="65D6E557" w14:textId="77777777" w:rsidR="00CF4214" w:rsidRPr="006B7EE8" w:rsidRDefault="00CF4214" w:rsidP="00CF4214">
      <w:pPr>
        <w:rPr>
          <w:lang w:val="pt-BR"/>
        </w:rPr>
      </w:pPr>
    </w:p>
    <w:p w14:paraId="0029295B" w14:textId="77777777" w:rsidR="00CF4214" w:rsidRPr="006B7EE8" w:rsidRDefault="00CF4214" w:rsidP="00CF4214">
      <w:pPr>
        <w:rPr>
          <w:lang w:val="pt-BR"/>
        </w:rPr>
      </w:pPr>
    </w:p>
    <w:p w14:paraId="46242701" w14:textId="77777777" w:rsidR="00CF4214" w:rsidRPr="006B7EE8" w:rsidRDefault="00CF4214" w:rsidP="00CF4214">
      <w:pPr>
        <w:rPr>
          <w:lang w:val="pt-BR"/>
        </w:rPr>
      </w:pPr>
    </w:p>
    <w:p w14:paraId="73F92BE0" w14:textId="77777777" w:rsidR="000E4D6D" w:rsidRDefault="000E4D6D" w:rsidP="000E4D6D">
      <w:pPr>
        <w:jc w:val="both"/>
        <w:rPr>
          <w:rFonts w:cs="Lucida Sans Unicode"/>
          <w:szCs w:val="22"/>
          <w:lang w:val="pt-BR"/>
        </w:rPr>
      </w:pPr>
    </w:p>
    <w:p w14:paraId="391528C9" w14:textId="77777777" w:rsidR="00CF4214" w:rsidRDefault="00CF4214" w:rsidP="000E4D6D">
      <w:pPr>
        <w:jc w:val="both"/>
        <w:rPr>
          <w:rFonts w:cs="Lucida Sans Unicode"/>
          <w:szCs w:val="22"/>
          <w:lang w:val="pt-BR"/>
        </w:rPr>
      </w:pPr>
    </w:p>
    <w:p w14:paraId="4FA71518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57E11AE6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71D1D9F2" w14:textId="77777777"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14:paraId="1AA30470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7AEE0956" w14:textId="77777777"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18E9217B" w14:textId="77777777"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14:paraId="42B61B43" w14:textId="77777777"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14:paraId="5F40C04A" w14:textId="77777777"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14:paraId="521DC6C0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14:paraId="5B5E94DB" w14:textId="77777777"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6817EFB" w14:textId="77777777"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0F152D4" w14:textId="77777777"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035B39" w14:textId="77777777"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14:paraId="6CCF42C4" w14:textId="77777777" w:rsidR="000743B5" w:rsidRPr="00B07799" w:rsidRDefault="002001FC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664147B8" w14:textId="77777777" w:rsidR="000743B5" w:rsidRPr="00B07799" w:rsidRDefault="002001FC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1695B0C" w14:textId="77777777" w:rsidR="000743B5" w:rsidRPr="00B07799" w:rsidRDefault="002001F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71D6C934" w14:textId="77777777" w:rsidR="000743B5" w:rsidRPr="002001FC" w:rsidRDefault="002001F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2001FC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2001FC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2001FC">
          <w:rPr>
            <w:rStyle w:val="Hyperlink"/>
            <w:sz w:val="18"/>
            <w:szCs w:val="18"/>
            <w:lang w:val="pt-BR"/>
          </w:rPr>
          <w:t>/Evonik</w:t>
        </w:r>
      </w:hyperlink>
    </w:p>
    <w:p w14:paraId="57F1B4D1" w14:textId="77777777" w:rsidR="000743B5" w:rsidRPr="002001FC" w:rsidRDefault="002001F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2001FC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6EB2A98A" w14:textId="77777777" w:rsidR="000743B5" w:rsidRPr="002001FC" w:rsidRDefault="000743B5" w:rsidP="000743B5">
      <w:pPr>
        <w:spacing w:line="240" w:lineRule="auto"/>
        <w:rPr>
          <w:sz w:val="18"/>
          <w:szCs w:val="18"/>
          <w:lang w:val="pt-BR"/>
        </w:rPr>
      </w:pPr>
    </w:p>
    <w:p w14:paraId="571EF763" w14:textId="77777777" w:rsidR="000743B5" w:rsidRPr="002001FC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5A056C4D" w14:textId="77777777" w:rsidR="000743B5" w:rsidRPr="002001FC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14:paraId="1D18AFEC" w14:textId="2C99342D"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5721C46E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457985AE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870B3F0" wp14:editId="36B3C4C5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9909774" wp14:editId="2B0F0779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A9E679F" wp14:editId="29FA4795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198ECAF" wp14:editId="62BCA8F9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AAB4986" wp14:editId="183082A8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8112CF1" wp14:editId="65F5DF15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47C180D" wp14:editId="47B36205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A3641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3CD057D8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1FC6D974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2A9104C5" w14:textId="77777777"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10024" w14:textId="77777777" w:rsidR="00BD09CB" w:rsidRDefault="00BD09CB">
      <w:pPr>
        <w:spacing w:line="240" w:lineRule="auto"/>
      </w:pPr>
      <w:r>
        <w:separator/>
      </w:r>
    </w:p>
  </w:endnote>
  <w:endnote w:type="continuationSeparator" w:id="0">
    <w:p w14:paraId="20B0F172" w14:textId="77777777" w:rsidR="00BD09CB" w:rsidRDefault="00BD0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7F8B0" w14:textId="77777777" w:rsidR="0032433E" w:rsidRDefault="0032433E">
    <w:pPr>
      <w:pStyle w:val="Rodap"/>
    </w:pPr>
  </w:p>
  <w:p w14:paraId="2C9C60D7" w14:textId="77777777"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2001FC">
      <w:rPr>
        <w:rStyle w:val="Nmerodepgina"/>
        <w:noProof/>
      </w:rPr>
      <w:t>4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2001FC">
      <w:rPr>
        <w:rStyle w:val="Nmerodepgina"/>
        <w:noProof/>
      </w:rPr>
      <w:t>4</w:t>
    </w:r>
    <w:r w:rsidR="00656C2A">
      <w:rPr>
        <w:rStyle w:val="Nmerodepgina"/>
      </w:rPr>
      <w:fldChar w:fldCharType="end"/>
    </w:r>
  </w:p>
  <w:p w14:paraId="063BD6F9" w14:textId="77777777"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693BA" w14:textId="77777777" w:rsidR="0032433E" w:rsidRDefault="0032433E" w:rsidP="0032433E">
    <w:pPr>
      <w:pStyle w:val="Rodap"/>
    </w:pPr>
  </w:p>
  <w:p w14:paraId="71CE1145" w14:textId="77777777"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2001FC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2001FC">
      <w:rPr>
        <w:rStyle w:val="Nmerodepgina"/>
        <w:noProof/>
        <w:szCs w:val="18"/>
      </w:rPr>
      <w:t>4</w:t>
    </w:r>
    <w:r w:rsidR="00656C2A" w:rsidRPr="005225EC">
      <w:rPr>
        <w:rStyle w:val="Nmerodepgina"/>
        <w:szCs w:val="18"/>
      </w:rPr>
      <w:fldChar w:fldCharType="end"/>
    </w:r>
  </w:p>
  <w:p w14:paraId="097987F2" w14:textId="77777777"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C2F9F" w14:textId="77777777" w:rsidR="00BD09CB" w:rsidRDefault="00BD09CB">
      <w:pPr>
        <w:spacing w:line="240" w:lineRule="auto"/>
      </w:pPr>
      <w:r>
        <w:separator/>
      </w:r>
    </w:p>
  </w:footnote>
  <w:footnote w:type="continuationSeparator" w:id="0">
    <w:p w14:paraId="687F4769" w14:textId="77777777" w:rsidR="00BD09CB" w:rsidRDefault="00BD09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8AD2D" w14:textId="77777777"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575D12E2" wp14:editId="28AA47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776E34D" wp14:editId="16FACA8E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D87CCC" w14:textId="77777777"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E453F" w14:textId="77777777"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2E396B4D" wp14:editId="6BD627E9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11C605AA" wp14:editId="74D4138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833C54" w14:textId="77777777"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4D6D"/>
    <w:rsid w:val="000E6582"/>
    <w:rsid w:val="00105D61"/>
    <w:rsid w:val="00136D93"/>
    <w:rsid w:val="0016235C"/>
    <w:rsid w:val="00177E35"/>
    <w:rsid w:val="00185087"/>
    <w:rsid w:val="001955EC"/>
    <w:rsid w:val="001A19AE"/>
    <w:rsid w:val="001A345E"/>
    <w:rsid w:val="001A39F8"/>
    <w:rsid w:val="001A6048"/>
    <w:rsid w:val="001A6D26"/>
    <w:rsid w:val="001B27A5"/>
    <w:rsid w:val="001B5A54"/>
    <w:rsid w:val="001B6813"/>
    <w:rsid w:val="001C7809"/>
    <w:rsid w:val="001D0242"/>
    <w:rsid w:val="001D2E22"/>
    <w:rsid w:val="001D41CC"/>
    <w:rsid w:val="001E292B"/>
    <w:rsid w:val="002001FC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026E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04E3E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22B2B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AF6085"/>
    <w:rsid w:val="00B051E2"/>
    <w:rsid w:val="00B07799"/>
    <w:rsid w:val="00B10D35"/>
    <w:rsid w:val="00B17A87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A6922"/>
    <w:rsid w:val="00BD09CB"/>
    <w:rsid w:val="00BD2DBB"/>
    <w:rsid w:val="00BD6CA1"/>
    <w:rsid w:val="00BE48E2"/>
    <w:rsid w:val="00BE52E4"/>
    <w:rsid w:val="00BF44EC"/>
    <w:rsid w:val="00C05598"/>
    <w:rsid w:val="00C12FFC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E70FA"/>
    <w:rsid w:val="00CF4214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5F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46F63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DAEF15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customStyle="1" w:styleId="msolistparagraph0">
    <w:name w:val="msolistparagraph"/>
    <w:basedOn w:val="Normal"/>
    <w:rsid w:val="00CF4214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04E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4E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4E3E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E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E3E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AD4EF28E</Template>
  <TotalTime>11</TotalTime>
  <Pages>4</Pages>
  <Words>1090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Resultados Econômicos</dc:subject>
  <dc:creator>Taís Augusto</dc:creator>
  <dc:description>Julho/2018</dc:description>
  <cp:lastModifiedBy>Minami, Livia</cp:lastModifiedBy>
  <cp:revision>3</cp:revision>
  <dcterms:created xsi:type="dcterms:W3CDTF">2018-07-18T18:32:00Z</dcterms:created>
  <dcterms:modified xsi:type="dcterms:W3CDTF">2018-07-19T11:56:00Z</dcterms:modified>
</cp:coreProperties>
</file>